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1</w:t>
      </w:r>
      <w:r>
        <w:rPr>
          <w:rFonts w:ascii="Arial" w:cs="Arial" w:eastAsia="Arial" w:hAnsi="Arial"/>
          <w:sz w:val="24"/>
          <w:szCs w:val="24"/>
        </w:rPr>
        <w:t xml:space="preserve">5 сентября</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 № 2021-П-12/</w:t>
      </w:r>
      <w:r>
        <w:rPr>
          <w:rFonts w:ascii="Arial" w:cs="Arial" w:eastAsia="Arial" w:hAnsi="Arial"/>
          <w:sz w:val="24"/>
          <w:szCs w:val="24"/>
        </w:rPr>
        <w:t xml:space="preserve">51</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-(НПА)</w:t>
      </w:r>
    </w:p>
    <w:p>
      <w:pPr>
        <w:spacing w:after="400" w:before="400"/>
        <w:jc w:val="center"/>
      </w:pPr>
      <w:r>
        <w:rPr>
          <w:rFonts w:ascii="Arial" w:cs="Arial" w:eastAsia="Arial" w:hAnsi="Arial"/>
          <w:b/>
          <w:bCs/>
          <w:sz w:val="32"/>
          <w:szCs w:val="32"/>
        </w:rPr>
        <w:t xml:space="preserve">О внесении изменений в некоторые нормативные правовые акты Национального банка Кыргызской Республики по вопросам управления рисками и капитала банков</w:t>
      </w:r>
    </w:p>
    <w:p>
      <w:pPr>
        <w:spacing w:after="60"/>
        <w:ind w:firstLine="567"/>
        <w:jc w:val="both"/>
      </w:pPr>
      <w:r>
        <w:rPr>
          <w:rFonts w:ascii="Arial" w:cs="Arial" w:eastAsia="Arial" w:hAnsi="Arial"/>
          <w:sz w:val="24"/>
          <w:szCs w:val="24"/>
        </w:rPr>
        <w:t xml:space="preserve">В соответствии со статьями </w:t>
      </w:r>
      <w:hyperlink w:history="1" r:id="rIdf67byj_eggr-xhn84nw_x">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gkg6z_ucoh9jjcpn3-yum">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"Об утверждении </w:t>
      </w:r>
      <w:hyperlink w:history="1" r:id="rIdlyegvq-cpss3syytnal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w:t>
      </w:r>
      <w:hyperlink w:history="1" r:id="rIdvdw6ifbvtv9z6ougnsvmo">
        <w:r>
          <w:rPr>
            <w:rFonts w:ascii="Arial" w:cs="Arial" w:eastAsia="Arial" w:hAnsi="Arial"/>
            <w:color w:val="1D4ED8"/>
            <w:sz w:val="24"/>
            <w:szCs w:val="24"/>
            <w:u w:val="single"/>
          </w:rPr>
          <w:t xml:space="preserve">21 июля 2004 года № 18/1;</w:t>
        </w:r>
      </w:hyperlink>
    </w:p>
    <w:p>
      <w:pPr>
        <w:spacing w:after="60"/>
        <w:ind w:firstLine="567"/>
        <w:jc w:val="both"/>
      </w:pPr>
      <w:r>
        <w:rPr>
          <w:rFonts w:ascii="Arial" w:cs="Arial" w:eastAsia="Arial" w:hAnsi="Arial"/>
          <w:sz w:val="24"/>
          <w:szCs w:val="24"/>
        </w:rPr>
        <w:t xml:space="preserve">- "Об утверждении </w:t>
      </w:r>
      <w:hyperlink w:history="1" r:id="rIdbuhijcnm7ft4ifihxpg1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w:t>
      </w:r>
      <w:hyperlink w:history="1" r:id="rIdbvholxgzjtzjdb77lg8iw">
        <w:r>
          <w:rPr>
            <w:rFonts w:ascii="Arial" w:cs="Arial" w:eastAsia="Arial" w:hAnsi="Arial"/>
            <w:color w:val="1D4ED8"/>
            <w:sz w:val="24"/>
            <w:szCs w:val="24"/>
            <w:u w:val="single"/>
          </w:rPr>
          <w:t xml:space="preserve">21 июля 2004 года № 18/2;</w:t>
        </w:r>
      </w:hyperlink>
    </w:p>
    <w:p>
      <w:pPr>
        <w:spacing w:after="60"/>
        <w:ind w:firstLine="567"/>
        <w:jc w:val="both"/>
      </w:pPr>
      <w:r>
        <w:rPr>
          <w:rFonts w:ascii="Arial" w:cs="Arial" w:eastAsia="Arial" w:hAnsi="Arial"/>
          <w:sz w:val="24"/>
          <w:szCs w:val="24"/>
        </w:rPr>
        <w:t xml:space="preserve">- "Об утверждении </w:t>
      </w:r>
      <w:hyperlink w:history="1" r:id="rIdn2yon6brpiggd4w0bx1n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w:t>
      </w:r>
      <w:hyperlink w:history="1" r:id="rIdawgdxeaccdyzqfljlk_or">
        <w:r>
          <w:rPr>
            <w:rFonts w:ascii="Arial" w:cs="Arial" w:eastAsia="Arial" w:hAnsi="Arial"/>
            <w:color w:val="1D4ED8"/>
            <w:sz w:val="24"/>
            <w:szCs w:val="24"/>
            <w:u w:val="single"/>
          </w:rPr>
          <w:t xml:space="preserve">21 июля 2004 года № 18/3;</w:t>
        </w:r>
      </w:hyperlink>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m0l8d4vsukmegaihqtb3z">
        <w:r>
          <w:rPr>
            <w:rFonts w:ascii="Arial" w:cs="Arial" w:eastAsia="Arial" w:hAnsi="Arial"/>
            <w:color w:val="1D4ED8"/>
            <w:sz w:val="24"/>
            <w:szCs w:val="24"/>
            <w:u w:val="single"/>
          </w:rPr>
          <w:t xml:space="preserve">25 августа 2005 года № 26/5;</w:t>
        </w:r>
      </w:hyperlink>
    </w:p>
    <w:p>
      <w:pPr>
        <w:spacing w:after="60"/>
        <w:ind w:firstLine="567"/>
        <w:jc w:val="both"/>
      </w:pPr>
      <w:r>
        <w:rPr>
          <w:rFonts w:ascii="Arial" w:cs="Arial" w:eastAsia="Arial" w:hAnsi="Arial"/>
          <w:sz w:val="24"/>
          <w:szCs w:val="24"/>
        </w:rPr>
        <w:t xml:space="preserve">- "Об утверждении "</w:t>
      </w:r>
      <w:hyperlink w:history="1" r:id="rIdow02nfhigdbhb8whxeis_">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создания и/или приобретения дочерних или зависимых компаний коммерческими банками Кыргызской Республики" от </w:t>
      </w:r>
      <w:hyperlink w:history="1" r:id="rIdc6ird7lai6ds_dcapyea5">
        <w:r>
          <w:rPr>
            <w:rFonts w:ascii="Arial" w:cs="Arial" w:eastAsia="Arial" w:hAnsi="Arial"/>
            <w:color w:val="1D4ED8"/>
            <w:sz w:val="24"/>
            <w:szCs w:val="24"/>
            <w:u w:val="single"/>
          </w:rPr>
          <w:t xml:space="preserve">10 июня 2009 года № 26/3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qdrvvcxj9k6loqttbavxf">
        <w:r>
          <w:rPr>
            <w:rFonts w:ascii="Arial" w:cs="Arial" w:eastAsia="Arial" w:hAnsi="Arial"/>
            <w:color w:val="1D4ED8"/>
            <w:sz w:val="24"/>
            <w:szCs w:val="24"/>
            <w:u w:val="single"/>
          </w:rPr>
          <w:t xml:space="preserve">30 июня 2010 года № 52/4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7fj6jxt6odo0ktaol_zt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w:t>
      </w:r>
      <w:hyperlink w:history="1" r:id="rIdlkicqzpqpooczwsp7gq4h">
        <w:r>
          <w:rPr>
            <w:rFonts w:ascii="Arial" w:cs="Arial" w:eastAsia="Arial" w:hAnsi="Arial"/>
            <w:color w:val="1D4ED8"/>
            <w:sz w:val="24"/>
            <w:szCs w:val="24"/>
            <w:u w:val="single"/>
          </w:rPr>
          <w:t xml:space="preserve">4 июля 2012 года № 28/7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pc4qmmtpzxyjkr7ghzf08">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w:t>
      </w:r>
      <w:hyperlink w:history="1" r:id="rIdu7jysr5vuuz7gqqf1lfmx">
        <w:r>
          <w:rPr>
            <w:rFonts w:ascii="Arial" w:cs="Arial" w:eastAsia="Arial" w:hAnsi="Arial"/>
            <w:color w:val="1D4ED8"/>
            <w:sz w:val="24"/>
            <w:szCs w:val="24"/>
            <w:u w:val="single"/>
          </w:rPr>
          <w:t xml:space="preserve">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emnzqsv8plhruk8ua0x1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w:t>
      </w:r>
      <w:hyperlink w:history="1" r:id="rIdggkx0gj7jhruxvrlogyf8">
        <w:r>
          <w:rPr>
            <w:rFonts w:ascii="Arial" w:cs="Arial" w:eastAsia="Arial" w:hAnsi="Arial"/>
            <w:color w:val="1D4ED8"/>
            <w:sz w:val="24"/>
            <w:szCs w:val="24"/>
            <w:u w:val="single"/>
          </w:rPr>
          <w:t xml:space="preserve">17 мая 2017 года № 19/12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2q1jyvzl1dccgtmf5qhx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w:t>
      </w:r>
      <w:hyperlink w:history="1" r:id="rIdebf8jbodfuadn1xkp0f-3">
        <w:r>
          <w:rPr>
            <w:rFonts w:ascii="Arial" w:cs="Arial" w:eastAsia="Arial" w:hAnsi="Arial"/>
            <w:color w:val="1D4ED8"/>
            <w:sz w:val="24"/>
            <w:szCs w:val="24"/>
            <w:u w:val="single"/>
          </w:rPr>
          <w:t xml:space="preserve">15 июня 2017 года № 2017-П-12/25-8-(НПА);</w:t>
        </w:r>
      </w:hyperlink>
    </w:p>
    <w:p>
      <w:pPr>
        <w:spacing w:after="60"/>
        <w:ind w:firstLine="567"/>
        <w:jc w:val="both"/>
      </w:pPr>
      <w:r>
        <w:rPr>
          <w:rFonts w:ascii="Arial" w:cs="Arial" w:eastAsia="Arial" w:hAnsi="Arial"/>
          <w:sz w:val="24"/>
          <w:szCs w:val="24"/>
        </w:rPr>
        <w:t xml:space="preserve">- "Об утверждении </w:t>
      </w:r>
      <w:hyperlink w:history="1" r:id="rIdd7cqttgxjitg3uhuktxe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от </w:t>
      </w:r>
      <w:hyperlink w:history="1" r:id="rIdx5nbxc8otlbqg2tmhtd7u">
        <w:r>
          <w:rPr>
            <w:rFonts w:ascii="Arial" w:cs="Arial" w:eastAsia="Arial" w:hAnsi="Arial"/>
            <w:color w:val="1D4ED8"/>
            <w:sz w:val="24"/>
            <w:szCs w:val="24"/>
            <w:u w:val="single"/>
          </w:rPr>
          <w:t xml:space="preserve">28 февраля 2018 года № 2018-П-12/7-7-(НПА);</w:t>
        </w:r>
      </w:hyperlink>
    </w:p>
    <w:p>
      <w:pPr>
        <w:spacing w:after="60"/>
        <w:ind w:firstLine="567"/>
        <w:jc w:val="both"/>
      </w:pPr>
      <w:r>
        <w:rPr>
          <w:rFonts w:ascii="Arial" w:cs="Arial" w:eastAsia="Arial" w:hAnsi="Arial"/>
          <w:sz w:val="24"/>
          <w:szCs w:val="24"/>
        </w:rPr>
        <w:t xml:space="preserve">- "Об утверждении </w:t>
      </w:r>
      <w:hyperlink w:history="1" r:id="rIdgwjpargbxwim3pjpxkvb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w:t>
      </w:r>
      <w:hyperlink w:history="1" r:id="rIdkxkc_zmxp8qyndps5b-z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w:t>
      </w:r>
      <w:hyperlink w:history="1" r:id="rIds3sxdotbrfgkydt8hfvpb">
        <w:r>
          <w:rPr>
            <w:rFonts w:ascii="Arial" w:cs="Arial" w:eastAsia="Arial" w:hAnsi="Arial"/>
            <w:color w:val="1D4ED8"/>
            <w:sz w:val="24"/>
            <w:szCs w:val="24"/>
            <w:u w:val="single"/>
          </w:rPr>
          <w:t xml:space="preserve">14 августа 2019 года № 2019-П-12/42-1-(НПА)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1 месяца со дня официального опубликования.</w:t>
      </w:r>
    </w:p>
    <w:p>
      <w:pPr>
        <w:spacing w:after="60"/>
        <w:ind w:firstLine="567"/>
        <w:jc w:val="both"/>
      </w:pPr>
      <w:r>
        <w:rPr>
          <w:rFonts w:ascii="Arial" w:cs="Arial" w:eastAsia="Arial" w:hAnsi="Arial"/>
          <w:sz w:val="24"/>
          <w:szCs w:val="24"/>
        </w:rPr>
        <w:t xml:space="preserve">3. Установить срок исполнения коммерческими банками требований по расчету коэффициента адекватности суммарного капитала (К2.1) с учетом капитала, необходимого для покрытия операционных рисков, предусмотренного в пункте 2.2 </w:t>
      </w:r>
      <w:hyperlink w:history="1" r:id="rIdjc5cdudnij8tburgttev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с 1 июля 2022 года.</w:t>
      </w:r>
    </w:p>
    <w:p>
      <w:pPr>
        <w:spacing w:after="60"/>
        <w:ind w:firstLine="567"/>
        <w:jc w:val="both"/>
      </w:pPr>
      <w:r>
        <w:rPr>
          <w:rFonts w:ascii="Arial" w:cs="Arial" w:eastAsia="Arial" w:hAnsi="Arial"/>
          <w:sz w:val="24"/>
          <w:szCs w:val="24"/>
        </w:rPr>
        <w:t xml:space="preserve">4. Установить срок исполнения коммерческими банками требований по расчету коэффициента левеража (К2.4), предусмотренного в пункте 2.3 </w:t>
      </w:r>
      <w:hyperlink w:history="1" r:id="rIdvbndfybrwbjylaukkgw9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с 1 января 2023 года.</w:t>
      </w:r>
    </w:p>
    <w:p>
      <w:pPr>
        <w:spacing w:after="60"/>
        <w:ind w:firstLine="567"/>
        <w:jc w:val="both"/>
      </w:pPr>
      <w:r>
        <w:rPr>
          <w:rFonts w:ascii="Arial" w:cs="Arial" w:eastAsia="Arial" w:hAnsi="Arial"/>
          <w:sz w:val="24"/>
          <w:szCs w:val="24"/>
        </w:rPr>
        <w:t xml:space="preserve">5. Установить для коммерческих банков соблюдение значений:</w:t>
      </w:r>
    </w:p>
    <w:p>
      <w:pPr>
        <w:spacing w:after="60"/>
        <w:ind w:firstLine="567"/>
        <w:jc w:val="both"/>
      </w:pPr>
      <w:r>
        <w:rPr>
          <w:rFonts w:ascii="Arial" w:cs="Arial" w:eastAsia="Arial" w:hAnsi="Arial"/>
          <w:sz w:val="24"/>
          <w:szCs w:val="24"/>
        </w:rPr>
        <w:t xml:space="preserve">1) коэффициента достаточности (адекватности) капитала Первого уровня (К2.2), предусмотренного в пункте 3.2 </w:t>
      </w:r>
      <w:hyperlink w:history="1" r:id="rIdu26jiw0e-ej62q8q4hps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6,5%;</w:t>
      </w:r>
    </w:p>
    <w:p>
      <w:pPr>
        <w:spacing w:after="60"/>
        <w:ind w:firstLine="567"/>
        <w:jc w:val="both"/>
      </w:pPr>
      <w:r>
        <w:rPr>
          <w:rFonts w:ascii="Arial" w:cs="Arial" w:eastAsia="Arial" w:hAnsi="Arial"/>
          <w:sz w:val="24"/>
          <w:szCs w:val="24"/>
        </w:rPr>
        <w:t xml:space="preserve">- с 1 января 2024 года - не менее 7,5%;</w:t>
      </w:r>
    </w:p>
    <w:p>
      <w:pPr>
        <w:spacing w:after="60"/>
        <w:ind w:firstLine="567"/>
        <w:jc w:val="both"/>
      </w:pPr>
      <w:r>
        <w:rPr>
          <w:rFonts w:ascii="Arial" w:cs="Arial" w:eastAsia="Arial" w:hAnsi="Arial"/>
          <w:sz w:val="24"/>
          <w:szCs w:val="24"/>
        </w:rPr>
        <w:t xml:space="preserve">2) коэффициента достаточности (адекватности) Базового капитала Первого уровня (К2.3), предусмотренного в пункте 3.2 </w:t>
      </w:r>
      <w:hyperlink w:history="1" r:id="rId4tuskqwiqidphmxednrq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5%;</w:t>
      </w:r>
    </w:p>
    <w:p>
      <w:pPr>
        <w:spacing w:after="60"/>
        <w:ind w:firstLine="567"/>
        <w:jc w:val="both"/>
      </w:pPr>
      <w:r>
        <w:rPr>
          <w:rFonts w:ascii="Arial" w:cs="Arial" w:eastAsia="Arial" w:hAnsi="Arial"/>
          <w:sz w:val="24"/>
          <w:szCs w:val="24"/>
        </w:rPr>
        <w:t xml:space="preserve">- с 1 января 2024 года - не менее 6%.</w:t>
      </w:r>
    </w:p>
    <w:p>
      <w:pPr>
        <w:spacing w:after="60"/>
        <w:ind w:firstLine="567"/>
        <w:jc w:val="both"/>
      </w:pPr>
      <w:r>
        <w:rPr>
          <w:rFonts w:ascii="Arial" w:cs="Arial" w:eastAsia="Arial" w:hAnsi="Arial"/>
          <w:sz w:val="24"/>
          <w:szCs w:val="24"/>
        </w:rPr>
        <w:t xml:space="preserve">6. Установить для системно значимых коммерческих банков соблюдение значений:</w:t>
      </w:r>
    </w:p>
    <w:p>
      <w:pPr>
        <w:spacing w:after="60"/>
        <w:ind w:firstLine="567"/>
        <w:jc w:val="both"/>
      </w:pPr>
      <w:r>
        <w:rPr>
          <w:rFonts w:ascii="Arial" w:cs="Arial" w:eastAsia="Arial" w:hAnsi="Arial"/>
          <w:sz w:val="24"/>
          <w:szCs w:val="24"/>
        </w:rPr>
        <w:t xml:space="preserve">1) коэффициента достаточности (адекватности) суммарного капитала (К2.1), предусмотренного в пункте 3.2-1 </w:t>
      </w:r>
      <w:hyperlink w:history="1" r:id="rIdhvc3kzy_gqmbebupr812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12,5%;</w:t>
      </w:r>
    </w:p>
    <w:p>
      <w:pPr>
        <w:spacing w:after="60"/>
        <w:ind w:firstLine="567"/>
        <w:jc w:val="both"/>
      </w:pPr>
      <w:r>
        <w:rPr>
          <w:rFonts w:ascii="Arial" w:cs="Arial" w:eastAsia="Arial" w:hAnsi="Arial"/>
          <w:sz w:val="24"/>
          <w:szCs w:val="24"/>
        </w:rPr>
        <w:t xml:space="preserve">- с 1 января 2024 года - не менее 14%;</w:t>
      </w:r>
    </w:p>
    <w:p>
      <w:pPr>
        <w:spacing w:after="60"/>
        <w:ind w:firstLine="567"/>
        <w:jc w:val="both"/>
      </w:pPr>
      <w:r>
        <w:rPr>
          <w:rFonts w:ascii="Arial" w:cs="Arial" w:eastAsia="Arial" w:hAnsi="Arial"/>
          <w:sz w:val="24"/>
          <w:szCs w:val="24"/>
        </w:rPr>
        <w:t xml:space="preserve">2) коэффициента достаточности (адекватности) капитала Первого уровня (К2.2), предусмотренного в пункте 3.2-1 </w:t>
      </w:r>
      <w:hyperlink w:history="1" r:id="rId9kcsw3_lhbblstaynga7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7,5%;</w:t>
      </w:r>
    </w:p>
    <w:p>
      <w:pPr>
        <w:spacing w:after="60"/>
        <w:ind w:firstLine="567"/>
        <w:jc w:val="both"/>
      </w:pPr>
      <w:r>
        <w:rPr>
          <w:rFonts w:ascii="Arial" w:cs="Arial" w:eastAsia="Arial" w:hAnsi="Arial"/>
          <w:sz w:val="24"/>
          <w:szCs w:val="24"/>
        </w:rPr>
        <w:t xml:space="preserve">- с 1 января 2024 года - не менее 9,5%;</w:t>
      </w:r>
    </w:p>
    <w:p>
      <w:pPr>
        <w:spacing w:after="60"/>
        <w:ind w:firstLine="567"/>
        <w:jc w:val="both"/>
      </w:pPr>
      <w:r>
        <w:rPr>
          <w:rFonts w:ascii="Arial" w:cs="Arial" w:eastAsia="Arial" w:hAnsi="Arial"/>
          <w:sz w:val="24"/>
          <w:szCs w:val="24"/>
        </w:rPr>
        <w:t xml:space="preserve">3) коэффициента достаточности (адекватности) Базового капитала Первого уровня (К2.3), предусмотренного в пункте 3.2-1 </w:t>
      </w:r>
      <w:hyperlink w:history="1" r:id="rIdcd8dkdquqhdz5sbekdm3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6%;</w:t>
      </w:r>
    </w:p>
    <w:p>
      <w:pPr>
        <w:spacing w:after="60"/>
        <w:ind w:firstLine="567"/>
        <w:jc w:val="both"/>
      </w:pPr>
      <w:r>
        <w:rPr>
          <w:rFonts w:ascii="Arial" w:cs="Arial" w:eastAsia="Arial" w:hAnsi="Arial"/>
          <w:sz w:val="24"/>
          <w:szCs w:val="24"/>
        </w:rPr>
        <w:t xml:space="preserve">- с 1 января 2024 года - не менее 8%.</w:t>
      </w:r>
    </w:p>
    <w:p>
      <w:pPr>
        <w:spacing w:after="60"/>
        <w:ind w:firstLine="567"/>
        <w:jc w:val="both"/>
      </w:pPr>
      <w:r>
        <w:rPr>
          <w:rFonts w:ascii="Arial" w:cs="Arial" w:eastAsia="Arial" w:hAnsi="Arial"/>
          <w:sz w:val="24"/>
          <w:szCs w:val="24"/>
        </w:rPr>
        <w:t xml:space="preserve">7. Установить для коммерческих банков срок действия подпункта 2 пункта 3.10 </w:t>
      </w:r>
      <w:hyperlink w:history="1" r:id="rId6sh3xo_arpgjeipbkcix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в части, касающейся исключения нематериальных активов, связанных с техническими и программными продуктами, до января 2024 года.</w:t>
      </w:r>
    </w:p>
    <w:p>
      <w:pPr>
        <w:spacing w:after="60"/>
        <w:ind w:firstLine="567"/>
        <w:jc w:val="both"/>
      </w:pPr>
      <w:r>
        <w:rPr>
          <w:rFonts w:ascii="Arial" w:cs="Arial" w:eastAsia="Arial" w:hAnsi="Arial"/>
          <w:sz w:val="24"/>
          <w:szCs w:val="24"/>
        </w:rPr>
        <w:t xml:space="preserve">8. Признать утратившим силу пункт 3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27 декабря 2019 года № 2019-П-12/68-2-(НПА) со дня вступления в силу настоящего постановления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9.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10.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ОАО "Финансовая компания кредитных союзов", ОЮЛ "Ассоциация микрофинансовых организаций", микрофинансовых компаний, имеющих право на привлечение депозитов, соответствующих структурных подразделений, областных управлений,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11.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15 сентября 2021 года № 2021-П-12/51-1-(НПА)</w:t>
      </w:r>
    </w:p>
    <w:p>
      <w:pPr>
        <w:spacing w:after="400" w:before="4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 по вопросу управления рисками и капитала банков</w:t>
      </w:r>
    </w:p>
    <w:p>
      <w:pPr>
        <w:spacing w:after="60"/>
        <w:ind w:firstLine="567"/>
        <w:jc w:val="both"/>
      </w:pPr>
      <w:r>
        <w:rPr>
          <w:rFonts w:ascii="Arial" w:cs="Arial" w:eastAsia="Arial" w:hAnsi="Arial"/>
          <w:sz w:val="24"/>
          <w:szCs w:val="24"/>
        </w:rPr>
        <w:t xml:space="preserve">1. Внести в </w:t>
      </w:r>
      <w:hyperlink w:history="1" r:id="rIdznlobvvewgwffek_pja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qu0nxsucewjdx-durbz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pPr>
        <w:spacing w:after="60"/>
        <w:ind w:firstLine="567"/>
        <w:jc w:val="both"/>
      </w:pPr>
      <w:r>
        <w:rPr>
          <w:rFonts w:ascii="Arial" w:cs="Arial" w:eastAsia="Arial" w:hAnsi="Arial"/>
          <w:sz w:val="24"/>
          <w:szCs w:val="24"/>
        </w:rPr>
        <w:t xml:space="preserve">в </w:t>
      </w:r>
      <w:hyperlink w:history="1" r:id="rIdr3uaqc6-skrhzujilvlf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778lreoze89rbofjp-h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3.2:</w:t>
      </w:r>
    </w:p>
    <w:p>
      <w:pPr>
        <w:spacing w:after="60"/>
        <w:ind w:firstLine="567"/>
        <w:jc w:val="both"/>
      </w:pPr>
      <w:r>
        <w:rPr>
          <w:rFonts w:ascii="Arial" w:cs="Arial" w:eastAsia="Arial" w:hAnsi="Arial"/>
          <w:sz w:val="24"/>
          <w:szCs w:val="24"/>
        </w:rPr>
        <w:t xml:space="preserve">в абзаце третьем цифру "6%" заменить цифрой "7,5%";</w:t>
      </w:r>
    </w:p>
    <w:p>
      <w:pPr>
        <w:spacing w:after="60"/>
        <w:ind w:firstLine="567"/>
        <w:jc w:val="both"/>
      </w:pPr>
      <w:r>
        <w:rPr>
          <w:rFonts w:ascii="Arial" w:cs="Arial" w:eastAsia="Arial" w:hAnsi="Arial"/>
          <w:sz w:val="24"/>
          <w:szCs w:val="24"/>
        </w:rPr>
        <w:t xml:space="preserve">в абзаце четвертом цифру "4,5%" заменить цифрой "6%";</w:t>
      </w:r>
    </w:p>
    <w:p>
      <w:pPr>
        <w:spacing w:after="60"/>
        <w:ind w:firstLine="567"/>
        <w:jc w:val="both"/>
      </w:pPr>
      <w:r>
        <w:rPr>
          <w:rFonts w:ascii="Arial" w:cs="Arial" w:eastAsia="Arial" w:hAnsi="Arial"/>
          <w:sz w:val="24"/>
          <w:szCs w:val="24"/>
        </w:rPr>
        <w:t xml:space="preserve">- </w:t>
      </w:r>
      <w:hyperlink w:history="1" r:id="rIds0riqdxa1apgwy5xvsc1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3.2-1 следующего содержания:</w:t>
      </w:r>
    </w:p>
    <w:p>
      <w:pPr>
        <w:spacing w:after="60"/>
        <w:ind w:firstLine="567"/>
        <w:jc w:val="both"/>
      </w:pPr>
      <w:r>
        <w:rPr>
          <w:rFonts w:ascii="Arial" w:cs="Arial" w:eastAsia="Arial" w:hAnsi="Arial"/>
          <w:sz w:val="24"/>
          <w:szCs w:val="24"/>
        </w:rPr>
        <w:t xml:space="preserve">"3.2-1. Для системно значимых банков коэффициенты достаточности (адекватности) капитала должны составлять:</w:t>
      </w:r>
    </w:p>
    <w:p>
      <w:pPr>
        <w:spacing w:after="60"/>
        <w:ind w:firstLine="567"/>
        <w:jc w:val="both"/>
      </w:pPr>
      <w:r>
        <w:rPr>
          <w:rFonts w:ascii="Arial" w:cs="Arial" w:eastAsia="Arial" w:hAnsi="Arial"/>
          <w:sz w:val="24"/>
          <w:szCs w:val="24"/>
        </w:rPr>
        <w:t xml:space="preserve">- коэффициент достаточности (адекватности) суммарного капитала (К2.1) - не менее 14%;</w:t>
      </w:r>
    </w:p>
    <w:p>
      <w:pPr>
        <w:spacing w:after="60"/>
        <w:ind w:firstLine="567"/>
        <w:jc w:val="both"/>
      </w:pPr>
      <w:r>
        <w:rPr>
          <w:rFonts w:ascii="Arial" w:cs="Arial" w:eastAsia="Arial" w:hAnsi="Arial"/>
          <w:sz w:val="24"/>
          <w:szCs w:val="24"/>
        </w:rPr>
        <w:t xml:space="preserve">- коэффициент достаточности (адекватности) капитала Первого уровня (К2.2) - не менее 9,5%; </w:t>
      </w:r>
    </w:p>
    <w:p>
      <w:pPr>
        <w:spacing w:after="60"/>
        <w:ind w:firstLine="567"/>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8%.";</w:t>
      </w:r>
    </w:p>
    <w:p>
      <w:pPr>
        <w:spacing w:after="60"/>
        <w:ind w:firstLine="567"/>
        <w:jc w:val="both"/>
      </w:pPr>
      <w:r>
        <w:rPr>
          <w:rFonts w:ascii="Arial" w:cs="Arial" w:eastAsia="Arial" w:hAnsi="Arial"/>
          <w:sz w:val="24"/>
          <w:szCs w:val="24"/>
        </w:rPr>
        <w:t xml:space="preserve">- в пункте 3.3 цифру "8%" заменить цифрой "6%".</w:t>
      </w:r>
    </w:p>
    <w:p>
      <w:pPr>
        <w:spacing w:after="60"/>
        <w:ind w:firstLine="567"/>
        <w:jc w:val="both"/>
      </w:pPr>
      <w:r>
        <w:rPr>
          <w:rFonts w:ascii="Arial" w:cs="Arial" w:eastAsia="Arial" w:hAnsi="Arial"/>
          <w:sz w:val="24"/>
          <w:szCs w:val="24"/>
        </w:rPr>
        <w:t xml:space="preserve">2. Внести в </w:t>
      </w:r>
      <w:hyperlink w:history="1" r:id="rIdsxxpgrzrqkqqtsyxdaa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8xkb8duxnx48xykafdgw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 </w:t>
      </w:r>
    </w:p>
    <w:p>
      <w:pPr>
        <w:spacing w:after="60"/>
        <w:ind w:firstLine="567"/>
        <w:jc w:val="both"/>
      </w:pPr>
      <w:r>
        <w:rPr>
          <w:rFonts w:ascii="Arial" w:cs="Arial" w:eastAsia="Arial" w:hAnsi="Arial"/>
          <w:sz w:val="24"/>
          <w:szCs w:val="24"/>
        </w:rPr>
        <w:t xml:space="preserve">в </w:t>
      </w:r>
      <w:hyperlink w:history="1" r:id="rId1moh5hvk7khrz6lnhoex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bnjwwv-u7js7xu6hxsy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2.1.2 изложить в следующей редакции:</w:t>
      </w:r>
    </w:p>
    <w:p>
      <w:pPr>
        <w:spacing w:after="60"/>
        <w:ind w:firstLine="567"/>
        <w:jc w:val="both"/>
      </w:pPr>
      <w:r>
        <w:rPr>
          <w:rFonts w:ascii="Arial" w:cs="Arial" w:eastAsia="Arial" w:hAnsi="Arial"/>
          <w:sz w:val="24"/>
          <w:szCs w:val="24"/>
        </w:rPr>
        <w:t xml:space="preserve">"2.1.2. Собственный (регулятивный) капитал является капиталом Первого уровня.";</w:t>
      </w:r>
    </w:p>
    <w:p>
      <w:pPr>
        <w:spacing w:after="60"/>
        <w:ind w:firstLine="567"/>
        <w:jc w:val="both"/>
      </w:pPr>
      <w:r>
        <w:rPr>
          <w:rFonts w:ascii="Arial" w:cs="Arial" w:eastAsia="Arial" w:hAnsi="Arial"/>
          <w:sz w:val="24"/>
          <w:szCs w:val="24"/>
        </w:rPr>
        <w:t xml:space="preserve">- в пункте 2.2: </w:t>
      </w:r>
    </w:p>
    <w:p>
      <w:pPr>
        <w:spacing w:after="60"/>
        <w:ind w:firstLine="567"/>
        <w:jc w:val="both"/>
      </w:pPr>
      <w:r>
        <w:rPr>
          <w:rFonts w:ascii="Arial" w:cs="Arial" w:eastAsia="Arial" w:hAnsi="Arial"/>
          <w:sz w:val="24"/>
          <w:szCs w:val="24"/>
        </w:rPr>
        <w:t xml:space="preserve">подпункт "а" изложить в следующей редакции:</w:t>
      </w:r>
    </w:p>
    <w:p>
      <w:pPr>
        <w:spacing w:after="60"/>
        <w:ind w:firstLine="567"/>
        <w:jc w:val="both"/>
      </w:pPr>
      <w:r>
        <w:rPr>
          <w:rFonts w:ascii="Arial" w:cs="Arial" w:eastAsia="Arial" w:hAnsi="Arial"/>
          <w:sz w:val="24"/>
          <w:szCs w:val="24"/>
        </w:rPr>
        <w:t xml:space="preserve">"а) коэффициент достаточности (адекватности) суммарного капитала (К2.1)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К2.1 = (ЧСК / (ЧРА + П * Кор))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ЧСК - чистый Суммарный капитал, который определяется как сумма капитала Первого уровня и капитала Второго уровня.</w:t>
      </w:r>
    </w:p>
    <w:p>
      <w:pPr>
        <w:spacing w:after="60"/>
        <w:ind w:firstLine="567"/>
        <w:jc w:val="both"/>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60"/>
        <w:ind w:firstLine="567"/>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 </w:t>
      </w:r>
    </w:p>
    <w:p>
      <w:pPr>
        <w:spacing w:after="60"/>
        <w:ind w:firstLine="567"/>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абзац первый подпункта "б" изложить в следующей редакции: </w:t>
      </w:r>
    </w:p>
    <w:p>
      <w:pPr>
        <w:spacing w:after="60"/>
        <w:ind w:firstLine="567"/>
        <w:jc w:val="both"/>
      </w:pPr>
      <w:r>
        <w:rPr>
          <w:rFonts w:ascii="Arial" w:cs="Arial" w:eastAsia="Arial" w:hAnsi="Arial"/>
          <w:sz w:val="24"/>
          <w:szCs w:val="24"/>
        </w:rPr>
        <w:t xml:space="preserve">"б) коэффициент достаточности (адекватности) капитала Первого уровня (К2.2) определяется по формуле:"; </w:t>
      </w:r>
    </w:p>
    <w:p>
      <w:pPr>
        <w:spacing w:after="60"/>
        <w:ind w:firstLine="567"/>
        <w:jc w:val="both"/>
      </w:pPr>
      <w:r>
        <w:rPr>
          <w:rFonts w:ascii="Arial" w:cs="Arial" w:eastAsia="Arial" w:hAnsi="Arial"/>
          <w:sz w:val="24"/>
          <w:szCs w:val="24"/>
        </w:rPr>
        <w:t xml:space="preserve">абзац первый подпункта "в" изложить в следующей редакции: </w:t>
      </w:r>
    </w:p>
    <w:p>
      <w:pPr>
        <w:spacing w:after="60"/>
        <w:ind w:firstLine="567"/>
        <w:jc w:val="both"/>
      </w:pPr>
      <w:r>
        <w:rPr>
          <w:rFonts w:ascii="Arial" w:cs="Arial" w:eastAsia="Arial" w:hAnsi="Arial"/>
          <w:sz w:val="24"/>
          <w:szCs w:val="24"/>
        </w:rPr>
        <w:t xml:space="preserve">"в) коэффициент достаточности (адекватности) Базового капитала Первого уровня (К2.3) определяется по формуле:";</w:t>
      </w:r>
    </w:p>
    <w:p>
      <w:pPr>
        <w:spacing w:after="60"/>
        <w:ind w:firstLine="567"/>
        <w:jc w:val="both"/>
      </w:pPr>
      <w:r>
        <w:rPr>
          <w:rFonts w:ascii="Arial" w:cs="Arial" w:eastAsia="Arial" w:hAnsi="Arial"/>
          <w:sz w:val="24"/>
          <w:szCs w:val="24"/>
        </w:rPr>
        <w:t xml:space="preserve">- пункт 2.3 изложить в следующей редакции: </w:t>
      </w:r>
    </w:p>
    <w:p>
      <w:pPr>
        <w:spacing w:after="60"/>
        <w:ind w:firstLine="567"/>
        <w:jc w:val="both"/>
      </w:pPr>
      <w:r>
        <w:rPr>
          <w:rFonts w:ascii="Arial" w:cs="Arial" w:eastAsia="Arial" w:hAnsi="Arial"/>
          <w:sz w:val="24"/>
          <w:szCs w:val="24"/>
        </w:rPr>
        <w:t xml:space="preserve">"2.3. Левераж (К2.4)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К2.4 = (КПУ / (СА + ЗО)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СА - суммарные активы банка за минусом нематериальных активов и специальных резервов на покрытие потенциальных потерь и убытков;</w:t>
      </w:r>
    </w:p>
    <w:p>
      <w:pPr>
        <w:spacing w:after="60"/>
        <w:ind w:firstLine="567"/>
        <w:jc w:val="both"/>
      </w:pPr>
      <w:r>
        <w:rPr>
          <w:rFonts w:ascii="Arial" w:cs="Arial" w:eastAsia="Arial" w:hAnsi="Arial"/>
          <w:sz w:val="24"/>
          <w:szCs w:val="24"/>
        </w:rPr>
        <w:t xml:space="preserve">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кредитной конверсии) в пределах суммы взвешенных забалансовых обязательств.";</w:t>
      </w:r>
    </w:p>
    <w:p>
      <w:pPr>
        <w:spacing w:after="60"/>
        <w:ind w:firstLine="567"/>
        <w:jc w:val="both"/>
      </w:pPr>
      <w:r>
        <w:rPr>
          <w:rFonts w:ascii="Arial" w:cs="Arial" w:eastAsia="Arial" w:hAnsi="Arial"/>
          <w:sz w:val="24"/>
          <w:szCs w:val="24"/>
        </w:rPr>
        <w:t xml:space="preserve">- пункт 3.10 изложить в следующей редакции:</w:t>
      </w:r>
    </w:p>
    <w:p>
      <w:pPr>
        <w:spacing w:after="60"/>
        <w:ind w:firstLine="567"/>
        <w:jc w:val="both"/>
      </w:pPr>
      <w:r>
        <w:rPr>
          <w:rFonts w:ascii="Arial" w:cs="Arial" w:eastAsia="Arial" w:hAnsi="Arial"/>
          <w:sz w:val="24"/>
          <w:szCs w:val="24"/>
        </w:rPr>
        <w:t xml:space="preserve">"3.10.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60"/>
        <w:ind w:firstLine="567"/>
        <w:jc w:val="both"/>
      </w:pPr>
      <w:r>
        <w:rPr>
          <w:rFonts w:ascii="Arial" w:cs="Arial" w:eastAsia="Arial" w:hAnsi="Arial"/>
          <w:sz w:val="24"/>
          <w:szCs w:val="24"/>
        </w:rPr>
        <w:t xml:space="preserve">1) убытки за текущий год;</w:t>
      </w:r>
    </w:p>
    <w:p>
      <w:pPr>
        <w:spacing w:after="60"/>
        <w:ind w:firstLine="567"/>
        <w:jc w:val="both"/>
      </w:pPr>
      <w:r>
        <w:rPr>
          <w:rFonts w:ascii="Arial" w:cs="Arial" w:eastAsia="Arial" w:hAnsi="Arial"/>
          <w:sz w:val="24"/>
          <w:szCs w:val="24"/>
        </w:rPr>
        <w:t xml:space="preserve">2) нематериальные активы, за исключением активов, связанных с техническими и программными продуктами (например, для биометрической идентификации, смарт-контракты и др.), направленными на увеличение количества клиентов и охвата услуг, которые соответствуют следующим требованиям:</w:t>
      </w:r>
    </w:p>
    <w:p>
      <w:pPr>
        <w:spacing w:after="60"/>
        <w:ind w:firstLine="567"/>
        <w:jc w:val="both"/>
      </w:pPr>
      <w:r>
        <w:rPr>
          <w:rFonts w:ascii="Arial" w:cs="Arial" w:eastAsia="Arial" w:hAnsi="Arial"/>
          <w:sz w:val="24"/>
          <w:szCs w:val="24"/>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 </w:t>
      </w:r>
    </w:p>
    <w:p>
      <w:pPr>
        <w:spacing w:after="60"/>
        <w:ind w:firstLine="567"/>
        <w:jc w:val="both"/>
      </w:pPr>
      <w:r>
        <w:rPr>
          <w:rFonts w:ascii="Arial" w:cs="Arial" w:eastAsia="Arial" w:hAnsi="Arial"/>
          <w:sz w:val="24"/>
          <w:szCs w:val="24"/>
        </w:rPr>
        <w:t xml:space="preserve">-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pPr>
        <w:spacing w:after="60"/>
        <w:ind w:firstLine="567"/>
        <w:jc w:val="both"/>
      </w:pPr>
      <w:r>
        <w:rPr>
          <w:rFonts w:ascii="Arial" w:cs="Arial" w:eastAsia="Arial" w:hAnsi="Arial"/>
          <w:sz w:val="24"/>
          <w:szCs w:val="24"/>
        </w:rPr>
        <w:t xml:space="preserve">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pPr>
        <w:spacing w:after="60"/>
        <w:ind w:firstLine="567"/>
        <w:jc w:val="both"/>
      </w:pPr>
      <w:r>
        <w:rPr>
          <w:rFonts w:ascii="Arial" w:cs="Arial" w:eastAsia="Arial" w:hAnsi="Arial"/>
          <w:sz w:val="24"/>
          <w:szCs w:val="24"/>
        </w:rPr>
        <w:t xml:space="preserve">Данные технические и программные продукты должны учитываться банком по балансовой стоимости;</w:t>
      </w:r>
    </w:p>
    <w:p>
      <w:pPr>
        <w:spacing w:after="60"/>
        <w:ind w:firstLine="567"/>
        <w:jc w:val="both"/>
      </w:pPr>
      <w:r>
        <w:rPr>
          <w:rFonts w:ascii="Arial" w:cs="Arial" w:eastAsia="Arial" w:hAnsi="Arial"/>
          <w:sz w:val="24"/>
          <w:szCs w:val="24"/>
        </w:rPr>
        <w:t xml:space="preserve">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 </w:t>
      </w:r>
    </w:p>
    <w:p>
      <w:pPr>
        <w:spacing w:after="60"/>
        <w:ind w:firstLine="567"/>
        <w:jc w:val="both"/>
      </w:pPr>
      <w:r>
        <w:rPr>
          <w:rFonts w:ascii="Arial" w:cs="Arial" w:eastAsia="Arial" w:hAnsi="Arial"/>
          <w:sz w:val="24"/>
          <w:szCs w:val="24"/>
        </w:rPr>
        <w:t xml:space="preserve">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60"/>
        <w:ind w:firstLine="567"/>
        <w:jc w:val="both"/>
      </w:pPr>
      <w:r>
        <w:rPr>
          <w:rFonts w:ascii="Arial" w:cs="Arial" w:eastAsia="Arial" w:hAnsi="Arial"/>
          <w:sz w:val="24"/>
          <w:szCs w:val="24"/>
        </w:rPr>
        <w:t xml:space="preserve">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pPr>
        <w:spacing w:after="60"/>
        <w:ind w:firstLine="567"/>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pPr>
        <w:spacing w:after="60"/>
        <w:ind w:firstLine="567"/>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60"/>
        <w:ind w:firstLine="567"/>
        <w:jc w:val="both"/>
      </w:pPr>
      <w:r>
        <w:rPr>
          <w:rFonts w:ascii="Arial" w:cs="Arial" w:eastAsia="Arial" w:hAnsi="Arial"/>
          <w:sz w:val="24"/>
          <w:szCs w:val="24"/>
        </w:rPr>
        <w:t xml:space="preserve">- в пункте 4.3: </w:t>
      </w:r>
    </w:p>
    <w:p>
      <w:pPr>
        <w:spacing w:after="60"/>
        <w:ind w:firstLine="567"/>
        <w:jc w:val="both"/>
      </w:pPr>
      <w:r>
        <w:rPr>
          <w:rFonts w:ascii="Arial" w:cs="Arial" w:eastAsia="Arial" w:hAnsi="Arial"/>
          <w:sz w:val="24"/>
          <w:szCs w:val="24"/>
        </w:rPr>
        <w:t xml:space="preserve">в подпункте 1 подпункт "и" признать утратившим силу;</w:t>
      </w:r>
    </w:p>
    <w:p>
      <w:pPr>
        <w:spacing w:after="60"/>
        <w:ind w:firstLine="567"/>
        <w:jc w:val="both"/>
      </w:pPr>
      <w:r>
        <w:rPr>
          <w:rFonts w:ascii="Arial" w:cs="Arial" w:eastAsia="Arial" w:hAnsi="Arial"/>
          <w:sz w:val="24"/>
          <w:szCs w:val="24"/>
        </w:rPr>
        <w:t xml:space="preserve">в подпункте 4 подпункт "г" признать утратившим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пунктом 5.3-1 следующего содержания:</w:t>
      </w:r>
    </w:p>
    <w:p>
      <w:pPr>
        <w:spacing w:after="60"/>
        <w:ind w:firstLine="567"/>
        <w:jc w:val="both"/>
      </w:pPr>
      <w:r>
        <w:rPr>
          <w:rFonts w:ascii="Arial" w:cs="Arial" w:eastAsia="Arial" w:hAnsi="Arial"/>
          <w:sz w:val="24"/>
          <w:szCs w:val="24"/>
        </w:rPr>
        <w:t xml:space="preserve">"5.3-1. К забалансовым обязательствам, по которым банк имеет право безусловного отзыва/аннулирования в любое время без предварительного уведомления клиента, применяется фактор кредитной конверсии в размере 10%.";</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w:t>
      </w:r>
      <w:r>
        <w:rPr>
          <w:rFonts w:ascii="Arial" w:cs="Arial" w:eastAsia="Arial" w:hAnsi="Arial"/>
          <w:sz w:val="24"/>
          <w:szCs w:val="24"/>
        </w:rPr>
        <w:t xml:space="preserve"> к Инструкции: </w:t>
      </w:r>
    </w:p>
    <w:p>
      <w:pPr>
        <w:spacing w:after="60"/>
        <w:ind w:firstLine="567"/>
        <w:jc w:val="both"/>
      </w:pPr>
      <w:r>
        <w:rPr>
          <w:rFonts w:ascii="Arial" w:cs="Arial" w:eastAsia="Arial" w:hAnsi="Arial"/>
          <w:sz w:val="24"/>
          <w:szCs w:val="24"/>
        </w:rPr>
        <w:t xml:space="preserve">в разделе "Забалансовые обязательства":</w:t>
      </w:r>
    </w:p>
    <w:p>
      <w:pPr>
        <w:spacing w:after="60"/>
        <w:ind w:firstLine="567"/>
        <w:jc w:val="both"/>
      </w:pPr>
      <w:r>
        <w:rPr>
          <w:rFonts w:ascii="Arial" w:cs="Arial" w:eastAsia="Arial" w:hAnsi="Arial"/>
          <w:sz w:val="24"/>
          <w:szCs w:val="24"/>
        </w:rPr>
        <w:t xml:space="preserve">дополнить статьей 595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6852"/>
        <w:gridCol w:w="723"/>
        <w:gridCol w:w="723"/>
        <w:gridCol w:w="723"/>
        <w:gridCol w:w="621"/>
      </w:tblGrid>
      <w:tr>
        <w:tc>
          <w:tcPr>
            <w:tcW w:type="dxa" w:w="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6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статью 600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6852"/>
        <w:gridCol w:w="723"/>
        <w:gridCol w:w="723"/>
        <w:gridCol w:w="723"/>
        <w:gridCol w:w="621"/>
      </w:tblGrid>
      <w:tr>
        <w:tc>
          <w:tcPr>
            <w:tcW w:type="dxa" w:w="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510-595)</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xmgapsmbyb32ohcammu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fjgisimhceqwjlbyp4e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pPr>
        <w:spacing w:after="60"/>
        <w:ind w:firstLine="567"/>
        <w:jc w:val="both"/>
      </w:pPr>
      <w:r>
        <w:rPr>
          <w:rFonts w:ascii="Arial" w:cs="Arial" w:eastAsia="Arial" w:hAnsi="Arial"/>
          <w:sz w:val="24"/>
          <w:szCs w:val="24"/>
        </w:rPr>
        <w:t xml:space="preserve">в </w:t>
      </w:r>
      <w:hyperlink w:history="1" r:id="rIdv-xaqfdoifenosf0ulo5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peilwg7wvhqwpnzfbzc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4.1.1.:</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"4.1.1. Нормальными называются те активы, обеспечение по которым покрывает в полном объеме основную сумму актива и сумму процентной ставки, рассчитанную как произведение основной суммы актива и номинальной процентной ставки в годовом выражении согласно договору (например, основная сумма актива составляет 100 тыс. сом, а процентная ставка 10%, соответственно, покрытие должно составлять 110 тыс. сом). При этом данное обеспечение состоит из:";</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подпункт 5 изложить в следующей редакции:</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w:t>
      </w:r>
    </w:p>
    <w:p>
      <w:pPr>
        <w:spacing w:after="60"/>
        <w:ind w:firstLine="567"/>
        <w:jc w:val="both"/>
      </w:pPr>
      <w:r>
        <w:rPr>
          <w:rFonts w:ascii="Arial" w:cs="Arial" w:eastAsia="Arial" w:hAnsi="Arial"/>
          <w:sz w:val="24"/>
          <w:szCs w:val="24"/>
        </w:rPr>
        <w:t xml:space="preserve">- пункт 4.1.3. признать утратившим силу;</w:t>
      </w:r>
    </w:p>
    <w:p>
      <w:pPr>
        <w:spacing w:after="60"/>
        <w:ind w:firstLine="567"/>
        <w:jc w:val="both"/>
      </w:pPr>
      <w:r>
        <w:rPr>
          <w:rFonts w:ascii="Arial" w:cs="Arial" w:eastAsia="Arial" w:hAnsi="Arial"/>
          <w:sz w:val="24"/>
          <w:szCs w:val="24"/>
        </w:rPr>
        <w:t xml:space="preserve">- в пункте 4.2.2.:</w:t>
      </w:r>
    </w:p>
    <w:p>
      <w:pPr>
        <w:spacing w:after="60"/>
        <w:ind w:firstLine="567"/>
        <w:jc w:val="both"/>
      </w:pPr>
      <w:r>
        <w:rPr>
          <w:rFonts w:ascii="Arial" w:cs="Arial" w:eastAsia="Arial" w:hAnsi="Arial"/>
          <w:sz w:val="24"/>
          <w:szCs w:val="24"/>
        </w:rPr>
        <w:t xml:space="preserve">абзац шестой изложить в следующей редакции:</w:t>
      </w:r>
    </w:p>
    <w:p>
      <w:pPr>
        <w:spacing w:after="60"/>
        <w:ind w:firstLine="567"/>
        <w:jc w:val="both"/>
      </w:pPr>
      <w:r>
        <w:rPr>
          <w:rFonts w:ascii="Arial" w:cs="Arial" w:eastAsia="Arial" w:hAnsi="Arial"/>
          <w:sz w:val="24"/>
          <w:szCs w:val="24"/>
        </w:rPr>
        <w:t xml:space="preserve">"имеется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60"/>
        <w:ind w:firstLine="567"/>
        <w:jc w:val="both"/>
      </w:pPr>
      <w:r>
        <w:rPr>
          <w:rFonts w:ascii="Arial" w:cs="Arial" w:eastAsia="Arial" w:hAnsi="Arial"/>
          <w:sz w:val="24"/>
          <w:szCs w:val="24"/>
        </w:rPr>
        <w:t xml:space="preserve">- в пункте 5.3.2.:</w:t>
      </w:r>
    </w:p>
    <w:p>
      <w:pPr>
        <w:spacing w:after="60"/>
        <w:ind w:firstLine="567"/>
        <w:jc w:val="both"/>
      </w:pPr>
      <w:r>
        <w:rPr>
          <w:rFonts w:ascii="Arial" w:cs="Arial" w:eastAsia="Arial" w:hAnsi="Arial"/>
          <w:sz w:val="24"/>
          <w:szCs w:val="24"/>
        </w:rPr>
        <w:t xml:space="preserve">абзац восьмой изложить в следующей редакции:</w:t>
      </w:r>
    </w:p>
    <w:p>
      <w:pPr>
        <w:spacing w:after="60"/>
        <w:ind w:firstLine="567"/>
        <w:jc w:val="both"/>
      </w:pPr>
      <w:r>
        <w:rPr>
          <w:rFonts w:ascii="Arial" w:cs="Arial" w:eastAsia="Arial" w:hAnsi="Arial"/>
          <w:sz w:val="24"/>
          <w:szCs w:val="24"/>
        </w:rPr>
        <w:t xml:space="preserve">"- предоставление активов субъектам оффшорных зон,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Внести в </w:t>
      </w:r>
      <w:hyperlink w:history="1" r:id="rIdbrj9gmybefvbw-e29ht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pPr>
        <w:spacing w:after="60"/>
        <w:ind w:firstLine="567"/>
        <w:jc w:val="both"/>
      </w:pPr>
      <w:r>
        <w:rPr>
          <w:rFonts w:ascii="Arial" w:cs="Arial" w:eastAsia="Arial" w:hAnsi="Arial"/>
          <w:sz w:val="24"/>
          <w:szCs w:val="24"/>
        </w:rPr>
        <w:t xml:space="preserve">в </w:t>
      </w:r>
      <w:hyperlink w:history="1" r:id="rId9wdx9rusybpswfhmam0h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qcvmxr-umfge4j187rr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Раздел 14</w:t>
      </w:r>
      <w:r>
        <w:rPr>
          <w:rFonts w:ascii="Arial" w:cs="Arial" w:eastAsia="Arial" w:hAnsi="Arial"/>
          <w:sz w:val="24"/>
          <w:szCs w:val="24"/>
        </w:rPr>
        <w:t xml:space="preserve"> изложить в следующей редакции:</w:t>
      </w:r>
    </w:p>
    <w:p>
      <w:pPr>
        <w:spacing w:after="200" w:before="200"/>
        <w:jc w:val="center"/>
      </w:pPr>
      <w:r>
        <w:rPr>
          <w:rFonts w:ascii="Arial" w:cs="Arial" w:eastAsia="Arial" w:hAnsi="Arial"/>
          <w:b/>
          <w:bCs/>
          <w:sz w:val="32"/>
          <w:szCs w:val="32"/>
        </w:rPr>
        <w:t xml:space="preserve">"РАЗДЕЛ 14
 СВЕДЕНИЯ О СОБЛЮДЕНИИ ЭКОНОМИЧЕСКИХ НОРМАТИВОВ И ТРЕБОВАНИЯ О ПОДДЕРЖКЕ ДОПОЛНИТЕЛЬНОГО ЗАПАСА КАПИТАЛА БАНКА (ИНДЕКС "БУФЕР КАПИТАЛА")</w:t>
      </w:r>
    </w:p>
    <w:p>
      <w:pPr>
        <w:spacing w:after="6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2"/>
        <w:gridCol w:w="1189"/>
        <w:gridCol w:w="2083"/>
        <w:gridCol w:w="1270"/>
        <w:gridCol w:w="1596"/>
        <w:gridCol w:w="1448"/>
      </w:tblGrid>
      <w:tr>
        <w:tc>
          <w:tcPr>
            <w:tcW w:type="dxa" w:w="25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2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1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от установленного норматива</w:t>
            </w:r>
          </w:p>
        </w:tc>
      </w:tr>
      <w:tr>
        <w:tc>
          <w:tcPr>
            <w:tcW w:type="dxa" w:w="25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К1.1</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К1.2</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 </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K1.3</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 30%</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К1.4</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К2.1</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 + П * Кор</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12%/14%**</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К2.2</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7,5%/9,5%**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К2.3</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6%/8%**</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К2.4</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СА + ЗО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К3.1</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 (указать значение)</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ликвидности в иностранной валюте</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 ----- ----- ОБВ</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pPr>
        <w:spacing w:after="60"/>
        <w:ind w:firstLine="567"/>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от 27 декабря 2019 года № 2019-П-12/68-1-(НПА);</w:t>
      </w:r>
    </w:p>
    <w:p>
      <w:pPr>
        <w:spacing w:after="60"/>
        <w:ind w:firstLine="567"/>
        <w:jc w:val="both"/>
      </w:pPr>
      <w:r>
        <w:rPr>
          <w:rFonts w:ascii="Arial" w:cs="Arial" w:eastAsia="Arial" w:hAnsi="Arial"/>
          <w:sz w:val="24"/>
          <w:szCs w:val="24"/>
        </w:rPr>
        <w:t xml:space="preserve">КПУ - Капитал Первого уровня;</w:t>
      </w:r>
    </w:p>
    <w:p>
      <w:pPr>
        <w:spacing w:after="60"/>
        <w:ind w:firstLine="567"/>
        <w:jc w:val="both"/>
      </w:pPr>
      <w:r>
        <w:rPr>
          <w:rFonts w:ascii="Arial" w:cs="Arial" w:eastAsia="Arial" w:hAnsi="Arial"/>
          <w:sz w:val="24"/>
          <w:szCs w:val="24"/>
        </w:rPr>
        <w:t xml:space="preserve">БКПУ - Базовый капитал Первого уровня;</w:t>
      </w:r>
    </w:p>
    <w:p>
      <w:pPr>
        <w:spacing w:after="60"/>
        <w:ind w:firstLine="567"/>
        <w:jc w:val="both"/>
      </w:pPr>
      <w:r>
        <w:rPr>
          <w:rFonts w:ascii="Arial" w:cs="Arial" w:eastAsia="Arial" w:hAnsi="Arial"/>
          <w:sz w:val="24"/>
          <w:szCs w:val="24"/>
        </w:rPr>
        <w:t xml:space="preserve">** - значение для системно значимых банков.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2"/>
        <w:gridCol w:w="2032"/>
        <w:gridCol w:w="999"/>
        <w:gridCol w:w="999"/>
        <w:gridCol w:w="999"/>
        <w:gridCol w:w="999"/>
        <w:gridCol w:w="999"/>
        <w:gridCol w:w="997"/>
      </w:tblGrid>
      <w:tr>
        <w:tc>
          <w:tcPr>
            <w:tcW w:type="dxa" w:w="21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неделя</w:t>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 = ЛА / ОБ</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9"/>
        <w:gridCol w:w="2134"/>
        <w:gridCol w:w="813"/>
        <w:gridCol w:w="813"/>
        <w:gridCol w:w="813"/>
        <w:gridCol w:w="813"/>
        <w:gridCol w:w="813"/>
        <w:gridCol w:w="813"/>
      </w:tblGrid>
      <w:tr>
        <w:tc>
          <w:tcPr>
            <w:tcW w:type="dxa" w:w="3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неделя</w:t>
            </w:r>
          </w:p>
        </w:tc>
      </w:tr>
      <w:tr>
        <w:tc>
          <w:tcPr>
            <w:tcW w:type="dxa" w:w="3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 в иностранной валюте</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ОБВ - Обязательства банка в иностранной валюте</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(ПЛ) = (ЛАВ / ОБВ) * 100</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4. Расчет капитала, резервируемого для покрытия операционных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2"/>
        <w:gridCol w:w="2056"/>
      </w:tblGrid>
      <w:tr>
        <w:tc>
          <w:tcPr>
            <w:tcW w:type="dxa" w:w="8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1</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2</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3</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разделе 15.5</w:t>
      </w:r>
      <w:r>
        <w:rPr>
          <w:rFonts w:ascii="Arial" w:cs="Arial" w:eastAsia="Arial" w:hAnsi="Arial"/>
          <w:sz w:val="24"/>
          <w:szCs w:val="24"/>
        </w:rPr>
        <w:t xml:space="preserve"> "Забалансовые обязательства":</w:t>
      </w:r>
    </w:p>
    <w:p>
      <w:pPr>
        <w:spacing w:after="60"/>
        <w:ind w:firstLine="567"/>
        <w:jc w:val="both"/>
      </w:pPr>
      <w:r>
        <w:rPr>
          <w:rFonts w:ascii="Arial" w:cs="Arial" w:eastAsia="Arial" w:hAnsi="Arial"/>
          <w:sz w:val="24"/>
          <w:szCs w:val="24"/>
        </w:rPr>
        <w:t xml:space="preserve">дополнить статьей 595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6855"/>
        <w:gridCol w:w="727"/>
        <w:gridCol w:w="727"/>
        <w:gridCol w:w="727"/>
        <w:gridCol w:w="623"/>
      </w:tblGrid>
      <w:tr>
        <w:tc>
          <w:tcPr>
            <w:tcW w:type="dxa" w:w="5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6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статью 600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
        <w:gridCol w:w="6851"/>
        <w:gridCol w:w="723"/>
        <w:gridCol w:w="723"/>
        <w:gridCol w:w="723"/>
        <w:gridCol w:w="619"/>
      </w:tblGrid>
      <w:tr>
        <w:tc>
          <w:tcPr>
            <w:tcW w:type="dxa" w:w="5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510-595)</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Внести в </w:t>
      </w:r>
      <w:hyperlink w:history="1" r:id="rIdqbn5zqfatdmjxggi33m6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_-kjmtqxeupryzeeolhez">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создания и/или приобретения дочерних или зависимых компаний коммерческими банками Кыргызской Республики" от 10 июня 2009 года № 26/3 следующее изменение:</w:t>
      </w:r>
    </w:p>
    <w:p>
      <w:pPr>
        <w:spacing w:after="60"/>
        <w:ind w:firstLine="567"/>
        <w:jc w:val="both"/>
      </w:pPr>
      <w:r>
        <w:rPr>
          <w:rFonts w:ascii="Arial" w:cs="Arial" w:eastAsia="Arial" w:hAnsi="Arial"/>
          <w:sz w:val="24"/>
          <w:szCs w:val="24"/>
        </w:rPr>
        <w:t xml:space="preserve">в </w:t>
      </w:r>
      <w:hyperlink w:history="1" r:id="rId5sjhn_xfz3_n1z98szi6-">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создания и/или приобретения дочерних или зависимых компаний коммерческими банками Кыргызской Республики, утвержденных вышеуказанным </w:t>
      </w:r>
      <w:hyperlink w:history="1" r:id="rIdz89rdsvjuwrlub4neal_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1 пункта 1.4 изложить в следующей редакции:</w:t>
      </w:r>
    </w:p>
    <w:p>
      <w:pPr>
        <w:spacing w:after="60"/>
        <w:ind w:firstLine="567"/>
        <w:jc w:val="both"/>
      </w:pPr>
      <w:r>
        <w:rPr>
          <w:rFonts w:ascii="Arial" w:cs="Arial" w:eastAsia="Arial" w:hAnsi="Arial"/>
          <w:sz w:val="24"/>
          <w:szCs w:val="24"/>
        </w:rPr>
        <w:t xml:space="preserve">"1) регистрация и/или осуществление деятельности таких компаний предполагается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6. Внести в </w:t>
      </w:r>
      <w:hyperlink w:history="1" r:id="rIdj9bmktqa-6zxd0ubb0p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pPr>
        <w:spacing w:after="60"/>
        <w:ind w:firstLine="567"/>
        <w:jc w:val="both"/>
      </w:pPr>
      <w:r>
        <w:rPr>
          <w:rFonts w:ascii="Arial" w:cs="Arial" w:eastAsia="Arial" w:hAnsi="Arial"/>
          <w:sz w:val="24"/>
          <w:szCs w:val="24"/>
        </w:rPr>
        <w:t xml:space="preserve">в </w:t>
      </w:r>
      <w:hyperlink w:history="1" r:id="rIdgrxpbsu70th042lmbrms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zgskadxpkfxaukxassly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9 после первого абзаца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pPr>
        <w:spacing w:after="60"/>
        <w:ind w:firstLine="567"/>
        <w:jc w:val="both"/>
      </w:pPr>
      <w:r>
        <w:rPr>
          <w:rFonts w:ascii="Arial" w:cs="Arial" w:eastAsia="Arial" w:hAnsi="Arial"/>
          <w:sz w:val="24"/>
          <w:szCs w:val="24"/>
        </w:rPr>
        <w:t xml:space="preserve">- пункт 34-2 изложить в следующей редакции:</w:t>
      </w:r>
    </w:p>
    <w:p>
      <w:pPr>
        <w:spacing w:after="60"/>
        <w:ind w:firstLine="567"/>
        <w:jc w:val="both"/>
      </w:pPr>
      <w:r>
        <w:rPr>
          <w:rFonts w:ascii="Arial" w:cs="Arial" w:eastAsia="Arial" w:hAnsi="Arial"/>
          <w:sz w:val="24"/>
          <w:szCs w:val="24"/>
        </w:rPr>
        <w:t xml:space="preserve">"34-2. Банк не может выдавать ипотечные и потребительские кредиты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кредитных лимитов на платежные карты в иностранной валюте под залог депозита. Не допускается индексирование платежей по данным кредитам в привязке к валюте, отличной от валюты кредитного договора.";</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В кредитном договоре как минимум указываются: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период действия договора;</w:t>
      </w:r>
    </w:p>
    <w:p>
      <w:pPr>
        <w:spacing w:after="60"/>
        <w:ind w:firstLine="567"/>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pPr>
        <w:spacing w:after="60"/>
        <w:ind w:firstLine="567"/>
        <w:jc w:val="both"/>
      </w:pPr>
      <w:r>
        <w:rPr>
          <w:rFonts w:ascii="Arial" w:cs="Arial" w:eastAsia="Arial" w:hAnsi="Arial"/>
          <w:sz w:val="24"/>
          <w:szCs w:val="24"/>
        </w:rPr>
        <w:t xml:space="preserve">- целевое назначение кредита;</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календарных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60"/>
        <w:ind w:firstLine="567"/>
        <w:jc w:val="both"/>
      </w:pPr>
      <w:r>
        <w:rPr>
          <w:rFonts w:ascii="Arial" w:cs="Arial" w:eastAsia="Arial" w:hAnsi="Arial"/>
          <w:sz w:val="24"/>
          <w:szCs w:val="24"/>
        </w:rPr>
        <w:t xml:space="preserve">- условия предоставления информации о клиенте в кредитное бюро, а также иные случаи использования данных о клиенте в соответствии с законодательством;</w:t>
      </w:r>
    </w:p>
    <w:p>
      <w:pPr>
        <w:spacing w:after="60"/>
        <w:ind w:firstLine="567"/>
        <w:jc w:val="both"/>
      </w:pPr>
      <w:r>
        <w:rPr>
          <w:rFonts w:ascii="Arial" w:cs="Arial" w:eastAsia="Arial" w:hAnsi="Arial"/>
          <w:sz w:val="24"/>
          <w:szCs w:val="24"/>
        </w:rPr>
        <w:t xml:space="preserve">- санкции за нарушение какой-либо стороной своих обязательств, случаи расторжения кредитного договора.</w:t>
      </w:r>
    </w:p>
    <w:p>
      <w:pPr>
        <w:spacing w:after="60"/>
        <w:ind w:firstLine="567"/>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pPr>
        <w:spacing w:after="60"/>
        <w:ind w:firstLine="567"/>
        <w:jc w:val="both"/>
      </w:pPr>
      <w:r>
        <w:rPr>
          <w:rFonts w:ascii="Arial" w:cs="Arial" w:eastAsia="Arial" w:hAnsi="Arial"/>
          <w:sz w:val="24"/>
          <w:szCs w:val="24"/>
        </w:rPr>
        <w:t xml:space="preserve">7. Внести в </w:t>
      </w:r>
      <w:hyperlink w:history="1" r:id="rIdpgoxl41pkcxgvzqb-xo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ag4qclz4bfqgnx5wkmk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w:t>
      </w:r>
    </w:p>
    <w:p>
      <w:pPr>
        <w:spacing w:after="60"/>
        <w:ind w:firstLine="567"/>
        <w:jc w:val="both"/>
      </w:pPr>
      <w:r>
        <w:rPr>
          <w:rFonts w:ascii="Arial" w:cs="Arial" w:eastAsia="Arial" w:hAnsi="Arial"/>
          <w:sz w:val="24"/>
          <w:szCs w:val="24"/>
        </w:rPr>
        <w:t xml:space="preserve">в </w:t>
      </w:r>
      <w:hyperlink w:history="1" r:id="rIdjuemdtzov6-6fsq-koqkh">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w:history="1" r:id="rIdvatjwttjst8gva94dnv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"Банки/ФКО должны в обязательном порядке иметь внутренние нормативные документы, регламентирующие основные принципы работы с различными видами залогового обеспечения по кредиту, а также раскрывающие основные риски, связанные с соответствующими видами обеспечения по кредиту.";</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активы, зарегистрированные и/или находящиеся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Внести в </w:t>
      </w:r>
      <w:hyperlink w:history="1" r:id="rIdlrzibyholav0587g9oc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следующие изменения:</w:t>
      </w:r>
    </w:p>
    <w:p>
      <w:pPr>
        <w:spacing w:after="60"/>
        <w:ind w:firstLine="567"/>
        <w:jc w:val="both"/>
      </w:pPr>
      <w:r>
        <w:rPr>
          <w:rFonts w:ascii="Arial" w:cs="Arial" w:eastAsia="Arial" w:hAnsi="Arial"/>
          <w:sz w:val="24"/>
          <w:szCs w:val="24"/>
        </w:rPr>
        <w:t xml:space="preserve">в </w:t>
      </w:r>
      <w:hyperlink w:history="1" r:id="rIdwbdwttsxiwkh06sy43rv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утвержденной вышеуказанным </w:t>
      </w:r>
      <w:hyperlink w:history="1" r:id="rIdvsc5hiply4s6ljvqyago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"Для предотвращения проведения операций, связанных с финансированием террористической деятельности и легализацией (отмыванием) преступных доходов,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pPr>
        <w:spacing w:after="60"/>
        <w:ind w:firstLine="567"/>
        <w:jc w:val="both"/>
      </w:pPr>
      <w:r>
        <w:rPr>
          <w:rFonts w:ascii="Arial" w:cs="Arial" w:eastAsia="Arial" w:hAnsi="Arial"/>
          <w:sz w:val="24"/>
          <w:szCs w:val="24"/>
        </w:rPr>
        <w:t xml:space="preserve">- в пункте 11:</w:t>
      </w:r>
    </w:p>
    <w:p>
      <w:pPr>
        <w:spacing w:after="60"/>
        <w:ind w:firstLine="567"/>
        <w:jc w:val="both"/>
      </w:pPr>
      <w:r>
        <w:rPr>
          <w:rFonts w:ascii="Arial" w:cs="Arial" w:eastAsia="Arial" w:hAnsi="Arial"/>
          <w:sz w:val="24"/>
          <w:szCs w:val="24"/>
        </w:rPr>
        <w:t xml:space="preserve">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"Кайрылман понимается в том значении, которое указано в </w:t>
      </w:r>
      <w:hyperlink w:history="1" r:id="rIdf6pvx3r2yk3pmhi1sqsu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статуса кайрылмана, утвержденном </w:t>
      </w:r>
      <w:hyperlink w:history="1" r:id="rIdd5fphwuc3io5ifhdqc2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sz w:val="24"/>
          <w:szCs w:val="24"/>
        </w:rPr>
        <w:t xml:space="preserve">абзац шестнадцатый изложить в следующей редакции:</w:t>
      </w:r>
    </w:p>
    <w:p>
      <w:pPr>
        <w:spacing w:after="60"/>
        <w:ind w:firstLine="567"/>
        <w:jc w:val="both"/>
      </w:pPr>
      <w:r>
        <w:rPr>
          <w:rFonts w:ascii="Arial" w:cs="Arial" w:eastAsia="Arial" w:hAnsi="Arial"/>
          <w:sz w:val="24"/>
          <w:szCs w:val="24"/>
        </w:rPr>
        <w:t xml:space="preserve">"Орган финансовой разведки - Государственная служба финансовой разведки при Кабинете министров Кыргызской Республики.";</w:t>
      </w:r>
    </w:p>
    <w:p>
      <w:pPr>
        <w:spacing w:after="60"/>
        <w:ind w:firstLine="567"/>
        <w:jc w:val="both"/>
      </w:pPr>
      <w:r>
        <w:rPr>
          <w:rFonts w:ascii="Arial" w:cs="Arial" w:eastAsia="Arial" w:hAnsi="Arial"/>
          <w:sz w:val="24"/>
          <w:szCs w:val="24"/>
        </w:rPr>
        <w:t xml:space="preserve">дополнить абзацем двадцатым следующего содержания:</w:t>
      </w:r>
    </w:p>
    <w:p>
      <w:pPr>
        <w:spacing w:after="60"/>
        <w:ind w:firstLine="567"/>
        <w:jc w:val="both"/>
      </w:pPr>
      <w:r>
        <w:rPr>
          <w:rFonts w:ascii="Arial" w:cs="Arial" w:eastAsia="Arial" w:hAnsi="Arial"/>
          <w:sz w:val="24"/>
          <w:szCs w:val="24"/>
        </w:rPr>
        <w:t xml:space="preserve">"Удостоверение кайрылмана понимается в том значении, которое указано в </w:t>
      </w:r>
      <w:hyperlink w:history="1" r:id="rIdugsvybkgd0hvoehuvkbt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статуса кайрылмана, утвержденном </w:t>
      </w:r>
      <w:hyperlink w:history="1" r:id="rIdke8uja_r5wfknv-ihfe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sz w:val="24"/>
          <w:szCs w:val="24"/>
        </w:rPr>
        <w:t xml:space="preserve">- абзац третий пункта 22 изложить в следующей редакции: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 пункт 22-4 изложить в следующей редакции:</w:t>
      </w:r>
    </w:p>
    <w:p>
      <w:pPr>
        <w:spacing w:after="60"/>
        <w:ind w:firstLine="567"/>
        <w:jc w:val="both"/>
      </w:pPr>
      <w:r>
        <w:rPr>
          <w:rFonts w:ascii="Arial" w:cs="Arial" w:eastAsia="Arial" w:hAnsi="Arial"/>
          <w:sz w:val="24"/>
          <w:szCs w:val="24"/>
        </w:rPr>
        <w:t xml:space="preserve">"22-4.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подпункт 1 изложить в следующей редакции:</w:t>
      </w:r>
    </w:p>
    <w:p>
      <w:pPr>
        <w:spacing w:after="60"/>
        <w:ind w:firstLine="567"/>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60"/>
        <w:ind w:firstLine="567"/>
        <w:jc w:val="both"/>
      </w:pPr>
      <w:r>
        <w:rPr>
          <w:rFonts w:ascii="Arial" w:cs="Arial" w:eastAsia="Arial" w:hAnsi="Arial"/>
          <w:sz w:val="24"/>
          <w:szCs w:val="24"/>
        </w:rPr>
        <w:t xml:space="preserve">- полное наименование, а также сокращенное наименование и наименование на иностранном языке в случаях, если таковые имеются;</w:t>
      </w:r>
    </w:p>
    <w:p>
      <w:pPr>
        <w:spacing w:after="60"/>
        <w:ind w:firstLine="567"/>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место нахождения;</w:t>
      </w:r>
    </w:p>
    <w:p>
      <w:pPr>
        <w:spacing w:after="60"/>
        <w:ind w:firstLine="567"/>
        <w:jc w:val="both"/>
      </w:pPr>
      <w:r>
        <w:rPr>
          <w:rFonts w:ascii="Arial" w:cs="Arial" w:eastAsia="Arial" w:hAnsi="Arial"/>
          <w:sz w:val="24"/>
          <w:szCs w:val="24"/>
        </w:rPr>
        <w:t xml:space="preserve">- почтовый адрес;</w:t>
      </w:r>
    </w:p>
    <w:p>
      <w:pPr>
        <w:spacing w:after="60"/>
        <w:ind w:firstLine="567"/>
        <w:jc w:val="both"/>
      </w:pPr>
      <w:r>
        <w:rPr>
          <w:rFonts w:ascii="Arial" w:cs="Arial" w:eastAsia="Arial" w:hAnsi="Arial"/>
          <w:sz w:val="24"/>
          <w:szCs w:val="24"/>
        </w:rPr>
        <w:t xml:space="preserve">- номера контактных телефонов и факсов;</w:t>
      </w:r>
    </w:p>
    <w:p>
      <w:pPr>
        <w:spacing w:after="60"/>
        <w:ind w:firstLine="567"/>
        <w:jc w:val="both"/>
      </w:pPr>
      <w:r>
        <w:rPr>
          <w:rFonts w:ascii="Arial" w:cs="Arial" w:eastAsia="Arial" w:hAnsi="Arial"/>
          <w:sz w:val="24"/>
          <w:szCs w:val="24"/>
        </w:rPr>
        <w:t xml:space="preserve">- вид деятельности;</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 пункт 53 изложить в следующей редакции:</w:t>
      </w:r>
    </w:p>
    <w:p>
      <w:pPr>
        <w:spacing w:after="60"/>
        <w:ind w:firstLine="567"/>
        <w:jc w:val="both"/>
      </w:pPr>
      <w:r>
        <w:rPr>
          <w:rFonts w:ascii="Arial" w:cs="Arial" w:eastAsia="Arial" w:hAnsi="Arial"/>
          <w:sz w:val="24"/>
          <w:szCs w:val="24"/>
        </w:rPr>
        <w:t xml:space="preserve">"53.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один календарный месяц до закрытия счета в случае, если:</w:t>
      </w:r>
    </w:p>
    <w:p>
      <w:pPr>
        <w:spacing w:after="60"/>
        <w:ind w:firstLine="567"/>
        <w:jc w:val="both"/>
      </w:pPr>
      <w:r>
        <w:rPr>
          <w:rFonts w:ascii="Arial" w:cs="Arial" w:eastAsia="Arial" w:hAnsi="Arial"/>
          <w:sz w:val="24"/>
          <w:szCs w:val="24"/>
        </w:rPr>
        <w:t xml:space="preserve">- сумма денежных средств, находящихся на счете клиента, окажется ниже минимального размера, предусмотренного договором банковского счета;</w:t>
      </w:r>
    </w:p>
    <w:p>
      <w:pPr>
        <w:spacing w:after="60"/>
        <w:ind w:firstLine="567"/>
        <w:jc w:val="both"/>
      </w:pPr>
      <w:r>
        <w:rPr>
          <w:rFonts w:ascii="Arial" w:cs="Arial" w:eastAsia="Arial" w:hAnsi="Arial"/>
          <w:sz w:val="24"/>
          <w:szCs w:val="24"/>
        </w:rPr>
        <w:t xml:space="preserve">-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pPr>
        <w:spacing w:after="60"/>
        <w:ind w:firstLine="567"/>
        <w:jc w:val="both"/>
      </w:pPr>
      <w:r>
        <w:rPr>
          <w:rFonts w:ascii="Arial" w:cs="Arial" w:eastAsia="Arial" w:hAnsi="Arial"/>
          <w:sz w:val="24"/>
          <w:szCs w:val="24"/>
        </w:rPr>
        <w:t xml:space="preserve">- </w:t>
      </w:r>
      <w:hyperlink w:history="1" r:id="rIdh_p_5om03zmapbf_uqcq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дополнить пунктом 53-1 следующего содержания:</w:t>
      </w:r>
    </w:p>
    <w:p>
      <w:pPr>
        <w:spacing w:after="60"/>
        <w:ind w:firstLine="567"/>
        <w:jc w:val="both"/>
      </w:pPr>
      <w:r>
        <w:rPr>
          <w:rFonts w:ascii="Arial" w:cs="Arial" w:eastAsia="Arial" w:hAnsi="Arial"/>
          <w:sz w:val="24"/>
          <w:szCs w:val="24"/>
        </w:rPr>
        <w:t xml:space="preserve">"53-1.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если:</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w:t>
      </w:r>
      <w:r>
        <w:rPr>
          <w:rFonts w:ascii="Arial" w:cs="Arial" w:eastAsia="Arial" w:hAnsi="Arial"/>
          <w:sz w:val="24"/>
          <w:szCs w:val="24"/>
        </w:rPr>
        <w:t xml:space="preserve"> к Инструкции:</w:t>
      </w:r>
    </w:p>
    <w:p>
      <w:pPr>
        <w:spacing w:after="60"/>
        <w:ind w:firstLine="567"/>
        <w:jc w:val="both"/>
      </w:pPr>
      <w:r>
        <w:rPr>
          <w:rFonts w:ascii="Arial" w:cs="Arial" w:eastAsia="Arial" w:hAnsi="Arial"/>
          <w:sz w:val="24"/>
          <w:szCs w:val="24"/>
        </w:rPr>
        <w:t xml:space="preserve">в пункте 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"Для удостоверения личности физических лиц банк использует один из следующих документов:";</w:t>
      </w:r>
    </w:p>
    <w:p>
      <w:pPr>
        <w:spacing w:after="60"/>
        <w:ind w:firstLine="567"/>
        <w:jc w:val="both"/>
      </w:pPr>
      <w:r>
        <w:rPr>
          <w:rFonts w:ascii="Arial" w:cs="Arial" w:eastAsia="Arial" w:hAnsi="Arial"/>
          <w:sz w:val="24"/>
          <w:szCs w:val="24"/>
        </w:rPr>
        <w:t xml:space="preserve">дополнить подпунктом 5 следующего содержания:</w:t>
      </w:r>
    </w:p>
    <w:p>
      <w:pPr>
        <w:spacing w:after="60"/>
        <w:ind w:firstLine="567"/>
        <w:jc w:val="both"/>
      </w:pPr>
      <w:r>
        <w:rPr>
          <w:rFonts w:ascii="Arial" w:cs="Arial" w:eastAsia="Arial" w:hAnsi="Arial"/>
          <w:sz w:val="24"/>
          <w:szCs w:val="24"/>
        </w:rPr>
        <w:t xml:space="preserve">"5) для кайрылманов - удостоверение кайрылмана.";</w:t>
      </w:r>
    </w:p>
    <w:p>
      <w:pPr>
        <w:spacing w:after="60"/>
        <w:ind w:firstLine="567"/>
        <w:jc w:val="both"/>
      </w:pPr>
      <w:r>
        <w:rPr>
          <w:rFonts w:ascii="Arial" w:cs="Arial" w:eastAsia="Arial" w:hAnsi="Arial"/>
          <w:sz w:val="24"/>
          <w:szCs w:val="24"/>
        </w:rPr>
        <w:t xml:space="preserve">пункт 12 дополнить абзацами третьим и четвертым следующего содержания:</w:t>
      </w:r>
    </w:p>
    <w:p>
      <w:pPr>
        <w:spacing w:after="60"/>
        <w:ind w:firstLine="567"/>
        <w:jc w:val="both"/>
      </w:pPr>
      <w:r>
        <w:rPr>
          <w:rFonts w:ascii="Arial" w:cs="Arial" w:eastAsia="Arial" w:hAnsi="Arial"/>
          <w:sz w:val="24"/>
          <w:szCs w:val="24"/>
        </w:rPr>
        <w:t xml:space="preserve">"Банку необходимо установить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 Если клиент не представил запрашиваемые банком документы в установленные сроки, банк должен отказать клиенту в проведении операции по счету.</w:t>
      </w:r>
    </w:p>
    <w:p>
      <w:pPr>
        <w:spacing w:after="60"/>
        <w:ind w:firstLine="567"/>
        <w:jc w:val="both"/>
      </w:pPr>
      <w:r>
        <w:rPr>
          <w:rFonts w:ascii="Arial" w:cs="Arial" w:eastAsia="Arial" w:hAnsi="Arial"/>
          <w:sz w:val="24"/>
          <w:szCs w:val="24"/>
        </w:rPr>
        <w:t xml:space="preserve">Если операции клиента признаны подозрительными и/или клиенту присвоен высокий уровень риска, на время ожидания запрошенных документов банк не вправе проводить какие-либо операции по счету клиента до представления клиентом соответствующих документов.";</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Инструкции:</w:t>
      </w:r>
    </w:p>
    <w:p>
      <w:pPr>
        <w:spacing w:after="60"/>
        <w:ind w:firstLine="567"/>
        <w:jc w:val="both"/>
      </w:pPr>
      <w:r>
        <w:rPr>
          <w:rFonts w:ascii="Arial" w:cs="Arial" w:eastAsia="Arial" w:hAnsi="Arial"/>
          <w:sz w:val="24"/>
          <w:szCs w:val="24"/>
        </w:rPr>
        <w:t xml:space="preserve">в пункте 3:</w:t>
      </w:r>
    </w:p>
    <w:p>
      <w:pPr>
        <w:spacing w:after="60"/>
        <w:ind w:firstLine="567"/>
        <w:jc w:val="both"/>
      </w:pPr>
      <w:r>
        <w:rPr>
          <w:rFonts w:ascii="Arial" w:cs="Arial" w:eastAsia="Arial" w:hAnsi="Arial"/>
          <w:sz w:val="24"/>
          <w:szCs w:val="24"/>
        </w:rPr>
        <w:t xml:space="preserve">предложение второе абзаца первого изложить в следующей редакции:</w:t>
      </w:r>
    </w:p>
    <w:p>
      <w:pPr>
        <w:spacing w:after="60"/>
        <w:ind w:firstLine="567"/>
        <w:jc w:val="both"/>
      </w:pPr>
      <w:r>
        <w:rPr>
          <w:rFonts w:ascii="Arial" w:cs="Arial" w:eastAsia="Arial" w:hAnsi="Arial"/>
          <w:sz w:val="24"/>
          <w:szCs w:val="24"/>
        </w:rPr>
        <w:t xml:space="preserve">"Перечень оффшорных зон определяется органом финансовой разведки.".</w:t>
      </w:r>
    </w:p>
    <w:p>
      <w:pPr>
        <w:spacing w:after="60"/>
        <w:ind w:firstLine="567"/>
        <w:jc w:val="both"/>
      </w:pPr>
      <w:r>
        <w:rPr>
          <w:rFonts w:ascii="Arial" w:cs="Arial" w:eastAsia="Arial" w:hAnsi="Arial"/>
          <w:sz w:val="24"/>
          <w:szCs w:val="24"/>
        </w:rPr>
        <w:t xml:space="preserve">9. Внести в </w:t>
      </w:r>
      <w:hyperlink w:history="1" r:id="rIdn8qjd0skj5vxrd3xhc2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2-ntezfuwhsetha4bei5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17 мая 2017 года № 19/12 следующие изменения:</w:t>
      </w:r>
    </w:p>
    <w:p>
      <w:pPr>
        <w:spacing w:after="60"/>
        <w:ind w:firstLine="567"/>
        <w:jc w:val="both"/>
      </w:pPr>
      <w:r>
        <w:rPr>
          <w:rFonts w:ascii="Arial" w:cs="Arial" w:eastAsia="Arial" w:hAnsi="Arial"/>
          <w:sz w:val="24"/>
          <w:szCs w:val="24"/>
        </w:rPr>
        <w:t xml:space="preserve">в </w:t>
      </w:r>
      <w:hyperlink w:history="1" r:id="rIdarfjg_a790lc_aqiudjx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коммерческих банках Кыргызской Республики", утвержденном вышеуказанным </w:t>
      </w:r>
      <w:hyperlink w:history="1" r:id="rIdmqcsplv_itcfzenvsyo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предложение второе пункта 20 изложить в следующей редакции:</w:t>
      </w:r>
    </w:p>
    <w:p>
      <w:pPr>
        <w:spacing w:after="60"/>
        <w:ind w:firstLine="567"/>
        <w:jc w:val="both"/>
      </w:pPr>
      <w:r>
        <w:rPr>
          <w:rFonts w:ascii="Arial" w:cs="Arial" w:eastAsia="Arial" w:hAnsi="Arial"/>
          <w:sz w:val="24"/>
          <w:szCs w:val="24"/>
        </w:rPr>
        <w:t xml:space="preserve">"При принятии решений каждый член Совета директоров должен быть объективным и руководствоваться интересами банка, а не личными интересами или интересами отдельных акционеров, должностных лиц банка или третьих лиц.";</w:t>
      </w:r>
    </w:p>
    <w:p>
      <w:pPr>
        <w:spacing w:after="60"/>
        <w:ind w:firstLine="567"/>
        <w:jc w:val="both"/>
      </w:pPr>
      <w:r>
        <w:rPr>
          <w:rFonts w:ascii="Arial" w:cs="Arial" w:eastAsia="Arial" w:hAnsi="Arial"/>
          <w:sz w:val="24"/>
          <w:szCs w:val="24"/>
        </w:rPr>
        <w:t xml:space="preserve">- пункт 24 дополнить подпунктом 7 следующего содержания:</w:t>
      </w:r>
    </w:p>
    <w:p>
      <w:pPr>
        <w:spacing w:after="60"/>
        <w:ind w:firstLine="567"/>
        <w:jc w:val="both"/>
      </w:pPr>
      <w:r>
        <w:rPr>
          <w:rFonts w:ascii="Arial" w:cs="Arial" w:eastAsia="Arial" w:hAnsi="Arial"/>
          <w:sz w:val="24"/>
          <w:szCs w:val="24"/>
        </w:rPr>
        <w:t xml:space="preserve">"7) организовать в банке эффективную систему контроля в целях недопущения совершения банком сделок и проведения операций (сделок) клиентов, которые не имеют очевидного экономического смысла, законной цели и/или которые впоследствии могут нанести ущерб интересам банка.";</w:t>
      </w:r>
    </w:p>
    <w:p>
      <w:pPr>
        <w:spacing w:after="60"/>
        <w:ind w:firstLine="567"/>
        <w:jc w:val="both"/>
      </w:pPr>
      <w:r>
        <w:rPr>
          <w:rFonts w:ascii="Arial" w:cs="Arial" w:eastAsia="Arial" w:hAnsi="Arial"/>
          <w:sz w:val="24"/>
          <w:szCs w:val="24"/>
        </w:rPr>
        <w:t xml:space="preserve">- предложение первое пункта 30 изложить в следующей редакции:</w:t>
      </w:r>
    </w:p>
    <w:p>
      <w:pPr>
        <w:spacing w:after="60"/>
        <w:ind w:firstLine="567"/>
        <w:jc w:val="both"/>
      </w:pPr>
      <w:r>
        <w:rPr>
          <w:rFonts w:ascii="Arial" w:cs="Arial" w:eastAsia="Arial" w:hAnsi="Arial"/>
          <w:sz w:val="24"/>
          <w:szCs w:val="24"/>
        </w:rPr>
        <w:t xml:space="preserve">"30. При осуществлении своей деятельности членам Правления следует быть объективными и руководствоваться прежде всего интересами банка, а не личными интересами или интересами отдельных акционеров, должностных лиц банка или третьих лиц, прилагая все усилия для обеспечения здоровой и безопасной банковской практики.";</w:t>
      </w:r>
    </w:p>
    <w:p>
      <w:pPr>
        <w:spacing w:after="60"/>
        <w:ind w:firstLine="567"/>
        <w:jc w:val="both"/>
      </w:pPr>
      <w:r>
        <w:rPr>
          <w:rFonts w:ascii="Arial" w:cs="Arial" w:eastAsia="Arial" w:hAnsi="Arial"/>
          <w:sz w:val="24"/>
          <w:szCs w:val="24"/>
        </w:rPr>
        <w:t xml:space="preserve">- пункт 32 дополнить абзацем восьмым следующего содержания:</w:t>
      </w:r>
    </w:p>
    <w:p>
      <w:pPr>
        <w:spacing w:after="60"/>
        <w:ind w:firstLine="567"/>
        <w:jc w:val="both"/>
      </w:pPr>
      <w:r>
        <w:rPr>
          <w:rFonts w:ascii="Arial" w:cs="Arial" w:eastAsia="Arial" w:hAnsi="Arial"/>
          <w:sz w:val="24"/>
          <w:szCs w:val="24"/>
        </w:rPr>
        <w:t xml:space="preserve">"- предпринимать исчерпывающие меры в целях недопущения совершения банком сделок и проведения операций (сделок) клиентов, которые не имеют очевидного экономического смысла, законной цели и/или которые впоследствии могут нанести ущерб интересам банка.".</w:t>
      </w:r>
    </w:p>
    <w:p>
      <w:pPr>
        <w:spacing w:after="60"/>
        <w:ind w:firstLine="567"/>
        <w:jc w:val="both"/>
      </w:pPr>
      <w:r>
        <w:rPr>
          <w:rFonts w:ascii="Arial" w:cs="Arial" w:eastAsia="Arial" w:hAnsi="Arial"/>
          <w:sz w:val="24"/>
          <w:szCs w:val="24"/>
        </w:rPr>
        <w:t xml:space="preserve">10. Внести в </w:t>
      </w:r>
      <w:hyperlink w:history="1" r:id="rId-swhwlwjioctn3zirq7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4afspsdcjah2nkhpaax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15 июня 2017 года № 2017-П-12/25-8-(НПА) следующее изменение:</w:t>
      </w:r>
    </w:p>
    <w:p>
      <w:pPr>
        <w:spacing w:after="60"/>
        <w:ind w:firstLine="567"/>
        <w:jc w:val="both"/>
      </w:pPr>
      <w:r>
        <w:rPr>
          <w:rFonts w:ascii="Arial" w:cs="Arial" w:eastAsia="Arial" w:hAnsi="Arial"/>
          <w:sz w:val="24"/>
          <w:szCs w:val="24"/>
        </w:rPr>
        <w:t xml:space="preserve">в </w:t>
      </w:r>
      <w:hyperlink w:history="1" r:id="rIdy8rbbimdiuaotphziz_z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Кыргызской Республики", утвержденном вышеуказанным </w:t>
      </w:r>
      <w:hyperlink w:history="1" r:id="rIdhubr-u8ae37jlwkkmhak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4 пункта 6 дополнить абзацем вторым следующего содержания:</w:t>
      </w:r>
    </w:p>
    <w:p>
      <w:pPr>
        <w:spacing w:after="60"/>
        <w:ind w:firstLine="567"/>
        <w:jc w:val="both"/>
      </w:pPr>
      <w:r>
        <w:rPr>
          <w:rFonts w:ascii="Arial" w:cs="Arial" w:eastAsia="Arial" w:hAnsi="Arial"/>
          <w:sz w:val="24"/>
          <w:szCs w:val="24"/>
        </w:rPr>
        <w:t xml:space="preserve">"Политика по управлению рисками должна предусматривать методы (способы) ограничения совершения банком сделок и проведения операций (сделок) клиентов, которые не имеют очевидного экономического смысла, законной цели (сделка не приносит какой-либо выгоды банку, сделка/операция носит запутанный и необычный характер, операция не соответствует обычной деятельности клиента и/или имеет признаки подозрительных операций и другие критерии) и/или которые впоследствии могут нанести ущерб интересам банка.".</w:t>
      </w:r>
    </w:p>
    <w:p>
      <w:pPr>
        <w:spacing w:after="60"/>
        <w:ind w:firstLine="567"/>
        <w:jc w:val="both"/>
      </w:pPr>
      <w:r>
        <w:rPr>
          <w:rFonts w:ascii="Arial" w:cs="Arial" w:eastAsia="Arial" w:hAnsi="Arial"/>
          <w:sz w:val="24"/>
          <w:szCs w:val="24"/>
        </w:rPr>
        <w:t xml:space="preserve">11. Внести в </w:t>
      </w:r>
      <w:hyperlink w:history="1" r:id="rIdt39e62j7w8pfmvudo9h4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6js15icaxkkiqlfnaqx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от 28 февраля 2018 года № 2018-П-12/7-7-(НПА) следующее изменение:</w:t>
      </w:r>
    </w:p>
    <w:p>
      <w:pPr>
        <w:spacing w:after="60"/>
        <w:ind w:firstLine="567"/>
        <w:jc w:val="both"/>
      </w:pPr>
      <w:r>
        <w:rPr>
          <w:rFonts w:ascii="Arial" w:cs="Arial" w:eastAsia="Arial" w:hAnsi="Arial"/>
          <w:sz w:val="24"/>
          <w:szCs w:val="24"/>
        </w:rPr>
        <w:t xml:space="preserve">в </w:t>
      </w:r>
      <w:hyperlink w:history="1" r:id="rId-poaabsnxp5tg7rcbau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утвержденном вышеуказанным </w:t>
      </w:r>
      <w:hyperlink w:history="1" r:id="rIdn5v_ayevr1_n-bvd-xy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w:t>
      </w:r>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второе предложение пункта 2.17 изложить в следующей редакции:</w:t>
      </w:r>
    </w:p>
    <w:p>
      <w:pPr>
        <w:spacing w:after="60"/>
        <w:ind w:firstLine="567"/>
        <w:jc w:val="both"/>
      </w:pPr>
      <w:r>
        <w:rPr>
          <w:rFonts w:ascii="Arial" w:cs="Arial" w:eastAsia="Arial" w:hAnsi="Arial"/>
          <w:sz w:val="24"/>
          <w:szCs w:val="24"/>
        </w:rPr>
        <w:t xml:space="preserve">"Запрещается производить перевод денежных средств Банка в иностранной валюте, находящихся на депозитных счетах, открытых в Национальном банке, в пользу третьих лиц и в ФКО, зарегистрированные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12. Внести в </w:t>
      </w:r>
      <w:hyperlink w:history="1" r:id="rIdxhmsbuld6jlicv6mpw8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wdrnh4vd8fajvqj2txv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w:t>
      </w:r>
      <w:hyperlink w:history="1" r:id="rIdyw-qdlyabjueb6lqvldr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следующие изменения:</w:t>
      </w:r>
    </w:p>
    <w:p>
      <w:pPr>
        <w:spacing w:after="60"/>
        <w:ind w:firstLine="567"/>
        <w:jc w:val="both"/>
      </w:pPr>
      <w:r>
        <w:rPr>
          <w:rFonts w:ascii="Arial" w:cs="Arial" w:eastAsia="Arial" w:hAnsi="Arial"/>
          <w:sz w:val="24"/>
          <w:szCs w:val="24"/>
        </w:rPr>
        <w:t xml:space="preserve">в </w:t>
      </w:r>
      <w:hyperlink w:history="1" r:id="rIdwdqhh9ym1y4jbfd_uy0d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утвержденном вышеуказанным </w:t>
      </w:r>
      <w:hyperlink w:history="1" r:id="rIdxfcexigmszvdeswxdmy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на государственном языке дополнить абзацем восьмым следующего содержания:</w:t>
      </w:r>
    </w:p>
    <w:p>
      <w:pPr>
        <w:spacing w:after="60"/>
        <w:ind w:firstLine="567"/>
        <w:jc w:val="both"/>
      </w:pPr>
      <w:r>
        <w:rPr>
          <w:rFonts w:ascii="Arial" w:cs="Arial" w:eastAsia="Arial" w:hAnsi="Arial"/>
          <w:sz w:val="24"/>
          <w:szCs w:val="24"/>
        </w:rPr>
        <w:t xml:space="preserve">"Террористтик иш-аракеттерди каржылоого жана кылмыш жолу менен алынган кирешелерди легалдаштырууга (изин жашырууга) каршы аракеттенуу боюнча кызмат адамы оз функцияларын дароо аткаруу максатында анын карамагында иштеген кызматкерлерге ыйгарым укуктарды откоруп берууго укуктуу. Мындай учурда кызмат адамы оз функцияларын талапка ылайык аткаруу учун жоопкерчилигинен бошотулбайт.";</w:t>
      </w:r>
    </w:p>
    <w:p>
      <w:pPr>
        <w:spacing w:after="60"/>
        <w:ind w:firstLine="567"/>
        <w:jc w:val="both"/>
      </w:pPr>
      <w:r>
        <w:rPr>
          <w:rFonts w:ascii="Arial" w:cs="Arial" w:eastAsia="Arial" w:hAnsi="Arial"/>
          <w:sz w:val="24"/>
          <w:szCs w:val="24"/>
        </w:rPr>
        <w:t xml:space="preserve">- подпункт 9 пункта 32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"Банку необходимо устанавливать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w:t>
      </w:r>
    </w:p>
    <w:p>
      <w:pPr>
        <w:spacing w:after="60"/>
        <w:ind w:firstLine="567"/>
        <w:jc w:val="both"/>
      </w:pPr>
      <w:r>
        <w:rPr>
          <w:rFonts w:ascii="Arial" w:cs="Arial" w:eastAsia="Arial" w:hAnsi="Arial"/>
          <w:sz w:val="24"/>
          <w:szCs w:val="24"/>
        </w:rPr>
        <w:t xml:space="preserve">- пункт 47 на государственном языке дополнить абзацем вторым следующего содержания:</w:t>
      </w:r>
    </w:p>
    <w:p>
      <w:pPr>
        <w:spacing w:after="60"/>
        <w:ind w:firstLine="567"/>
        <w:jc w:val="both"/>
      </w:pPr>
      <w:r>
        <w:rPr>
          <w:rFonts w:ascii="Arial" w:cs="Arial" w:eastAsia="Arial" w:hAnsi="Arial"/>
          <w:sz w:val="24"/>
          <w:szCs w:val="24"/>
        </w:rPr>
        <w:t xml:space="preserve">"Банктын Башкармасы андан аркы иштин, анын ичинде операция (бутум) жана/же кардар менен ишкердик мамиле оз убагында токтотулушу учун жоопкерчилик тартат.".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xt9hna-o0xkh8n2ar54">
      <w:r>
        <w:rPr>
          <w:rFonts w:ascii="Arial" w:cs="Arial" w:eastAsia="Arial" w:hAnsi="Arial"/>
          <w:color w:val="132D3F"/>
          <w:sz w:val="16"/>
          <w:szCs w:val="16"/>
          <w:u w:val="single"/>
        </w:rPr>
        <w:t xml:space="preserve">dalil.kg/document/800782</w:t>
      </w:r>
    </w:hyperlink>
  </w:p>
  <w:p>
    <w:pPr>
      <w:spacing w:after="0" w:before="40"/>
      <w:jc w:val="center"/>
    </w:pPr>
    <w:hyperlink w:history="1" r:id="rId-oi9gm4uh20d-3wef-c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7byj_eggr-xhn84nw_x" Type="http://schemas.openxmlformats.org/officeDocument/2006/relationships/hyperlink" Target="https://dalil.kg/document/111486#st_20" TargetMode="External"/><Relationship Id="rIdgkg6z_ucoh9jjcpn3-yum" Type="http://schemas.openxmlformats.org/officeDocument/2006/relationships/hyperlink" Target="https://dalil.kg/document/111486#st_68" TargetMode="External"/><Relationship Id="rIdlyegvq-cpss3syytnalv-" Type="http://schemas.openxmlformats.org/officeDocument/2006/relationships/hyperlink" Target="https://dalil.kg/document/31368" TargetMode="External"/><Relationship Id="rIdvdw6ifbvtv9z6ougnsvmo" Type="http://schemas.openxmlformats.org/officeDocument/2006/relationships/hyperlink" Target="https://dalil.kg/document/31367" TargetMode="External"/><Relationship Id="rIdbuhijcnm7ft4ifihxpg1z" Type="http://schemas.openxmlformats.org/officeDocument/2006/relationships/hyperlink" Target="https://dalil.kg/document/31370" TargetMode="External"/><Relationship Id="rIdbvholxgzjtzjdb77lg8iw" Type="http://schemas.openxmlformats.org/officeDocument/2006/relationships/hyperlink" Target="https://dalil.kg/document/31369" TargetMode="External"/><Relationship Id="rIdn2yon6brpiggd4w0bx1n0" Type="http://schemas.openxmlformats.org/officeDocument/2006/relationships/hyperlink" Target="https://dalil.kg/document/31372" TargetMode="External"/><Relationship Id="rIdawgdxeaccdyzqfljlk_or" Type="http://schemas.openxmlformats.org/officeDocument/2006/relationships/hyperlink" Target="https://dalil.kg/document/31371" TargetMode="External"/><Relationship Id="rIdm0l8d4vsukmegaihqtb3z" Type="http://schemas.openxmlformats.org/officeDocument/2006/relationships/hyperlink" Target="https://dalil.kg/document/300273" TargetMode="External"/><Relationship Id="rIdow02nfhigdbhb8whxeis_" Type="http://schemas.openxmlformats.org/officeDocument/2006/relationships/hyperlink" Target="https://dalil.kg/document/302297" TargetMode="External"/><Relationship Id="rIdc6ird7lai6ds_dcapyea5" Type="http://schemas.openxmlformats.org/officeDocument/2006/relationships/hyperlink" Target="https://dalil.kg/document/302296" TargetMode="External"/><Relationship Id="rIdqdrvvcxj9k6loqttbavxf" Type="http://schemas.openxmlformats.org/officeDocument/2006/relationships/hyperlink" Target="https://dalil.kg/document/302353" TargetMode="External"/><Relationship Id="rId7fj6jxt6odo0ktaol_ztq" Type="http://schemas.openxmlformats.org/officeDocument/2006/relationships/hyperlink" Target="https://dalil.kg/document/302508" TargetMode="External"/><Relationship Id="rIdlkicqzpqpooczwsp7gq4h" Type="http://schemas.openxmlformats.org/officeDocument/2006/relationships/hyperlink" Target="https://dalil.kg/document/302507" TargetMode="External"/><Relationship Id="rIdpc4qmmtpzxyjkr7ghzf08" Type="http://schemas.openxmlformats.org/officeDocument/2006/relationships/hyperlink" Target="https://dalil.kg/document/302547" TargetMode="External"/><Relationship Id="rIdu7jysr5vuuz7gqqf1lfmx" Type="http://schemas.openxmlformats.org/officeDocument/2006/relationships/hyperlink" Target="https://dalil.kg/document/302547" TargetMode="External"/><Relationship Id="rIdemnzqsv8plhruk8ua0x1e" Type="http://schemas.openxmlformats.org/officeDocument/2006/relationships/hyperlink" Target="https://dalil.kg/document/303050" TargetMode="External"/><Relationship Id="rIdggkx0gj7jhruxvrlogyf8" Type="http://schemas.openxmlformats.org/officeDocument/2006/relationships/hyperlink" Target="https://dalil.kg/document/303049" TargetMode="External"/><Relationship Id="rId2q1jyvzl1dccgtmf5qhx5" Type="http://schemas.openxmlformats.org/officeDocument/2006/relationships/hyperlink" Target="https://dalil.kg/document/800088" TargetMode="External"/><Relationship Id="rIdebf8jbodfuadn1xkp0f-3" Type="http://schemas.openxmlformats.org/officeDocument/2006/relationships/hyperlink" Target="https://dalil.kg/document/800087" TargetMode="External"/><Relationship Id="rIdd7cqttgxjitg3uhuktxez" Type="http://schemas.openxmlformats.org/officeDocument/2006/relationships/hyperlink" Target="https://dalil.kg/document/800063" TargetMode="External"/><Relationship Id="rIdx5nbxc8otlbqg2tmhtd7u" Type="http://schemas.openxmlformats.org/officeDocument/2006/relationships/hyperlink" Target="https://dalil.kg/document/800062" TargetMode="External"/><Relationship Id="rIdgwjpargbxwim3pjpxkvbl" Type="http://schemas.openxmlformats.org/officeDocument/2006/relationships/hyperlink" Target="https://dalil.kg/document/860284" TargetMode="External"/><Relationship Id="rIdkxkc_zmxp8qyndps5b-zd" Type="http://schemas.openxmlformats.org/officeDocument/2006/relationships/hyperlink" Target="https://dalil.kg/document/860285" TargetMode="External"/><Relationship Id="rIds3sxdotbrfgkydt8hfvpb" Type="http://schemas.openxmlformats.org/officeDocument/2006/relationships/hyperlink" Target="https://dalil.kg/document/860283" TargetMode="External"/><Relationship Id="rIdjc5cdudnij8tburgttevo" Type="http://schemas.openxmlformats.org/officeDocument/2006/relationships/hyperlink" Target="https://dalil.kg/document/31370" TargetMode="External"/><Relationship Id="rIdvbndfybrwbjylaukkgw9o" Type="http://schemas.openxmlformats.org/officeDocument/2006/relationships/hyperlink" Target="https://dalil.kg/document/31370" TargetMode="External"/><Relationship Id="rIdu26jiw0e-ej62q8q4hpsr" Type="http://schemas.openxmlformats.org/officeDocument/2006/relationships/hyperlink" Target="https://dalil.kg/document/31368" TargetMode="External"/><Relationship Id="rId4tuskqwiqidphmxednrqb" Type="http://schemas.openxmlformats.org/officeDocument/2006/relationships/hyperlink" Target="https://dalil.kg/document/31368" TargetMode="External"/><Relationship Id="rIdhvc3kzy_gqmbebupr812d" Type="http://schemas.openxmlformats.org/officeDocument/2006/relationships/hyperlink" Target="https://dalil.kg/document/31368" TargetMode="External"/><Relationship Id="rId9kcsw3_lhbblstaynga79" Type="http://schemas.openxmlformats.org/officeDocument/2006/relationships/hyperlink" Target="https://dalil.kg/document/31368" TargetMode="External"/><Relationship Id="rIdcd8dkdquqhdz5sbekdm3m" Type="http://schemas.openxmlformats.org/officeDocument/2006/relationships/hyperlink" Target="https://dalil.kg/document/31368" TargetMode="External"/><Relationship Id="rId6sh3xo_arpgjeipbkcixx" Type="http://schemas.openxmlformats.org/officeDocument/2006/relationships/hyperlink" Target="https://dalil.kg/document/31370" TargetMode="External"/><Relationship Id="rIdznlobvvewgwffek_pja1h" Type="http://schemas.openxmlformats.org/officeDocument/2006/relationships/hyperlink" Target="https://dalil.kg/document/31367" TargetMode="External"/><Relationship Id="rIdtqu0nxsucewjdx-durbz8" Type="http://schemas.openxmlformats.org/officeDocument/2006/relationships/hyperlink" Target="https://dalil.kg/document/31368" TargetMode="External"/><Relationship Id="rIdr3uaqc6-skrhzujilvlfj" Type="http://schemas.openxmlformats.org/officeDocument/2006/relationships/hyperlink" Target="https://dalil.kg/document/31368" TargetMode="External"/><Relationship Id="rId778lreoze89rbofjp-hxx" Type="http://schemas.openxmlformats.org/officeDocument/2006/relationships/hyperlink" Target="https://dalil.kg/document/31367" TargetMode="External"/><Relationship Id="rIds0riqdxa1apgwy5xvsc1w" Type="http://schemas.openxmlformats.org/officeDocument/2006/relationships/hyperlink" Target="https://dalil.kg/document/31368" TargetMode="External"/><Relationship Id="rIdsxxpgrzrqkqqtsyxdaa4h" Type="http://schemas.openxmlformats.org/officeDocument/2006/relationships/hyperlink" Target="https://dalil.kg/document/31369" TargetMode="External"/><Relationship Id="rId8xkb8duxnx48xykafdgwd" Type="http://schemas.openxmlformats.org/officeDocument/2006/relationships/hyperlink" Target="https://dalil.kg/document/31370" TargetMode="External"/><Relationship Id="rId1moh5hvk7khrz6lnhoex_" Type="http://schemas.openxmlformats.org/officeDocument/2006/relationships/hyperlink" Target="https://dalil.kg/document/31370" TargetMode="External"/><Relationship Id="rIdbnjwwv-u7js7xu6hxsyxn" Type="http://schemas.openxmlformats.org/officeDocument/2006/relationships/hyperlink" Target="https://dalil.kg/document/31769" TargetMode="External"/><Relationship Id="rIdxmgapsmbyb32ohcammuwu" Type="http://schemas.openxmlformats.org/officeDocument/2006/relationships/hyperlink" Target="https://dalil.kg/document/31371" TargetMode="External"/><Relationship Id="rIdxfjgisimhceqwjlbyp4ew" Type="http://schemas.openxmlformats.org/officeDocument/2006/relationships/hyperlink" Target="https://dalil.kg/document/31372" TargetMode="External"/><Relationship Id="rIdv-xaqfdoifenosf0ulo5g" Type="http://schemas.openxmlformats.org/officeDocument/2006/relationships/hyperlink" Target="https://dalil.kg/document/31372" TargetMode="External"/><Relationship Id="rIdpeilwg7wvhqwpnzfbzcvv" Type="http://schemas.openxmlformats.org/officeDocument/2006/relationships/hyperlink" Target="https://dalil.kg/document/31371" TargetMode="External"/><Relationship Id="rIdbrj9gmybefvbw-e29htts" Type="http://schemas.openxmlformats.org/officeDocument/2006/relationships/hyperlink" Target="https://dalil.kg/document/300273" TargetMode="External"/><Relationship Id="rId9wdx9rusybpswfhmam0hb" Type="http://schemas.openxmlformats.org/officeDocument/2006/relationships/hyperlink" Target="https://dalil.kg/document/300274" TargetMode="External"/><Relationship Id="rIdqcvmxr-umfge4j187rr9b" Type="http://schemas.openxmlformats.org/officeDocument/2006/relationships/hyperlink" Target="https://dalil.kg/document/300273" TargetMode="External"/><Relationship Id="rIdqbn5zqfatdmjxggi33m68" Type="http://schemas.openxmlformats.org/officeDocument/2006/relationships/hyperlink" Target="https://dalil.kg/document/302296" TargetMode="External"/><Relationship Id="rId_-kjmtqxeupryzeeolhez" Type="http://schemas.openxmlformats.org/officeDocument/2006/relationships/hyperlink" Target="https://dalil.kg/document/302297" TargetMode="External"/><Relationship Id="rId5sjhn_xfz3_n1z98szi6-" Type="http://schemas.openxmlformats.org/officeDocument/2006/relationships/hyperlink" Target="https://dalil.kg/document/302297" TargetMode="External"/><Relationship Id="rIdz89rdsvjuwrlub4neal_s" Type="http://schemas.openxmlformats.org/officeDocument/2006/relationships/hyperlink" Target="https://dalil.kg/document/302296" TargetMode="External"/><Relationship Id="rIdj9bmktqa-6zxd0ubb0pii" Type="http://schemas.openxmlformats.org/officeDocument/2006/relationships/hyperlink" Target="https://dalil.kg/document/302353" TargetMode="External"/><Relationship Id="rIdgrxpbsu70th042lmbrmsv" Type="http://schemas.openxmlformats.org/officeDocument/2006/relationships/hyperlink" Target="https://dalil.kg/document/302354" TargetMode="External"/><Relationship Id="rIdzgskadxpkfxaukxassly_" Type="http://schemas.openxmlformats.org/officeDocument/2006/relationships/hyperlink" Target="https://dalil.kg/document/302353" TargetMode="External"/><Relationship Id="rIdpgoxl41pkcxgvzqb-xokr" Type="http://schemas.openxmlformats.org/officeDocument/2006/relationships/hyperlink" Target="https://dalil.kg/document/302507" TargetMode="External"/><Relationship Id="rId4ag4qclz4bfqgnx5wkmku" Type="http://schemas.openxmlformats.org/officeDocument/2006/relationships/hyperlink" Target="https://dalil.kg/document/302508" TargetMode="External"/><Relationship Id="rIdjuemdtzov6-6fsq-koqkh" Type="http://schemas.openxmlformats.org/officeDocument/2006/relationships/hyperlink" Target="https://dalil.kg/document/302508" TargetMode="External"/><Relationship Id="rIdvatjwttjst8gva94dnvce" Type="http://schemas.openxmlformats.org/officeDocument/2006/relationships/hyperlink" Target="https://dalil.kg/document/302507" TargetMode="External"/><Relationship Id="rIdlrzibyholav0587g9ocvo" Type="http://schemas.openxmlformats.org/officeDocument/2006/relationships/hyperlink" Target="https://dalil.kg/document/302547" TargetMode="External"/><Relationship Id="rIdwbdwttsxiwkh06sy43rvf" Type="http://schemas.openxmlformats.org/officeDocument/2006/relationships/hyperlink" Target="https://dalil.kg/document/302548" TargetMode="External"/><Relationship Id="rIdvsc5hiply4s6ljvqyago0" Type="http://schemas.openxmlformats.org/officeDocument/2006/relationships/hyperlink" Target="https://dalil.kg/document/302547" TargetMode="External"/><Relationship Id="rIdf6pvx3r2yk3pmhi1sqsuy" Type="http://schemas.openxmlformats.org/officeDocument/2006/relationships/hyperlink" Target="https://dalil.kg/document/97678" TargetMode="External"/><Relationship Id="rIdd5fphwuc3io5ifhdqc2l1" Type="http://schemas.openxmlformats.org/officeDocument/2006/relationships/hyperlink" Target="https://dalil.kg/document/97677" TargetMode="External"/><Relationship Id="rIdugsvybkgd0hvoehuvkbtf" Type="http://schemas.openxmlformats.org/officeDocument/2006/relationships/hyperlink" Target="https://dalil.kg/document/97678" TargetMode="External"/><Relationship Id="rIdke8uja_r5wfknv-ihfein" Type="http://schemas.openxmlformats.org/officeDocument/2006/relationships/hyperlink" Target="https://dalil.kg/document/97677" TargetMode="External"/><Relationship Id="rIdh_p_5om03zmapbf_uqcqp" Type="http://schemas.openxmlformats.org/officeDocument/2006/relationships/hyperlink" Target="https://dalil.kg/document/302548" TargetMode="External"/><Relationship Id="rIdn8qjd0skj5vxrd3xhc2qy" Type="http://schemas.openxmlformats.org/officeDocument/2006/relationships/hyperlink" Target="https://dalil.kg/document/303049" TargetMode="External"/><Relationship Id="rId2-ntezfuwhsetha4bei5h" Type="http://schemas.openxmlformats.org/officeDocument/2006/relationships/hyperlink" Target="https://dalil.kg/document/303050" TargetMode="External"/><Relationship Id="rIdarfjg_a790lc_aqiudjx0" Type="http://schemas.openxmlformats.org/officeDocument/2006/relationships/hyperlink" Target="https://dalil.kg/document/303050" TargetMode="External"/><Relationship Id="rIdmqcsplv_itcfzenvsyoqn" Type="http://schemas.openxmlformats.org/officeDocument/2006/relationships/hyperlink" Target="https://dalil.kg/document/303049" TargetMode="External"/><Relationship Id="rId-swhwlwjioctn3zirq7np" Type="http://schemas.openxmlformats.org/officeDocument/2006/relationships/hyperlink" Target="https://dalil.kg/document/800087" TargetMode="External"/><Relationship Id="rIdv4afspsdcjah2nkhpaaxt" Type="http://schemas.openxmlformats.org/officeDocument/2006/relationships/hyperlink" Target="https://dalil.kg/document/800088" TargetMode="External"/><Relationship Id="rIdy8rbbimdiuaotphziz_zu" Type="http://schemas.openxmlformats.org/officeDocument/2006/relationships/hyperlink" Target="https://dalil.kg/document/800088" TargetMode="External"/><Relationship Id="rIdhubr-u8ae37jlwkkmhak2" Type="http://schemas.openxmlformats.org/officeDocument/2006/relationships/hyperlink" Target="https://dalil.kg/document/800087" TargetMode="External"/><Relationship Id="rIdt39e62j7w8pfmvudo9h4c" Type="http://schemas.openxmlformats.org/officeDocument/2006/relationships/hyperlink" Target="https://dalil.kg/document/800062" TargetMode="External"/><Relationship Id="rIdg6js15icaxkkiqlfnaqxa" Type="http://schemas.openxmlformats.org/officeDocument/2006/relationships/hyperlink" Target="https://dalil.kg/document/800063" TargetMode="External"/><Relationship Id="rId-poaabsnxp5tg7rcbau5-" Type="http://schemas.openxmlformats.org/officeDocument/2006/relationships/hyperlink" Target="https://dalil.kg/document/800063" TargetMode="External"/><Relationship Id="rIdn5v_ayevr1_n-bvd-xyaj" Type="http://schemas.openxmlformats.org/officeDocument/2006/relationships/hyperlink" Target="https://dalil.kg/document/800062" TargetMode="External"/><Relationship Id="rIdxhmsbuld6jlicv6mpw8xe" Type="http://schemas.openxmlformats.org/officeDocument/2006/relationships/hyperlink" Target="https://dalil.kg/document/860283" TargetMode="External"/><Relationship Id="rIdnwdrnh4vd8fajvqj2txvs" Type="http://schemas.openxmlformats.org/officeDocument/2006/relationships/hyperlink" Target="https://dalil.kg/document/860284" TargetMode="External"/><Relationship Id="rIdyw-qdlyabjueb6lqvldri" Type="http://schemas.openxmlformats.org/officeDocument/2006/relationships/hyperlink" Target="https://dalil.kg/document/860285" TargetMode="External"/><Relationship Id="rIdwdqhh9ym1y4jbfd_uy0ds" Type="http://schemas.openxmlformats.org/officeDocument/2006/relationships/hyperlink" Target="https://dalil.kg/document/860284" TargetMode="External"/><Relationship Id="rIdxfcexigmszvdeswxdmy7b" Type="http://schemas.openxmlformats.org/officeDocument/2006/relationships/hyperlink" Target="https://dalil.kg/document/860283" TargetMode="External"/><Relationship Id="rId8" Type="http://schemas.openxmlformats.org/officeDocument/2006/relationships/image" Target="media/8de64316e95979c063c17bcd5380dc052a2594e9.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xt9hna-o0xkh8n2ar54" Type="http://schemas.openxmlformats.org/officeDocument/2006/relationships/hyperlink" Target="https://dalil.kg/document/800782" TargetMode="External"/><Relationship Id="rId-oi9gm4uh20d-3wef-c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2026-09-23T23:09:13.009Z</dcterms:created>
  <dcterms:modified xsi:type="dcterms:W3CDTF">2026-09-23T23:09:13.009Z</dcterms:modified>
</cp:coreProperties>
</file>

<file path=docProps/custom.xml><?xml version="1.0" encoding="utf-8"?>
<Properties xmlns="http://schemas.openxmlformats.org/officeDocument/2006/custom-properties" xmlns:vt="http://schemas.openxmlformats.org/officeDocument/2006/docPropsVTypes"/>
</file>