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jc w:val="right"/>
      </w:pPr>
      <w:r>
        <w:rPr>
          <w:rFonts w:ascii="Arial" w:cs="Arial" w:eastAsia="Arial" w:hAnsi="Arial"/>
          <w:sz w:val="24"/>
          <w:szCs w:val="24"/>
        </w:rPr>
        <w:t xml:space="preserve">к </w:t>
      </w:r>
      <w:hyperlink w:history="1" r:id="rIdyqtkku2nvrlrftmwjw7c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w:t>
      </w:r>
    </w:p>
    <w:p>
      <w:pPr>
        <w:spacing w:after="120"/>
        <w:jc w:val="right"/>
      </w:pPr>
      <w:r>
        <w:rPr>
          <w:rFonts w:ascii="Arial" w:cs="Arial" w:eastAsia="Arial" w:hAnsi="Arial"/>
          <w:sz w:val="24"/>
          <w:szCs w:val="24"/>
        </w:rPr>
        <w:t xml:space="preserve">Национального банка </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от 27 октября 2021 года  </w:t>
      </w:r>
    </w:p>
    <w:p>
      <w:pPr>
        <w:spacing w:after="120"/>
        <w:jc w:val="right"/>
      </w:pPr>
      <w:r>
        <w:rPr>
          <w:rFonts w:ascii="Arial" w:cs="Arial" w:eastAsia="Arial" w:hAnsi="Arial"/>
          <w:sz w:val="24"/>
          <w:szCs w:val="24"/>
        </w:rPr>
        <w:t xml:space="preserve">№ 2021-П-14/59-5-(ПС)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страховом (резервном) фонде</w:t>
      </w:r>
    </w:p>
    <w:p>
      <w:pPr>
        <w:spacing w:after="240" w:before="200"/>
        <w:jc w:val="center"/>
      </w:pPr>
      <w:r>
        <w:rPr>
          <w:rFonts w:ascii="Arial" w:cs="Arial" w:eastAsia="Arial" w:hAnsi="Arial"/>
          <w:b/>
          <w:bCs/>
          <w:sz w:val="32"/>
          <w:szCs w:val="32"/>
        </w:rPr>
        <w:t xml:space="preserve">для межбанковских систем розничных платежей»</w:t>
      </w:r>
    </w:p>
    <w:p>
      <w:pPr>
        <w:spacing w:after="120"/>
        <w:jc w:val="both"/>
      </w:pPr>
      <w:r>
        <w:rPr>
          <w:rFonts w:ascii="Arial" w:cs="Arial" w:eastAsia="Arial" w:hAnsi="Arial"/>
          <w:sz w:val="24"/>
          <w:szCs w:val="24"/>
        </w:rPr>
        <w:t xml:space="preserve">Глава 1. Общие положения </w:t>
      </w:r>
    </w:p>
    <w:p>
      <w:pPr>
        <w:spacing w:after="120"/>
        <w:jc w:val="both"/>
      </w:pPr>
      <w:r>
        <w:rPr>
          <w:rFonts w:ascii="Arial" w:cs="Arial" w:eastAsia="Arial" w:hAnsi="Arial"/>
          <w:sz w:val="24"/>
          <w:szCs w:val="24"/>
        </w:rPr>
        <w:t xml:space="preserve">1. Положение о страховом (резервном) фонде для межбанковских систем розничных платежей (далее – Положение) определяет порядок создания и функционирования страхового (резервного) фонда на территории Кыргызской Республики (далее – страховой (резервный) фонд). </w:t>
      </w:r>
    </w:p>
    <w:p>
      <w:pPr>
        <w:spacing w:after="120"/>
        <w:jc w:val="both"/>
      </w:pPr>
      <w:r>
        <w:rPr>
          <w:rFonts w:ascii="Arial" w:cs="Arial" w:eastAsia="Arial" w:hAnsi="Arial"/>
          <w:sz w:val="24"/>
          <w:szCs w:val="24"/>
        </w:rPr>
        <w:t xml:space="preserve">2. Страховой (резервный) фонд создается с целью обеспечения дополнительного механизма для проведения своевременного и гарантированного окончательного расчета чистых позиций межбанковских систем розничных платежей на основе клиринга и систем расчетов банковскими платежными картами в системе крупных платежей Национального банка Кыргызской Республики (далее – Национальный банк), в том числе при недостатке ликвидности у одного или нескольких участников. </w:t>
      </w:r>
    </w:p>
    <w:p>
      <w:pPr>
        <w:spacing w:after="120"/>
        <w:jc w:val="both"/>
      </w:pPr>
      <w:r>
        <w:rPr>
          <w:rFonts w:ascii="Arial" w:cs="Arial" w:eastAsia="Arial" w:hAnsi="Arial"/>
          <w:sz w:val="24"/>
          <w:szCs w:val="24"/>
        </w:rPr>
        <w:t xml:space="preserve">3. Формирование страхового (резервного) фонда для межбанковских систем розничных платежей в Национальном банке является обязательным. </w:t>
      </w:r>
    </w:p>
    <w:p>
      <w:pPr>
        <w:spacing w:after="120"/>
        <w:jc w:val="both"/>
      </w:pPr>
      <w:r>
        <w:rPr>
          <w:rFonts w:ascii="Arial" w:cs="Arial" w:eastAsia="Arial" w:hAnsi="Arial"/>
          <w:sz w:val="24"/>
          <w:szCs w:val="24"/>
        </w:rPr>
        <w:t xml:space="preserve">4. Страховой (резервный) фонд может быть сформирован одним из следующих способов: </w:t>
      </w:r>
    </w:p>
    <w:p>
      <w:pPr>
        <w:spacing w:after="120"/>
        <w:jc w:val="both"/>
      </w:pPr>
      <w:r>
        <w:rPr>
          <w:rFonts w:ascii="Arial" w:cs="Arial" w:eastAsia="Arial" w:hAnsi="Arial"/>
          <w:sz w:val="24"/>
          <w:szCs w:val="24"/>
        </w:rPr>
        <w:t xml:space="preserve">1) из средств оператора межбанковской системы розничных платежей (далее – оператор) на основании соответствующего договора/соглашения с Национальным банком; </w:t>
      </w:r>
    </w:p>
    <w:p>
      <w:pPr>
        <w:spacing w:after="120"/>
        <w:jc w:val="both"/>
      </w:pPr>
      <w:r>
        <w:rPr>
          <w:rFonts w:ascii="Arial" w:cs="Arial" w:eastAsia="Arial" w:hAnsi="Arial"/>
          <w:sz w:val="24"/>
          <w:szCs w:val="24"/>
        </w:rPr>
        <w:t xml:space="preserve">2) оператором межбанковской системы розничных платежей из средств участников межбанковской системы розничных платежей (далее – участник), имеющих корреспондентский счет в Национальном банке, за исключением Центрального казначейства при Министерстве финансов Кыргызской Республики и участников в рамках специального регулятивного режима, на основании соответствующего договора/соглашения с Национальным банком; </w:t>
      </w:r>
    </w:p>
    <w:p>
      <w:pPr>
        <w:spacing w:after="120"/>
        <w:jc w:val="both"/>
      </w:pPr>
      <w:r>
        <w:rPr>
          <w:rFonts w:ascii="Arial" w:cs="Arial" w:eastAsia="Arial" w:hAnsi="Arial"/>
          <w:sz w:val="24"/>
          <w:szCs w:val="24"/>
        </w:rPr>
        <w:t xml:space="preserve">3) из средств участников, имеющих корреспондентский счет в Национальном банке и подавших заявление в Национальный банк о присоединении к соответствующему договору/соглашению о страховом (резервном) фонде. Счет страхового (резервного) фонда в данном случае является кумулятивным (накопительным) по всем участникам межбанковских систем розничных платежей, страховой (резервный) фонд которых формируется по данному способу. Создание страхового (резервного) фонда не является обязательным для Центрального казначейства при Министерстве финансов Кыргызской Республики и участников, присоединившихся к платежной системе в рамках специального регулятивного режима до окончания данного режима.  </w:t>
      </w:r>
    </w:p>
    <w:p>
      <w:pPr>
        <w:spacing w:after="120"/>
        <w:jc w:val="both"/>
      </w:pPr>
      <w:r>
        <w:rPr>
          <w:rFonts w:ascii="Arial" w:cs="Arial" w:eastAsia="Arial" w:hAnsi="Arial"/>
          <w:sz w:val="24"/>
          <w:szCs w:val="24"/>
        </w:rPr>
        <w:t xml:space="preserve">5. Средства страхового (резервного) фонда используются в исключительных случаях только для своевременного и гарантированного проведения окончательного расчета чистых позиций межбанковских систем розничных платежей, в том числе при невозможности участника обеспечить достаточную ликвидность на своем корреспондентском счете в Национальном банке на момент проведения окончательного расчета.  </w:t>
      </w:r>
    </w:p>
    <w:p>
      <w:pPr>
        <w:spacing w:after="120"/>
        <w:jc w:val="both"/>
      </w:pPr>
      <w:r>
        <w:rPr>
          <w:rFonts w:ascii="Arial" w:cs="Arial" w:eastAsia="Arial" w:hAnsi="Arial"/>
          <w:sz w:val="24"/>
          <w:szCs w:val="24"/>
        </w:rPr>
        <w:t xml:space="preserve">6. В случае если до 16.30 часов текущего операционного дня участник не смог обеспечить на своем корреспондентском счете достаточный объем ликвидности, необходимый для проведения окончательного расчета чистых позиций клиринговых систем и систем расчетов платежными картами, Национальный банк в безакцептном порядке дебетует счет страхового (резервного) фонда и пополняет корреспондентский счет участника в размере, достаточном для завершения расчетов чистых позиций по системе.  </w:t>
      </w:r>
    </w:p>
    <w:p>
      <w:pPr>
        <w:spacing w:after="120"/>
        <w:jc w:val="both"/>
      </w:pPr>
      <w:r>
        <w:rPr>
          <w:rFonts w:ascii="Arial" w:cs="Arial" w:eastAsia="Arial" w:hAnsi="Arial"/>
          <w:sz w:val="24"/>
          <w:szCs w:val="24"/>
        </w:rPr>
        <w:t xml:space="preserve">7. Способ формирования страхового (резервного) фонда определяется между Национальным банком и оператором межбанковской системы розничных платежей в двусторонних договорах/соглашениях на проведение окончательного расчета. В данных договорах/соглашениях также должно быть определено, что Национальный банк гарантирует своевременность проведения окончательного расчета только в пределах достаточности средств на счетах участников и страхового (резервного) фонда.  </w:t>
      </w:r>
    </w:p>
    <w:p>
      <w:pPr>
        <w:spacing w:after="120"/>
        <w:jc w:val="both"/>
      </w:pPr>
      <w:r>
        <w:rPr>
          <w:rFonts w:ascii="Arial" w:cs="Arial" w:eastAsia="Arial" w:hAnsi="Arial"/>
          <w:sz w:val="24"/>
          <w:szCs w:val="24"/>
        </w:rPr>
        <w:t xml:space="preserve">8. Размер страхового (резервного) фонда должен быть достаточным для покрытия среднедневной суммарной чистой дебетовой позиции по системе в течение года. </w:t>
      </w:r>
    </w:p>
    <w:p>
      <w:pPr>
        <w:spacing w:after="120"/>
        <w:jc w:val="both"/>
      </w:pPr>
      <w:r>
        <w:rPr>
          <w:rFonts w:ascii="Arial" w:cs="Arial" w:eastAsia="Arial" w:hAnsi="Arial"/>
          <w:sz w:val="24"/>
          <w:szCs w:val="24"/>
        </w:rPr>
        <w:t xml:space="preserve">9. В целях обеспечения достаточности средств в страховом (резервном) фонде Национальный банк на постоянной основе анализирует размеры чистых дебетовых и кредитовых позиций участников по каждой межбанковской системе розничных платежей, платежи в очереди и своевременность расчетов в Гроссовой системе расчетов в режиме реального времени (далее – ГСРРВ), достаточность средств страхового (резервного) фонда. </w:t>
      </w:r>
    </w:p>
    <w:p>
      <w:pPr>
        <w:spacing w:after="120"/>
        <w:jc w:val="both"/>
      </w:pPr>
      <w:r>
        <w:rPr>
          <w:rFonts w:ascii="Arial" w:cs="Arial" w:eastAsia="Arial" w:hAnsi="Arial"/>
          <w:sz w:val="24"/>
          <w:szCs w:val="24"/>
        </w:rPr>
        <w:t xml:space="preserve">10. При недостаточности средств на корреспондентских счетах участников в Национальном банке и страхового (резервного) фонда в день проведения расчета для покрытия файла чистых позиций по межбанковской системе розничных платежей, Национальный банк отклоняет файл чистых позиций и уведомляет об этом оператора в течение того же рабочего дня.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формирования и функционирования  </w:t>
      </w:r>
    </w:p>
    <w:p>
      <w:pPr>
        <w:spacing w:after="120"/>
        <w:jc w:val="both"/>
      </w:pPr>
      <w:r>
        <w:rPr>
          <w:rFonts w:ascii="Arial" w:cs="Arial" w:eastAsia="Arial" w:hAnsi="Arial"/>
          <w:sz w:val="24"/>
          <w:szCs w:val="24"/>
        </w:rPr>
        <w:t xml:space="preserve">страхового (резервного) фонда из средств оператора или оператором  </w:t>
      </w:r>
    </w:p>
    <w:p>
      <w:pPr>
        <w:spacing w:after="120"/>
        <w:jc w:val="both"/>
      </w:pPr>
      <w:r>
        <w:rPr>
          <w:rFonts w:ascii="Arial" w:cs="Arial" w:eastAsia="Arial" w:hAnsi="Arial"/>
          <w:sz w:val="24"/>
          <w:szCs w:val="24"/>
        </w:rPr>
        <w:t xml:space="preserve">из средств своих участников </w:t>
      </w:r>
    </w:p>
    <w:p>
      <w:pPr>
        <w:spacing w:after="120"/>
        <w:jc w:val="both"/>
      </w:pPr>
      <w:r>
        <w:rPr>
          <w:rFonts w:ascii="Arial" w:cs="Arial" w:eastAsia="Arial" w:hAnsi="Arial"/>
          <w:sz w:val="24"/>
          <w:szCs w:val="24"/>
        </w:rPr>
        <w:t xml:space="preserve">11. Размер страхового (резервного) фонда по способам, описанным в подпунктах 1 и 2 пункта 4 настоящего Положения, определяется оператором самостоятельно с учетом пункта 8 настоящего Положения и перечисляется на счет Национального банка в соответствии с двусторонним договором/соглашением. </w:t>
      </w:r>
    </w:p>
    <w:p>
      <w:pPr>
        <w:spacing w:after="120"/>
        <w:jc w:val="both"/>
      </w:pPr>
      <w:r>
        <w:rPr>
          <w:rFonts w:ascii="Arial" w:cs="Arial" w:eastAsia="Arial" w:hAnsi="Arial"/>
          <w:sz w:val="24"/>
          <w:szCs w:val="24"/>
        </w:rPr>
        <w:t xml:space="preserve">12. Оператор системы самостоятельно определяет порядок взаимодействия со своими участниками. </w:t>
      </w:r>
    </w:p>
    <w:p>
      <w:pPr>
        <w:spacing w:after="120"/>
        <w:jc w:val="both"/>
      </w:pPr>
      <w:r>
        <w:rPr>
          <w:rFonts w:ascii="Arial" w:cs="Arial" w:eastAsia="Arial" w:hAnsi="Arial"/>
          <w:sz w:val="24"/>
          <w:szCs w:val="24"/>
        </w:rPr>
        <w:t xml:space="preserve">13. Национальный банк в случае возникновения нехватки на счете(ах) участника(ов) и использования средств страхового (резервного) фонда для завершения окончательного расчета файла чистых позиций по системе, информирует об этом оператора. </w:t>
      </w:r>
    </w:p>
    <w:p>
      <w:pPr>
        <w:spacing w:after="120"/>
        <w:jc w:val="both"/>
      </w:pPr>
      <w:r>
        <w:rPr>
          <w:rFonts w:ascii="Arial" w:cs="Arial" w:eastAsia="Arial" w:hAnsi="Arial"/>
          <w:sz w:val="24"/>
          <w:szCs w:val="24"/>
        </w:rPr>
        <w:t xml:space="preserve">14. В случае выявления несоблюдения пункта 8 настоящего Положения или нехватки средств страхового (резервного) фонда для покрытия файла чистых дебетовых позиций Национальный банк уведомляет об этом оператора системы.  </w:t>
      </w:r>
    </w:p>
    <w:p>
      <w:pPr>
        <w:spacing w:after="120"/>
        <w:jc w:val="both"/>
      </w:pPr>
      <w:r>
        <w:rPr>
          <w:rFonts w:ascii="Arial" w:cs="Arial" w:eastAsia="Arial" w:hAnsi="Arial"/>
          <w:sz w:val="24"/>
          <w:szCs w:val="24"/>
        </w:rPr>
        <w:t xml:space="preserve">15. В случае недостаточности денежных средств на корреспондентском счете участника, а также средств страхового (резервного) фонда для покрытия чистой дебетовой позиции участника/ов оператор после получения соответствующего уведомления от Национального банка до 16.30 того же операционного дня должен пополнить страховой (резервный) фонд денежными средствами, достаточными для покрытия чистой дебетовой позиции участника/ов. </w:t>
      </w:r>
    </w:p>
    <w:p>
      <w:pPr>
        <w:spacing w:after="120"/>
        <w:jc w:val="both"/>
      </w:pPr>
      <w:r>
        <w:rPr>
          <w:rFonts w:ascii="Arial" w:cs="Arial" w:eastAsia="Arial" w:hAnsi="Arial"/>
          <w:sz w:val="24"/>
          <w:szCs w:val="24"/>
        </w:rPr>
        <w:t xml:space="preserve">16. В случае расторжения договора/соглашения, заключенного между Национальным банком и оператором, денежные средства, внесенные оператором на счет страхового (резервного) фонда в Национальном банке, подлежат возврату после погашения всех обязательств и получения соответствующего уведомления от оператора. Возврат осуществляется перечислением денежных средств в национальной валюте на корреспондентский счет коммерческого банка, обслуживающего оператора. </w:t>
      </w:r>
    </w:p>
    <w:p>
      <w:pPr>
        <w:spacing w:after="120"/>
        <w:jc w:val="both"/>
      </w:pPr>
      <w:r>
        <w:rPr>
          <w:rFonts w:ascii="Arial" w:cs="Arial" w:eastAsia="Arial" w:hAnsi="Arial"/>
          <w:sz w:val="24"/>
          <w:szCs w:val="24"/>
        </w:rPr>
        <w:t xml:space="preserve">Глава 3. Порядок формирования и функционирования  </w:t>
      </w:r>
    </w:p>
    <w:p>
      <w:pPr>
        <w:spacing w:after="120"/>
        <w:jc w:val="both"/>
      </w:pPr>
      <w:r>
        <w:rPr>
          <w:rFonts w:ascii="Arial" w:cs="Arial" w:eastAsia="Arial" w:hAnsi="Arial"/>
          <w:sz w:val="24"/>
          <w:szCs w:val="24"/>
        </w:rPr>
        <w:t xml:space="preserve">страхового (резервного) фонда из средств участников </w:t>
      </w:r>
    </w:p>
    <w:p>
      <w:pPr>
        <w:spacing w:after="120"/>
        <w:jc w:val="both"/>
      </w:pPr>
      <w:r>
        <w:rPr>
          <w:rFonts w:ascii="Arial" w:cs="Arial" w:eastAsia="Arial" w:hAnsi="Arial"/>
          <w:sz w:val="24"/>
          <w:szCs w:val="24"/>
        </w:rPr>
        <w:t xml:space="preserve">17. На этапе первоначального формирования страхового (резервного) фонда оператор направляет в Национальный банк для анализа информацию об ежедневных чистых позициях прямых и непрямых участников системы за предыдущий календарный год. </w:t>
      </w:r>
    </w:p>
    <w:p>
      <w:pPr>
        <w:spacing w:after="120"/>
        <w:jc w:val="both"/>
      </w:pPr>
      <w:r>
        <w:rPr>
          <w:rFonts w:ascii="Arial" w:cs="Arial" w:eastAsia="Arial" w:hAnsi="Arial"/>
          <w:sz w:val="24"/>
          <w:szCs w:val="24"/>
        </w:rPr>
        <w:t xml:space="preserve">18. Участнику для бесперебойного исполнения своих обязательств в рамках участия в межбанковских системах розничных платежей необходимо обеспечить достаточный объем ликвидности на своем корреспондентском счете в Национальном банке, в том числе с помощью денежно-кредитных инструментов Национального банка по предоставлению ликвидности. </w:t>
      </w:r>
    </w:p>
    <w:p>
      <w:pPr>
        <w:spacing w:after="120"/>
        <w:jc w:val="both"/>
      </w:pPr>
      <w:r>
        <w:rPr>
          <w:rFonts w:ascii="Arial" w:cs="Arial" w:eastAsia="Arial" w:hAnsi="Arial"/>
          <w:sz w:val="24"/>
          <w:szCs w:val="24"/>
        </w:rPr>
        <w:t xml:space="preserve">19. При первоначальном формировании страхового (резервного) фонда взнос прямого и/или непрямого участника должен составлять не менее 20% от размера его страхового депозита, размещенного в данной системе. Если размер страхового депозита прямого и/или непрямого участника в межбанковской системе розничных платежей равен нулю или в системе не предусмотрены страховые депозиты, то размер взноса участника равен среднедневной дебетовой позиции участника за предыдущий календарный год. Размер взноса новых участников должен быть равен минимальному размеру среднедневной дебетовой позиции участников в этой системе за предыдущий календарный год.  </w:t>
      </w:r>
    </w:p>
    <w:p>
      <w:pPr>
        <w:spacing w:after="120"/>
        <w:jc w:val="both"/>
      </w:pPr>
      <w:r>
        <w:rPr>
          <w:rFonts w:ascii="Arial" w:cs="Arial" w:eastAsia="Arial" w:hAnsi="Arial"/>
          <w:sz w:val="24"/>
          <w:szCs w:val="24"/>
        </w:rPr>
        <w:t xml:space="preserve">20. В целях обеспечения достаточности средств в страховом (резервном) фонде Национальный банк раз в год до 15 января анализирует размеры чистых дебетовых и кредитовых позиций прямого и/или непрямого участников по каждой системе за отчетный год, случаи использования страхового (резервного) фонда, платежи участников в очереди и своевременность расчетов ГСРРВ, достаточность взноса участника в страховой (резервный) фонд.  </w:t>
      </w:r>
    </w:p>
    <w:p>
      <w:pPr>
        <w:spacing w:after="120"/>
        <w:jc w:val="both"/>
      </w:pPr>
      <w:r>
        <w:rPr>
          <w:rFonts w:ascii="Arial" w:cs="Arial" w:eastAsia="Arial" w:hAnsi="Arial"/>
          <w:sz w:val="24"/>
          <w:szCs w:val="24"/>
        </w:rPr>
        <w:t xml:space="preserve">21. Размер взноса участников определяется Национальным банком по каждой системе розничных платежей, исходя из размера среднедневной дебетовой позиции участника по каждой системе за отчетный год.  </w:t>
      </w:r>
    </w:p>
    <w:p>
      <w:pPr>
        <w:spacing w:after="120"/>
        <w:jc w:val="both"/>
      </w:pPr>
      <w:r>
        <w:rPr>
          <w:rFonts w:ascii="Arial" w:cs="Arial" w:eastAsia="Arial" w:hAnsi="Arial"/>
          <w:sz w:val="24"/>
          <w:szCs w:val="24"/>
        </w:rPr>
        <w:t xml:space="preserve">22. Размер взноса участников на счет страхового (резервного) фонда пересматривается в случае, если объемы среднедневной суммарной чистой дебетовой позиции по системе увеличились и/или произошло изменение размера страхового депозита участников системе в сторону увеличения. </w:t>
      </w:r>
    </w:p>
    <w:p>
      <w:pPr>
        <w:spacing w:after="120"/>
        <w:jc w:val="both"/>
      </w:pPr>
      <w:r>
        <w:rPr>
          <w:rFonts w:ascii="Arial" w:cs="Arial" w:eastAsia="Arial" w:hAnsi="Arial"/>
          <w:sz w:val="24"/>
          <w:szCs w:val="24"/>
        </w:rPr>
        <w:t xml:space="preserve">23. Участник не позднее 5 (пяти) рабочих дней со дня получения уведомления Национального банка о размере взноса и необходимости перечисления средств в страховой (резервный) фонд должен перечислить соответствующие средства в страховой (резервный) фонд в размере, установленном Национальным банком, согласно пунктам 8, 19 и 22 настоящего Положения. </w:t>
      </w:r>
    </w:p>
    <w:p>
      <w:pPr>
        <w:spacing w:after="120"/>
        <w:jc w:val="both"/>
      </w:pPr>
      <w:r>
        <w:rPr>
          <w:rFonts w:ascii="Arial" w:cs="Arial" w:eastAsia="Arial" w:hAnsi="Arial"/>
          <w:sz w:val="24"/>
          <w:szCs w:val="24"/>
        </w:rPr>
        <w:t xml:space="preserve">24. В случае прекращения участия в системе и/или расторжения соответствующего договора/соглашения, заключенного между Национальным банком и оператором/участником, взносы участника, внесенные на счет страхового (резервного) фонда в Национальном банке, подлежат возврату после погашения всех обязательств и получения соответствующего уведомления от операторов систем. Возврат осуществляется перечислением на корреспондентский счет участника в Национальном банке. </w:t>
      </w:r>
    </w:p>
    <w:p>
      <w:pPr>
        <w:spacing w:after="120"/>
        <w:jc w:val="both"/>
      </w:pPr>
      <w:r>
        <w:rPr>
          <w:rFonts w:ascii="Arial" w:cs="Arial" w:eastAsia="Arial" w:hAnsi="Arial"/>
          <w:sz w:val="24"/>
          <w:szCs w:val="24"/>
        </w:rPr>
        <w:t xml:space="preserve">25. Участник, для пополнения корреспондентского счета которого были использованы средства страхового (резервного) фонда, обязан возместить данные средства через ГСРРВ на условиях срочности, платности и возвратности не позднее 16.00 часов следующего операционного дня. При этом возврат средств должен быть выполнен в полном объеме, возврат средств по частям не допускается. </w:t>
      </w:r>
    </w:p>
    <w:p>
      <w:pPr>
        <w:spacing w:after="120"/>
        <w:jc w:val="both"/>
      </w:pPr>
      <w:r>
        <w:rPr>
          <w:rFonts w:ascii="Arial" w:cs="Arial" w:eastAsia="Arial" w:hAnsi="Arial"/>
          <w:sz w:val="24"/>
          <w:szCs w:val="24"/>
        </w:rPr>
        <w:t xml:space="preserve">26. Участник, для пополнения корреспондентского счета которого были использованы средства страхового (резервного) фонда в размере, не превышающем сумму его взноса в страховой (резервный) фонд, использует данные средства на бесплатной основе до 16.00 часов следующего операционного дня. </w:t>
      </w:r>
    </w:p>
    <w:p>
      <w:pPr>
        <w:spacing w:after="120"/>
        <w:jc w:val="both"/>
      </w:pPr>
      <w:r>
        <w:rPr>
          <w:rFonts w:ascii="Arial" w:cs="Arial" w:eastAsia="Arial" w:hAnsi="Arial"/>
          <w:sz w:val="24"/>
          <w:szCs w:val="24"/>
        </w:rPr>
        <w:t xml:space="preserve">27. Участнику, для пополнения корреспондентского счета средства страхового (резервного) фонда которого были использованы более одного календарного дня, начисляются проценты за каждый день невозврата средств страхового (резервного) фонда. Проценты рассчитываются в соответствии с пунктом 32 настоящего Положения. </w:t>
      </w:r>
    </w:p>
    <w:p>
      <w:pPr>
        <w:spacing w:after="120"/>
        <w:jc w:val="both"/>
      </w:pPr>
      <w:r>
        <w:rPr>
          <w:rFonts w:ascii="Arial" w:cs="Arial" w:eastAsia="Arial" w:hAnsi="Arial"/>
          <w:sz w:val="24"/>
          <w:szCs w:val="24"/>
        </w:rPr>
        <w:t xml:space="preserve">28. За пополнение корреспондентского счета участника средствами страхового (резервного) фонда в размере, превышающем сумму его взноса, на участника налагается штраф. Размер штрафа рассчитывается в соответствии с пунктом 31 настоящего Положения. </w:t>
      </w:r>
    </w:p>
    <w:p>
      <w:pPr>
        <w:spacing w:after="120"/>
        <w:jc w:val="both"/>
      </w:pPr>
      <w:r>
        <w:rPr>
          <w:rFonts w:ascii="Arial" w:cs="Arial" w:eastAsia="Arial" w:hAnsi="Arial"/>
          <w:sz w:val="24"/>
          <w:szCs w:val="24"/>
        </w:rPr>
        <w:t xml:space="preserve">29. В случае невозврата средств страхового (резервного) фонда участником до 16.00 часов следующего операционного дня оператор ГСРРВ в безакцептном порядке дебетует корреспондентский счет участника на сумму использованных средств со счета страхового (резервного) фонда (с учетом штрафов и процентов) и зачисляет на счет страхового (резервного) фонда.  </w:t>
      </w:r>
    </w:p>
    <w:p>
      <w:pPr>
        <w:spacing w:after="120"/>
        <w:jc w:val="both"/>
      </w:pPr>
      <w:r>
        <w:rPr>
          <w:rFonts w:ascii="Arial" w:cs="Arial" w:eastAsia="Arial" w:hAnsi="Arial"/>
          <w:sz w:val="24"/>
          <w:szCs w:val="24"/>
        </w:rPr>
        <w:t xml:space="preserve">30. В случае недостаточности денежных средств на корреспондентском счете участника на момент ввода платежа о возврате средств страхового (резервного) фонда (с учетом штрафов и процентов) и отсутствия необходимых денежных средств в течение 3 (трех) операционных дней, с учетом дня, в течение которого были привлечены средства из страхового (резервного) фонда, Национальный банк в целях минимизации финансовых рисков и обеспечения стабильности работы платежной системы информирует оператора о данном факте и необходимости исключения данного участника из файла чистых позиций, а также структурные подразделения Национального банка, ответственные за банковский надзор. </w:t>
      </w:r>
    </w:p>
    <w:p>
      <w:pPr>
        <w:spacing w:after="120"/>
        <w:jc w:val="both"/>
      </w:pPr>
      <w:r>
        <w:rPr>
          <w:rFonts w:ascii="Arial" w:cs="Arial" w:eastAsia="Arial" w:hAnsi="Arial"/>
          <w:sz w:val="24"/>
          <w:szCs w:val="24"/>
        </w:rPr>
        <w:t xml:space="preserve">31. Начисление штрафов участнику за использование средств страхового (резервного) фонда, превышающих суммы взноса участника, определяется по формуле простых процентов в размере 1 (один) процент от суммы, использованной сверх взноса участника за период фактического пользования средств страхового (резервного) фонда исходя из количества 365 дней в году по следующей формуле: </w:t>
      </w:r>
    </w:p>
    <w:p>
      <w:pPr>
        <w:spacing w:after="120"/>
        <w:jc w:val="both"/>
      </w:pPr>
      <w:r>
        <w:rPr>
          <w:rFonts w:ascii="Arial" w:cs="Arial" w:eastAsia="Arial" w:hAnsi="Arial"/>
          <w:sz w:val="24"/>
          <w:szCs w:val="24"/>
        </w:rPr>
        <w:t xml:space="preserve">P = ((S – C) x I х Т)/365, где: </w:t>
      </w:r>
    </w:p>
    <w:p>
      <w:pPr>
        <w:spacing w:after="120"/>
        <w:jc w:val="both"/>
      </w:pPr>
      <w:r>
        <w:rPr>
          <w:rFonts w:ascii="Arial" w:cs="Arial" w:eastAsia="Arial" w:hAnsi="Arial"/>
          <w:sz w:val="24"/>
          <w:szCs w:val="24"/>
        </w:rPr>
        <w:t xml:space="preserve">Р – сумма штрафа; </w:t>
      </w:r>
    </w:p>
    <w:p>
      <w:pPr>
        <w:spacing w:after="120"/>
        <w:jc w:val="both"/>
      </w:pPr>
      <w:r>
        <w:rPr>
          <w:rFonts w:ascii="Arial" w:cs="Arial" w:eastAsia="Arial" w:hAnsi="Arial"/>
          <w:sz w:val="24"/>
          <w:szCs w:val="24"/>
        </w:rPr>
        <w:t xml:space="preserve">S – средства, использованные из страхового (резервного) фонда (сом); </w:t>
      </w:r>
    </w:p>
    <w:p>
      <w:pPr>
        <w:spacing w:after="120"/>
        <w:jc w:val="both"/>
      </w:pPr>
      <w:r>
        <w:rPr>
          <w:rFonts w:ascii="Arial" w:cs="Arial" w:eastAsia="Arial" w:hAnsi="Arial"/>
          <w:sz w:val="24"/>
          <w:szCs w:val="24"/>
        </w:rPr>
        <w:t xml:space="preserve">С – сумма взноса участника (сом); </w:t>
      </w:r>
    </w:p>
    <w:p>
      <w:pPr>
        <w:spacing w:after="120"/>
        <w:jc w:val="both"/>
      </w:pPr>
      <w:r>
        <w:rPr>
          <w:rFonts w:ascii="Arial" w:cs="Arial" w:eastAsia="Arial" w:hAnsi="Arial"/>
          <w:sz w:val="24"/>
          <w:szCs w:val="24"/>
        </w:rPr>
        <w:t xml:space="preserve">I – ежедневная процентная ставка 1 (один) %; </w:t>
      </w:r>
    </w:p>
    <w:p>
      <w:pPr>
        <w:spacing w:after="120"/>
        <w:jc w:val="both"/>
      </w:pPr>
      <w:r>
        <w:rPr>
          <w:rFonts w:ascii="Arial" w:cs="Arial" w:eastAsia="Arial" w:hAnsi="Arial"/>
          <w:sz w:val="24"/>
          <w:szCs w:val="24"/>
        </w:rPr>
        <w:t xml:space="preserve">Т – срок пользования средств страхового (резервного) фонда (в календарных днях). </w:t>
      </w:r>
    </w:p>
    <w:p>
      <w:pPr>
        <w:spacing w:after="120"/>
        <w:jc w:val="both"/>
      </w:pPr>
      <w:r>
        <w:rPr>
          <w:rFonts w:ascii="Arial" w:cs="Arial" w:eastAsia="Arial" w:hAnsi="Arial"/>
          <w:sz w:val="24"/>
          <w:szCs w:val="24"/>
        </w:rPr>
        <w:t xml:space="preserve">32. В случае если участник не может возвратить использованные средства страхового (резервного) фонда до 16.00 часов следующего операционного дня, участник оплачивает 1 (один) процент от суммы использованных средств страхового (резервного) фонда за каждый календарный день использования средств страхового (резервного) фонда исходя из количества 365 дней в году. При этом оплата взимается на всю сумму использованных средств, независимо от взноса участника, и вычисляется по следующей формуле: </w:t>
      </w:r>
    </w:p>
    <w:p>
      <w:pPr>
        <w:spacing w:after="120"/>
        <w:jc w:val="both"/>
      </w:pPr>
      <w:r>
        <w:rPr>
          <w:rFonts w:ascii="Arial" w:cs="Arial" w:eastAsia="Arial" w:hAnsi="Arial"/>
          <w:sz w:val="24"/>
          <w:szCs w:val="24"/>
        </w:rPr>
        <w:t xml:space="preserve">P = (S x I x T)/365, где: </w:t>
      </w:r>
    </w:p>
    <w:p>
      <w:pPr>
        <w:spacing w:after="120"/>
        <w:jc w:val="both"/>
      </w:pPr>
      <w:r>
        <w:rPr>
          <w:rFonts w:ascii="Arial" w:cs="Arial" w:eastAsia="Arial" w:hAnsi="Arial"/>
          <w:sz w:val="24"/>
          <w:szCs w:val="24"/>
        </w:rPr>
        <w:t xml:space="preserve">Р – сумма процентов; </w:t>
      </w:r>
    </w:p>
    <w:p>
      <w:pPr>
        <w:spacing w:after="120"/>
        <w:jc w:val="both"/>
      </w:pPr>
      <w:r>
        <w:rPr>
          <w:rFonts w:ascii="Arial" w:cs="Arial" w:eastAsia="Arial" w:hAnsi="Arial"/>
          <w:sz w:val="24"/>
          <w:szCs w:val="24"/>
        </w:rPr>
        <w:t xml:space="preserve">S – средства, использованные из страхового (резервного) фонда (сом); </w:t>
      </w:r>
    </w:p>
    <w:p>
      <w:pPr>
        <w:spacing w:after="120"/>
        <w:jc w:val="both"/>
      </w:pPr>
      <w:r>
        <w:rPr>
          <w:rFonts w:ascii="Arial" w:cs="Arial" w:eastAsia="Arial" w:hAnsi="Arial"/>
          <w:sz w:val="24"/>
          <w:szCs w:val="24"/>
        </w:rPr>
        <w:t xml:space="preserve">I – ежедневная процентная ставка 1 (один) %; </w:t>
      </w:r>
    </w:p>
    <w:p>
      <w:pPr>
        <w:spacing w:after="120"/>
        <w:jc w:val="both"/>
      </w:pPr>
      <w:r>
        <w:rPr>
          <w:rFonts w:ascii="Arial" w:cs="Arial" w:eastAsia="Arial" w:hAnsi="Arial"/>
          <w:sz w:val="24"/>
          <w:szCs w:val="24"/>
        </w:rPr>
        <w:t xml:space="preserve">Т – срок пользования средств страхового (резервного) фонда (в календарных днях). </w:t>
      </w:r>
    </w:p>
    <w:p>
      <w:pPr>
        <w:spacing w:after="120"/>
        <w:jc w:val="both"/>
      </w:pPr>
      <w:r>
        <w:rPr>
          <w:rFonts w:ascii="Arial" w:cs="Arial" w:eastAsia="Arial" w:hAnsi="Arial"/>
          <w:sz w:val="24"/>
          <w:szCs w:val="24"/>
        </w:rPr>
        <w:t xml:space="preserve">33. В подсчет фактических дней, в течение которых участник пользовался средствами страхового (резервного) фонда, включаются установленные законодательством либо объявленные Кабинетом министров Кыргызской Республики выходные и праздничные дни. </w:t>
      </w:r>
    </w:p>
    <w:p>
      <w:pPr>
        <w:spacing w:after="120"/>
        <w:jc w:val="both"/>
      </w:pPr>
      <w:r>
        <w:rPr>
          <w:rFonts w:ascii="Arial" w:cs="Arial" w:eastAsia="Arial" w:hAnsi="Arial"/>
          <w:sz w:val="24"/>
          <w:szCs w:val="24"/>
        </w:rPr>
        <w:t xml:space="preserve">34. Средства, накопленные в виде штрафов и процентов за использование и/или несвоевременный возврат средств страхового (резервного) фонда в соответствии с пунктами 31 и 32 настоящего Положения, учитываются на отдельном счете в Национальном банке и распределяются один раз в год пропорционально доле внесенных средств между участниками, которые не использовали в течение года средства страхового (резервного) фонда.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Заключительные положения </w:t>
      </w:r>
    </w:p>
    <w:p>
      <w:pPr>
        <w:spacing w:after="120"/>
        <w:jc w:val="both"/>
      </w:pPr>
      <w:r>
        <w:rPr>
          <w:rFonts w:ascii="Arial" w:cs="Arial" w:eastAsia="Arial" w:hAnsi="Arial"/>
          <w:sz w:val="24"/>
          <w:szCs w:val="24"/>
        </w:rPr>
        <w:t xml:space="preserve">35. В рамках надзора (оверсайта) за платежной системой Национальный банк осуществляет мониторинг за системой ГСРРВ и своевременностью проведения платежей и расчетов в системе, включая использование участниками средств страхового (резервного) фонда. </w:t>
      </w:r>
    </w:p>
    <w:p>
      <w:pPr>
        <w:spacing w:after="120"/>
        <w:jc w:val="both"/>
      </w:pPr>
      <w:r>
        <w:rPr>
          <w:rFonts w:ascii="Arial" w:cs="Arial" w:eastAsia="Arial" w:hAnsi="Arial"/>
          <w:sz w:val="24"/>
          <w:szCs w:val="24"/>
        </w:rPr>
        <w:t xml:space="preserve">36. В случае несоблюдения участником требований данного Положения Национальный банк имеет право применить в отношении участника меры воздействия, предусмотренные нормативными правовыми актами Национального банка.  </w:t>
      </w:r>
    </w:p>
    <w:p>
      <w:pPr>
        <w:spacing w:after="120"/>
        <w:jc w:val="both"/>
      </w:pPr>
      <w:r>
        <w:rPr>
          <w:rFonts w:ascii="Arial" w:cs="Arial" w:eastAsia="Arial" w:hAnsi="Arial"/>
          <w:sz w:val="24"/>
          <w:szCs w:val="24"/>
        </w:rPr>
        <w:t xml:space="preserve">37. Операторы межбанковских систем розничных платежей должны в течение 5 (пяти) календарных дней направить уведомление в Национальный банк в случае изменения размера и условий страхового депозита, размещенного в системе.  </w:t>
      </w:r>
    </w:p>
    <w:p>
      <w:pPr>
        <w:spacing w:after="120"/>
        <w:jc w:val="both"/>
      </w:pPr>
      <w:r>
        <w:rPr>
          <w:rFonts w:ascii="Arial" w:cs="Arial" w:eastAsia="Arial" w:hAnsi="Arial"/>
          <w:sz w:val="24"/>
          <w:szCs w:val="24"/>
        </w:rPr>
        <w:t xml:space="preserve">38. Расчеты при процедуре банкротства и/или ликвидации коммерческого банка осуществляются в соответствии с нормативными правовыми актами Национального банка.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bg-fqf05b1yydkjtt4m">
      <w:r>
        <w:rPr>
          <w:rFonts w:ascii="Arial" w:cs="Arial" w:eastAsia="Arial" w:hAnsi="Arial"/>
          <w:color w:val="132D3F"/>
          <w:sz w:val="16"/>
          <w:szCs w:val="16"/>
          <w:u w:val="single"/>
        </w:rPr>
        <w:t xml:space="preserve">dalil.kg/document/800793</w:t>
      </w:r>
    </w:hyperlink>
  </w:p>
  <w:p>
    <w:pPr>
      <w:spacing w:after="0" w:before="40"/>
      <w:jc w:val="center"/>
    </w:pPr>
    <w:hyperlink w:history="1" r:id="rIdadnov6rmud4_ew0aq0s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tkku2nvrlrftmwjw7cm" Type="http://schemas.openxmlformats.org/officeDocument/2006/relationships/hyperlink" Target="https://dalil.kg/document/8007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bg-fqf05b1yydkjtt4m" Type="http://schemas.openxmlformats.org/officeDocument/2006/relationships/hyperlink" Target="https://dalil.kg/document/800793" TargetMode="External"/><Relationship Id="rIdadnov6rmud4_ew0aq0s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2026-09-29T11:44:53.313Z</dcterms:created>
  <dcterms:modified xsi:type="dcterms:W3CDTF">2026-09-29T11:44:53.313Z</dcterms:modified>
</cp:coreProperties>
</file>

<file path=docProps/custom.xml><?xml version="1.0" encoding="utf-8"?>
<Properties xmlns="http://schemas.openxmlformats.org/officeDocument/2006/custom-properties" xmlns:vt="http://schemas.openxmlformats.org/officeDocument/2006/docPropsVTypes"/>
</file>