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2020 года № 2021-П-15/63-1-(НПА)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Правления Национального банка Кыргызской Республики "Об утверждении Минимальных требований по формированию кредитного портфеля, принимаемого в качестве залогового обеспечения" от 27 декабря 2017 года № 2017-П-15/54-4-(НПА)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vt5me285ol9qbjnf4wg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l_tl4-gdnrbqmuvf52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qeo4en7ev6dudc4g9lj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9ayczgf-4ak9x7e8kzo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anv9mwh9sessji0zsln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Минимальных требований</w:t>
        </w:r>
      </w:hyperlink>
      <w:r>
        <w:rPr>
          <w:rFonts w:ascii="Arial" w:cs="Arial" w:eastAsia="Arial" w:hAnsi="Arial"/>
          <w:sz w:val="24"/>
          <w:szCs w:val="24"/>
        </w:rPr>
        <w:t xml:space="preserve"> по формированию кредитного портфеля, принимаемого в качестве залогового обеспечения" от 27 декабря 2017 года  № 2017-П-15/54-4-(НПА)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бухгалтерского учета и отчетности довести настоящее постановление до коммерческих банков Кыргызской Республики, соответствующих структурных подразделений Национального банка Кыргызской Республики,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Республики, курирующего управление бухгалтерского учета и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Боконтаев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17 ноября 2021 года № 2021-П-15/63-1-(НПА)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Изменения в постановление Правления Национального банка Кыргызской Республики "Об утверждении Минимальных требований по формированию кредитного портфеля, принимаемого в качестве залогового обеспечения" от 27 декабря 2017 года № 2017-П-15/54-4-(НПА)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_c3o33qfsgh9xpzncw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lsoszlto9bh0ubgif8e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Минимальных требований</w:t>
        </w:r>
      </w:hyperlink>
      <w:r>
        <w:rPr>
          <w:rFonts w:ascii="Arial" w:cs="Arial" w:eastAsia="Arial" w:hAnsi="Arial"/>
          <w:sz w:val="24"/>
          <w:szCs w:val="24"/>
        </w:rPr>
        <w:t xml:space="preserve"> по формированию кредитного портфеля, принимаемого в качестве залогового обеспечения" от 27 декабря 2017 года № 2017-П-15/54-4-(НПА)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k7cpfalogls5y3wfgq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Минимальных 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по формированию кредитного портфеля, принимаемого в качестве залогового обеспечения, утвержденных вышеуказанным </w:t>
      </w:r>
      <w:hyperlink w:history="1" r:id="rIdsujzb6vxqfqqbdowmjq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Общая доля лизингового портфеля в структуре предоставляемого залога кредитного портфеля не должна превышать 20%.";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Автотранспорт в случае если он является дополнительным залоговым обеспечением к основному залогу в виде недвижимого имущества в размере не более 10% от основной суммы кредита;";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золото в виде аффинированных мерных слитков, эмитируемых Национальным банком (в виде заклада).".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-bfkqws8q-qqjcmog9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dalil.kg/document/800796</w:t>
      </w:r>
    </w:hyperlink>
  </w:p>
  <w:p>
    <w:pPr>
      <w:spacing w:after="0" w:before="40"/>
      <w:jc w:val="center"/>
    </w:pPr>
    <w:hyperlink w:history="1" r:id="rIdi5o3shmqdicc5qfodhd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5me285ol9qbjnf4wgmr" Type="http://schemas.openxmlformats.org/officeDocument/2006/relationships/hyperlink" Target="https://dalil.kg/document/111486#st_20" TargetMode="External"/><Relationship Id="rIdml_tl4-gdnrbqmuvf52wa" Type="http://schemas.openxmlformats.org/officeDocument/2006/relationships/hyperlink" Target="https://dalil.kg/document/111486#st_68" TargetMode="External"/><Relationship Id="rIdqeo4en7ev6dudc4g9ljwk" Type="http://schemas.openxmlformats.org/officeDocument/2006/relationships/hyperlink" Target="https://dalil.kg/document/800796#pr1" TargetMode="External"/><Relationship Id="rId9ayczgf-4ak9x7e8kzoqr" Type="http://schemas.openxmlformats.org/officeDocument/2006/relationships/hyperlink" Target="https://dalil.kg/document/800218" TargetMode="External"/><Relationship Id="rIdanv9mwh9sessji0zslnen" Type="http://schemas.openxmlformats.org/officeDocument/2006/relationships/hyperlink" Target="https://dalil.kg/document/800219" TargetMode="External"/><Relationship Id="rIdv_c3o33qfsgh9xpzncwfl" Type="http://schemas.openxmlformats.org/officeDocument/2006/relationships/hyperlink" Target="https://dalil.kg/document/800218" TargetMode="External"/><Relationship Id="rIdlsoszlto9bh0ubgif8efx" Type="http://schemas.openxmlformats.org/officeDocument/2006/relationships/hyperlink" Target="https://dalil.kg/document/800219" TargetMode="External"/><Relationship Id="rIduk7cpfalogls5y3wfgqwx" Type="http://schemas.openxmlformats.org/officeDocument/2006/relationships/hyperlink" Target="https://dalil.kg/document/800219" TargetMode="External"/><Relationship Id="rIdsujzb6vxqfqqbdowmjq9_" Type="http://schemas.openxmlformats.org/officeDocument/2006/relationships/hyperlink" Target="https://dalil.kg/document/80021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-bfkqws8q-qqjcmog9cu" Type="http://schemas.openxmlformats.org/officeDocument/2006/relationships/hyperlink" Target="https://dalil.kg/document/800796" TargetMode="External"/><Relationship Id="rIdi5o3shmqdicc5qfodhd2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2026-09-29T11:08:17.113Z</dcterms:created>
  <dcterms:modified xsi:type="dcterms:W3CDTF">2026-09-29T11:08:17.113Z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