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2022-П-12/20-1-(НПА)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wral3-svtggasrjody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uln2pihjhicpwtirw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jiia_pmdfg6uxg5cwj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xm4pml8hshsbjwqxo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</w:t>
      </w:r>
      <w:hyperlink w:history="1" r:id="rIddjn8wwhjmz_7ovd-dm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</w:t>
      </w:r>
      <w:hyperlink w:history="1" r:id="rIda7vku4xxlutny48eyj7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</w:t>
      </w:r>
      <w:hyperlink w:history="1" r:id="rId3njqr8yy9whsd4wugf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gzv870ps4whck1obg8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</w:t>
      </w:r>
      <w:hyperlink w:history="1" r:id="rIdjhq_mmicf5f02hg1lde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консолидированном надзоре" и Положения "О периодической регулятивной консолидированной отчетности" от 28 июня 2019 года № 2019-П-12/34-4-(НПА).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коммерческим банкам обеспечить организацию внутренней системы управления для осуществления анализа и мониторинга реструктурированных кредитов, а также системы оценки эффективности проведения реструктуризации кредитного портфеля, включая условия изменения графика погашения (отсрочка платежей по основной сумме и/или процентам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сроки вступления в силу следующих разделов периодического регулятивного банковского отчета со дня вступления в силу постановления Правления Национального банка Кыргызской Республики "Об утверждении Положения "О расчете коэффициента покрытия ликвидности коммерческих банков" от 27 декабря 2019 года № 2019-П-12/68-4-(НПА):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- 14.Ж. Отчет о расчете коэффициента покрытия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- 14.З. Отчет о расчете коэффициента покрытия ликвидности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- 14.И. Отчет о соблюдении коэффициента покрытия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- 14.К. Отчет о показателе коэффициента покрытия ликвидности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ОАО "Финансовая компания кредитных союзов", ОАО "Гарантийный фонд",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6 апреля 2022 года № 2022-П-12/20-1-(НПА)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iknm9bftlsytlewp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wlsr3ffwl65ufyu-e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it6wpc30d_s-wa9etd_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ежедневного и еженедельного отчета - в течение 2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ежемесячного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полугодового отчета - в течение 15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№1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дополнить подразделами Д, Е, Ж, З и пункт 10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936"/>
        <w:gridCol w:w="4621"/>
        <w:gridCol w:w="1374"/>
        <w:gridCol w:w="1608"/>
        <w:gridCol w:w="1203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и реструктуризированных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просроченных активах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о просроченных активах банка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о просроченных активах банка в рамках "исламского окна"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о реструктуризированных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реструктуризированных кредитах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о реструктуризированных активах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Информация о реструктуризированных активах в рамках "исламского окна" (в иностранной валюте)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14 пункта 18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647"/>
        <w:gridCol w:w="3477"/>
        <w:gridCol w:w="1016"/>
        <w:gridCol w:w="2262"/>
        <w:gridCol w:w="2483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нормативов/показателей и требования о поддержке дополнительного запаса капитала банка (индекс "буфер капитала")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Отчет о выполнении требований Национального банка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об объеме выданных кредитов членам ГСО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Отчет о расчете коэффициента покрытия ликвидности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расчете коэффициента покрытия ликвидности в иностранной валюте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соблюдении коэффициента покрытия ликвидности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показателе коэффициента покрытия ликвидности в иностранной валюте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16 пункта 20 таблицы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28"/>
        <w:gridCol w:w="3230"/>
        <w:gridCol w:w="1246"/>
        <w:gridCol w:w="1771"/>
        <w:gridCol w:w="2679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16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открытых валютных позициях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tcW w:type="dxa" w:w="2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Инструкции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об открытых валютных позициях (ОВП)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Сводный ежедневный отчет об открытых валютных позициях (ОВП)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Ежедневный отчет об открытых позициях в драгоценных металлах (ОПДМ)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Сводный ежедневный отчет об открытых позициях в драгоценных металлах (ОПДМ)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№2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Раздел 6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6.А. ИНФОРМАЦИЯ О ПРОСРОЧЕННЫХ АКТИВАХ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0"/>
        <w:gridCol w:w="898"/>
        <w:gridCol w:w="1289"/>
        <w:gridCol w:w="1221"/>
        <w:gridCol w:w="531"/>
        <w:gridCol w:w="533"/>
        <w:gridCol w:w="533"/>
        <w:gridCol w:w="537"/>
        <w:gridCol w:w="539"/>
        <w:gridCol w:w="539"/>
        <w:gridCol w:w="625"/>
        <w:gridCol w:w="1232"/>
      </w:tblGrid>
      <w:tr>
        <w:tc>
          <w:tcPr>
            <w:tcW w:type="dxa" w:w="17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кредитов в статусе неначисления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депозиты в других банках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физические лица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6.Б. ИНФОРМАЦИЯ О ПРОСРОЧЕННЫХ АКТИВАХ
 (в иностранной валюте)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кредитов в статусе неначисления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депозиты в других банках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физические лица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6.В. ИНФОРМАЦИЯ О ПРОСРОЧЕННЫХ АКТИВАХ БАНКА В РАМКАХ "ИСЛАМСКОГО ОКНА"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853"/>
        <w:gridCol w:w="1244"/>
        <w:gridCol w:w="1191"/>
        <w:gridCol w:w="550"/>
        <w:gridCol w:w="550"/>
        <w:gridCol w:w="550"/>
        <w:gridCol w:w="550"/>
        <w:gridCol w:w="550"/>
        <w:gridCol w:w="550"/>
        <w:gridCol w:w="643"/>
        <w:gridCol w:w="1256"/>
      </w:tblGrid>
      <w:tr>
        <w:tc>
          <w:tcPr>
            <w:tcW w:type="dxa" w:w="1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в статусе неначисления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счета в других банках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другое финансирование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6.Г. ИНФОРМАЦИЯ О ПРОСРОЧЕННЫХ АКТИВАХ БАНКА В РАМКАХ "ИСЛАМСКОГО ОКНА"
 (в иностранной валюте)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4"/>
        <w:gridCol w:w="877"/>
        <w:gridCol w:w="1278"/>
        <w:gridCol w:w="1207"/>
        <w:gridCol w:w="519"/>
        <w:gridCol w:w="523"/>
        <w:gridCol w:w="523"/>
        <w:gridCol w:w="529"/>
        <w:gridCol w:w="533"/>
        <w:gridCol w:w="533"/>
        <w:gridCol w:w="594"/>
        <w:gridCol w:w="1215"/>
      </w:tblGrid>
      <w:tr>
        <w:tc>
          <w:tcPr>
            <w:tcW w:type="dxa" w:w="1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в статусе неначисления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счета в других банках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другое финансирование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 /или капитал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6.Д. ИНФОРМАЦИЯ О РЕСТРУКТУРИЗИРОВАННЫХ КРЕДИТАХ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Кредиты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реструктуризированные кредиты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кредиты,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кредиты, график по которым в отчетном периоде не предусматривает платеж по основной сумме и процентам/"0"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кредиты, график по которым в отчетном периоде предусматривает платеж по основной сумме или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кредиты, график по которым в отчетном периоде предусматривает платеж по основной сумме 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кредиты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387"/>
        <w:gridCol w:w="499"/>
        <w:gridCol w:w="547"/>
        <w:gridCol w:w="297"/>
        <w:gridCol w:w="297"/>
        <w:gridCol w:w="297"/>
        <w:gridCol w:w="307"/>
        <w:gridCol w:w="307"/>
        <w:gridCol w:w="307"/>
        <w:gridCol w:w="307"/>
        <w:gridCol w:w="314"/>
        <w:gridCol w:w="314"/>
        <w:gridCol w:w="314"/>
        <w:gridCol w:w="314"/>
        <w:gridCol w:w="596"/>
        <w:gridCol w:w="334"/>
        <w:gridCol w:w="334"/>
        <w:gridCol w:w="334"/>
        <w:gridCol w:w="602"/>
        <w:gridCol w:w="539"/>
        <w:gridCol w:w="751"/>
        <w:gridCol w:w="631"/>
      </w:tblGrid>
      <w:tr>
        <w:tc>
          <w:tcPr>
            <w:tcW w:type="dxa" w:w="1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кредиты</w:t>
            </w:r>
          </w:p>
        </w:tc>
        <w:tc>
          <w:tcPr>
            <w:tcW w:type="dxa" w:w="1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кредиты</w:t>
            </w:r>
          </w:p>
        </w:tc>
        <w:tc>
          <w:tcPr>
            <w:tcW w:type="dxa" w:w="12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под наблюдением</w:t>
            </w:r>
          </w:p>
        </w:tc>
        <w:tc>
          <w:tcPr>
            <w:tcW w:type="dxa" w:w="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10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банкам и финансово-кредитным организациям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кредитов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проценты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6.Е. ИНФОРМАЦИЯ О РЕСТРУКТУРИЗИРОВАННЫХ КРЕДИТАХ
 (в иностранной валюте)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Кредиты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кредиты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кредиты,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кредиты, график по которым в отчетном периоде не предусматривает платеж по основной сумме и процентам/"0"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кредиты, график по которым в отчетном периоде предусматривает платеж по основной сумме или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кредиты, график по которым в отчетном периоде предусматривает платеж по основной сумме 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кредиты в иностранной валюте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кредиты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кредиты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банкам и финансово-кредитным организациям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кредитов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проценты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6.Ж. ИНФОРМАЦИЯ О РЕСТРУКТУРИЗИРОВАННЫХ АКТИВАХ (финансирование) В РАМКАХ "ИСЛАМСКОГО ОКНА"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Активы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активы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активы,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активы,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активы,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активы,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активы,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активы, график по которым в отчетном периоде не предусматривает платеж по основной сумме и наценке/прибыли/"0"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активы, график по которым в отчетном периоде предусматривает платеж по основной сумме или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активы, график по которым в отчетном периоде предусматривает платеж по основной сумме 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активы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активы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активы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наценки/прибыль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6.З. ИНФОРМАЦИЯ О РЕСТРУКТУРИЗИРОВАННЫХ АКТИВАХ (финансирование) В РАМКАХ "ИСЛАМСКОГО ОКНА"
 (в иностранной валюте)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Активы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активы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активы,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активы,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активы,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активы,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активы,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активы, график по которым в отчетном периоде не предусматривает платеж по основной сумме и наценке/прибыли/"0"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активы, график по которым в отчетном периоде предусматривает платеж по основной сумме или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активы, график по которым в отчетном периоде предусматривает платеж по основной сумме 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активы в иностранной валюте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активы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активы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наценки/прибыль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14.В "Отчет о выполнении требований НБКР"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14.В. ОТЧЕТ О ВЫПОЛНЕНИИ ТРЕБОВАНИЙ НАЦИОНАЛЬНОГО БАНКА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4"/>
        <w:gridCol w:w="1608"/>
        <w:gridCol w:w="1311"/>
        <w:gridCol w:w="2135"/>
        <w:gridCol w:w="1789"/>
      </w:tblGrid>
      <w:tr>
        <w:tc>
          <w:tcPr>
            <w:tcW w:type="dxa" w:w="3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(%)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значения</w:t>
            </w:r>
          </w:p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бланковым кредитам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Бланковые кредиты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и связанными с лицами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общих инвестиций в небанковские организации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 от собственного (регулятивного) капитала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(регулятивный)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банковские помещения (основные средства)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размера оплаченного уставного капитала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уставный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ценные бумаги правительств и центральных банков других государств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банка в негосударственные долговые ценные бумаги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крупных рисков банка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крупных рисков банка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пятикратного размера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Пятикратный размер 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Приложении №2 </w:t>
      </w:r>
      <w:r>
        <w:rPr>
          <w:rFonts w:ascii="Arial" w:cs="Arial" w:eastAsia="Arial" w:hAnsi="Arial"/>
          <w:sz w:val="24"/>
          <w:szCs w:val="24"/>
        </w:rPr>
        <w:t xml:space="preserve"> дополнить разделами 14.Ж, 14.З, 14.И, 14.К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"14.Ж. ОТЧЕТ О РАСЧЕТЕ КОЭФФИЦИЕНТА ПОКРЫТИЯ ЛИКВИДНОСТИ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637"/>
        <w:gridCol w:w="1335"/>
        <w:gridCol w:w="1158"/>
        <w:gridCol w:w="1529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требований/
 обязательств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Весовой коэффициент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величина требований/
 обязательств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Высоколиквидные активы (ВЛА), скорректированные с учетом ограничений на структуры ВЛА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1 уровня,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банке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Аффинированные мерные слитки, эмитированные Национальным банком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в банках, имеющих долгосрочный кредитный рейтинг не ниже уровня "A-", присвоенный рейтинговым агентством Standard and Poor’s,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выпущенные Национальным банком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акции компании, которые находятся в свободном 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15%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40%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оттоки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Стабильные депозиты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стабильные депозиты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связанных с банком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юридических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 юридических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депозиты,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Неоперационные депозиты,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аффилированных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банков-корреспондентов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организаций, не включенных в предыдущие категории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привлеченных средств под обеспечение активами банка,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1 уровня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Национальным банком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A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прочими активами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отток, кредиты и займы без обеспечения,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аффилированных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сроком погашения в течение 30 календарных 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производным финансовым инструментам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коммерческих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отток денежных средств по другим условным обязательствам,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Безусловно отзывные (не обязательственные) кредитные линии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Условные обязательства по финансированию, относящиеся к финансированию торговли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и аккредитивы, не относящиеся к обязательствам по финансированию торговли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 и ссудам,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 и индивидуальных предпринимателей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1 уровня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ожидаемые притоки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от ценных бумаг, не включенных в состав ВЛА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операционных целей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не операционных целей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 производным инструментам на нетто основе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ожидаемые притоки денежных средств, установленные условиями договора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ожидаемый отток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покрытия ликвидности (КПЛ)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14.З. ОТЧЕТ О РАСЧЕТЕ КОЭФФИЦИЕНТА ПОКРЫТИЯ ЛИКВИДНОСТИ В ИНОСТРАННОЙ ВАЛЮТЕ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Валюта: 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192"/>
        <w:gridCol w:w="1435"/>
        <w:gridCol w:w="1283"/>
        <w:gridCol w:w="160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требований/
 обязательств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Весовой коэффициент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величина требований/
 обязательств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Высоколиквидные активы (ВЛА), скорректированные с учетом ограничений на структуры ВЛА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1 уровня,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банке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Аффинированные мерные слитки, эмитированные Национальным банком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в банках, имеющих долгосрочный кредитный рейтинг не ниже уровня "A-", присвоенный рейтинговым агентством Standard and Poor’s",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выпущенные Национальным банком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&amp;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акции компании, которые находятся в свободном 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15%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40%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оттоки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Стабильные депозиты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стабильные депозиты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связанных с банком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юридических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 юридических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депозиты,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Неоперационные депозиты,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аффилированных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банков-корреспондентов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организаций, не включенных в предыдущие категории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привлеченных средств под обеспечение активами банка,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1 уровня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Национальным банком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прочими активами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отток, кредиты и займы без обеспечения,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аффилированных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сроком погашения в течение 30 календарных 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производным финансовым инструментам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коммерческих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отток денежных средств по другим условным обязательствам,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Безусловно отзывные (не обязательственные) кредитные линии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Условные обязательства по финансированию, относящиеся к финансированию торговли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и аккредитивы, не относящиеся к обязательствам по финансированию торговли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 и ссудам,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 и индивидуальных предпринимателей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1 уровня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ожидаемые притоки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от ценных бумаг, не включенные в состав ВЛА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операционных целей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не операционных целей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 производным инструментам на нетто основе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ожидаемые притоки денежных средств, установленные условиями договора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ожидаемый отток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покрытия ликвидности (КПЛ)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14.И. ОТЧЕТ О СОБЛЮДЕНИИ КОЭФФИЦИЕНТА ПОКРЫТИЯ ЛИКВИДНОСТИ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2620"/>
        <w:gridCol w:w="2620"/>
        <w:gridCol w:w="2620"/>
      </w:tblGrid>
      <w:tr>
        <w:tc>
          <w:tcPr>
            <w:tcW w:type="dxa" w:w="2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8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ЧОДС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(в %)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14.К. ОТЧЕТ О ПОКАЗАТЕЛЕ КОЭФФИЦИЕНТА ПОКРЫТИЯ ЛИКВИДНОСТИ В ИНОСТРАННОЙ ВАЛЮТЕ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Валюта: ___________________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2620"/>
        <w:gridCol w:w="2620"/>
        <w:gridCol w:w="2620"/>
      </w:tblGrid>
      <w:tr>
        <w:tc>
          <w:tcPr>
            <w:tcW w:type="dxa" w:w="2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8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ЧОДС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(в %)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Приложении №2</w:t>
      </w:r>
      <w:r>
        <w:rPr>
          <w:rFonts w:ascii="Arial" w:cs="Arial" w:eastAsia="Arial" w:hAnsi="Arial"/>
          <w:sz w:val="24"/>
          <w:szCs w:val="24"/>
        </w:rPr>
        <w:t xml:space="preserve"> дополнить разделами 16.В., 16.Г., 16.Д.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"16.В. ЕЖЕДНЕВНЫЙ ОТЧЕТ ОБ ОТКРЫТЫХ ПОЗИЦИЯХ В ДРАГОЦЕННЫХ МЕТАЛЛАХ (ОПДМ)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1390"/>
        <w:gridCol w:w="1227"/>
        <w:gridCol w:w="779"/>
        <w:gridCol w:w="779"/>
        <w:gridCol w:w="1044"/>
        <w:gridCol w:w="1480"/>
        <w:gridCol w:w="1012"/>
        <w:gridCol w:w="1012"/>
      </w:tblGrid>
      <w:tr>
        <w:tc>
          <w:tcPr>
            <w:tcW w:type="dxa" w:w="14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5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2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305"/>
        <w:gridCol w:w="1191"/>
        <w:gridCol w:w="840"/>
        <w:gridCol w:w="840"/>
        <w:gridCol w:w="1175"/>
        <w:gridCol w:w="1407"/>
        <w:gridCol w:w="1020"/>
        <w:gridCol w:w="1020"/>
      </w:tblGrid>
      <w:tr>
        <w:tc>
          <w:tcPr>
            <w:tcW w:type="dxa" w:w="13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6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2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16.Д. СВОДНЫЙ ЕЖЕДНЕВНЫЙ ОТЧЕТ ОБ ОТКРЫТЫХ ПОЗИЦИЯХ В ДРАГОЦЕННЫХ МЕТАЛЛАХ (ОПДМ)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5"/>
        <w:gridCol w:w="1608"/>
        <w:gridCol w:w="1136"/>
        <w:gridCol w:w="840"/>
        <w:gridCol w:w="840"/>
        <w:gridCol w:w="1116"/>
        <w:gridCol w:w="1335"/>
        <w:gridCol w:w="984"/>
        <w:gridCol w:w="984"/>
      </w:tblGrid>
      <w:tr>
        <w:tc>
          <w:tcPr>
            <w:tcW w:type="dxa" w:w="13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6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1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q-yhk9d7n0amutgxpx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sho1l1v5b5xwuzm5os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29 декабря 2004 года № 36/13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f2hz_3r9ddlpsvgk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Республики", утвержденной вышеуказанным </w:t>
      </w:r>
      <w:hyperlink w:history="1" r:id="rIdwarumvcewq_u73lncs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gehbhh7y61kcjx-9k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d6glvvsl4fhpw8nxyr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3kcnm2s1ftdqokjqx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финансирования", утвержденной вышеуказанным </w:t>
      </w:r>
      <w:hyperlink w:history="1" r:id="rId8ewg0b_nsuctzkhykk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jg46vpkyhgqm9ct_i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jcutz8wvffpjv1fqnd6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dlx2c7zcxpi-v9tcg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ohbtsmyiedmsysmf_e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31.1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величина созданного РППУ по активам, начисленным процентам по кредитам и финансовой аренде банкам и клиентам в соответствии с требованиями, установленными в нормативных правовых актах Национального банка на отчетную дату, а также отдельно сумму корректировки величины РППУ за отчетный квартал;".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</w:t>
      </w:r>
      <w:r>
        <w:rPr>
          <w:rFonts w:ascii="Arial" w:cs="Arial" w:eastAsia="Arial" w:hAnsi="Arial"/>
          <w:sz w:val="24"/>
          <w:szCs w:val="24"/>
        </w:rPr>
        <w:t xml:space="preserve"> Положения </w:t>
      </w:r>
      <w:r>
        <w:rPr>
          <w:rFonts w:ascii="Arial" w:cs="Arial" w:eastAsia="Arial" w:hAnsi="Arial"/>
          <w:sz w:val="24"/>
          <w:szCs w:val="24"/>
        </w:rPr>
        <w:t xml:space="preserve">"О консолидированном надзоре" 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"О периодической регулятивной консолидированной отчетности" от 28 июня 2019 года № 2019-П-12/34-4-(НПА)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"О консолидированном надзоре",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3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№ 3: Группа, состоящая из банка/небанковской финансово-кредитной организации и юридических лиц, которые возглавляются холдинговой компанией/юридическим лицом/физическим лицом (Приложение 3).".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olapq3foj9x1dn8x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dalil.kg/document/800833</w:t>
      </w:r>
    </w:hyperlink>
  </w:p>
  <w:p>
    <w:pPr>
      <w:spacing w:after="0" w:before="40"/>
      <w:jc w:val="center"/>
    </w:pPr>
    <w:hyperlink w:history="1" r:id="rIdyvbl7vsugkif00tdnu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ral3-svtggasrjody7f" Type="http://schemas.openxmlformats.org/officeDocument/2006/relationships/hyperlink" Target="https://dalil.kg/document/111486#st_20" TargetMode="External"/><Relationship Id="rIdwuln2pihjhicpwtirwztj" Type="http://schemas.openxmlformats.org/officeDocument/2006/relationships/hyperlink" Target="https://dalil.kg/document/111486#st_68" TargetMode="External"/><Relationship Id="rIdjiia_pmdfg6uxg5cwjanl" Type="http://schemas.openxmlformats.org/officeDocument/2006/relationships/hyperlink" Target="https://dalil.kg/document/300273" TargetMode="External"/><Relationship Id="rIdcxm4pml8hshsbjwqxolom" Type="http://schemas.openxmlformats.org/officeDocument/2006/relationships/hyperlink" Target="https://dalil.kg/document/31124" TargetMode="External"/><Relationship Id="rIddjn8wwhjmz_7ovd-dmsss" Type="http://schemas.openxmlformats.org/officeDocument/2006/relationships/hyperlink" Target="https://dalil.kg/document/31095" TargetMode="External"/><Relationship Id="rIda7vku4xxlutny48eyj7u5" Type="http://schemas.openxmlformats.org/officeDocument/2006/relationships/hyperlink" Target="https://dalil.kg/document/302277" TargetMode="External"/><Relationship Id="rId3njqr8yy9whsd4wugfc-k" Type="http://schemas.openxmlformats.org/officeDocument/2006/relationships/hyperlink" Target="https://dalil.kg/document/301252" TargetMode="External"/><Relationship Id="rIdgzv870ps4whck1obg8xtd" Type="http://schemas.openxmlformats.org/officeDocument/2006/relationships/hyperlink" Target="https://dalil.kg/document/302333" TargetMode="External"/><Relationship Id="rIdjhq_mmicf5f02hg1lde66" Type="http://schemas.openxmlformats.org/officeDocument/2006/relationships/hyperlink" Target="https://dalil.kg/document/302332" TargetMode="External"/><Relationship Id="rIdv3iknm9bftlsytlewp0ab" Type="http://schemas.openxmlformats.org/officeDocument/2006/relationships/hyperlink" Target="https://dalil.kg/document/300273" TargetMode="External"/><Relationship Id="rIddwwlsr3ffwl65ufyu-e4a" Type="http://schemas.openxmlformats.org/officeDocument/2006/relationships/hyperlink" Target="https://dalil.kg/document/300274" TargetMode="External"/><Relationship Id="rIdit6wpc30d_s-wa9etd_rb" Type="http://schemas.openxmlformats.org/officeDocument/2006/relationships/hyperlink" Target="https://dalil.kg/document/300273" TargetMode="External"/><Relationship Id="rIdjq-yhk9d7n0amutgxpx3_" Type="http://schemas.openxmlformats.org/officeDocument/2006/relationships/hyperlink" Target="https://dalil.kg/document/31095" TargetMode="External"/><Relationship Id="rIdsho1l1v5b5xwuzm5ospga" Type="http://schemas.openxmlformats.org/officeDocument/2006/relationships/hyperlink" Target="https://dalil.kg/document/302277" TargetMode="External"/><Relationship Id="rIdfff2hz_3r9ddlpsvgkmzm" Type="http://schemas.openxmlformats.org/officeDocument/2006/relationships/hyperlink" Target="https://dalil.kg/document/31124" TargetMode="External"/><Relationship Id="rIdwarumvcewq_u73lncsndl" Type="http://schemas.openxmlformats.org/officeDocument/2006/relationships/hyperlink" Target="https://dalil.kg/document/31095" TargetMode="External"/><Relationship Id="rId5gehbhh7y61kcjx-9k6ii" Type="http://schemas.openxmlformats.org/officeDocument/2006/relationships/hyperlink" Target="https://dalil.kg/document/301252" TargetMode="External"/><Relationship Id="rIdd6glvvsl4fhpw8nxyr8ja" Type="http://schemas.openxmlformats.org/officeDocument/2006/relationships/hyperlink" Target="https://dalil.kg/document/302277" TargetMode="External"/><Relationship Id="rIdnu3kcnm2s1ftdqokjqx91" Type="http://schemas.openxmlformats.org/officeDocument/2006/relationships/hyperlink" Target="https://dalil.kg/document/302277" TargetMode="External"/><Relationship Id="rId8ewg0b_nsuctzkhykk4yk" Type="http://schemas.openxmlformats.org/officeDocument/2006/relationships/hyperlink" Target="https://dalil.kg/document/301252" TargetMode="External"/><Relationship Id="rIdjjg46vpkyhgqm9ct_i0qn" Type="http://schemas.openxmlformats.org/officeDocument/2006/relationships/hyperlink" Target="https://dalil.kg/document/302332" TargetMode="External"/><Relationship Id="rIdjcutz8wvffpjv1fqnd6fk" Type="http://schemas.openxmlformats.org/officeDocument/2006/relationships/hyperlink" Target="https://dalil.kg/document/302333" TargetMode="External"/><Relationship Id="rIdedlx2c7zcxpi-v9tcgjpy" Type="http://schemas.openxmlformats.org/officeDocument/2006/relationships/hyperlink" Target="https://dalil.kg/document/302333" TargetMode="External"/><Relationship Id="rIdohbtsmyiedmsysmf_ejdi" Type="http://schemas.openxmlformats.org/officeDocument/2006/relationships/hyperlink" Target="https://dalil.kg/document/30233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olapq3foj9x1dn8xpcf" Type="http://schemas.openxmlformats.org/officeDocument/2006/relationships/hyperlink" Target="https://dalil.kg/document/800833" TargetMode="External"/><Relationship Id="rIdyvbl7vsugkif00tdnu1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2026-09-24T00:41:47.019Z</dcterms:created>
  <dcterms:modified xsi:type="dcterms:W3CDTF">2026-09-24T00:41:47.019Z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