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2019 года № 2897-VI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присоединении Кыргызской Республики к Протоколу о запрещении применения на войне удушливых, ядовитых или других подобных газов и бактериологических средств, подписанному 17 июня 1925 года в городе Женева"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7iuhejfdracqtvg3umm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присоединении Кыргызской Республики к </w:t>
      </w:r>
      <w:hyperlink w:history="1" r:id="rIdzmfz9mjfuusbc7wb5jn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Протоколу</w:t>
        </w:r>
      </w:hyperlink>
      <w:r>
        <w:rPr>
          <w:rFonts w:ascii="Arial" w:cs="Arial" w:eastAsia="Arial" w:hAnsi="Arial"/>
          <w:sz w:val="24"/>
          <w:szCs w:val="24"/>
        </w:rPr>
        <w:t xml:space="preserve"> о запрещении применения на войне удушливых, ядовитых или других подобных газов и бактериологических средств, подписанному 17 июня 1925 года в городе Женева", инициированный Правительством Кыргызской Республики (</w:t>
      </w:r>
      <w:hyperlink w:history="1" r:id="rIdwwbamgwnldr0al21iy1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июня 2018 года № 297).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inbsyh1odcuko8t3v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dalil.kg/document/83657</w:t>
      </w:r>
    </w:hyperlink>
  </w:p>
  <w:p>
    <w:pPr>
      <w:spacing w:after="0" w:before="40"/>
      <w:jc w:val="center"/>
    </w:pPr>
    <w:hyperlink w:history="1" r:id="rIdjmcwjoc9eract78orpm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iuhejfdracqtvg3ummxj" Type="http://schemas.openxmlformats.org/officeDocument/2006/relationships/hyperlink" Target="https://dalil.kg/document/111877" TargetMode="External"/><Relationship Id="rIdzmfz9mjfuusbc7wb5jn8l" Type="http://schemas.openxmlformats.org/officeDocument/2006/relationships/hyperlink" Target="https://dalil.kg/document/111877" TargetMode="External"/><Relationship Id="rIdwwbamgwnldr0al21iy1ry" Type="http://schemas.openxmlformats.org/officeDocument/2006/relationships/hyperlink" Target="https://dalil.kg/document/119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inbsyh1odcuko8t3vqe" Type="http://schemas.openxmlformats.org/officeDocument/2006/relationships/hyperlink" Target="https://dalil.kg/document/83657" TargetMode="External"/><Relationship Id="rIdjmcwjoc9eract78orpm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2026-10-02T00:35:31.867Z</dcterms:created>
  <dcterms:modified xsi:type="dcterms:W3CDTF">2026-10-02T00:35:31.867Z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