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18 апреля 2019 года № 3020-VI</w:t>
      </w:r>
    </w:p>
    <w:p>
      <w:pPr>
        <w:spacing w:after="120"/>
        <w:jc w:val="both"/>
      </w:pPr>
      <w:r>
        <w:rPr>
          <w:rFonts w:ascii="Arial" w:cs="Arial" w:eastAsia="Arial" w:hAnsi="Arial"/>
          <w:sz w:val="24"/>
          <w:szCs w:val="24"/>
        </w:rPr>
        <w:t xml:space="preserve">О ходе исполнения постановления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w:t>
      </w:r>
    </w:p>
    <w:p>
      <w:pPr>
        <w:spacing w:after="120"/>
        <w:jc w:val="both"/>
      </w:pPr>
      <w:r>
        <w:rPr>
          <w:rFonts w:ascii="Arial" w:cs="Arial" w:eastAsia="Arial" w:hAnsi="Arial"/>
          <w:sz w:val="24"/>
          <w:szCs w:val="24"/>
        </w:rPr>
        <w:t xml:space="preserve">Заслушав информацию вице-премьер-министра Кыргызской Республики З.М.Аскарова о ходе исполнения Правительством Кыргызской Республики </w:t>
      </w:r>
      <w:hyperlink w:history="1" r:id="rIdajlvep0zqd0av7ul8a9q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31 марта 2016 года № 412-VI "О политике Правительства Кыргызской Республики по привлечению и защите инвестиций, развитию предпринимательства, производству и продвижению товаров на внешний рынок", Жогорку Кенеш Кыргызской Республики отмечает следующее.</w:t>
      </w:r>
    </w:p>
    <w:p>
      <w:pPr>
        <w:spacing w:after="120"/>
        <w:jc w:val="both"/>
      </w:pPr>
      <w:r>
        <w:rPr>
          <w:rFonts w:ascii="Arial" w:cs="Arial" w:eastAsia="Arial" w:hAnsi="Arial"/>
          <w:sz w:val="24"/>
          <w:szCs w:val="24"/>
        </w:rPr>
        <w:t xml:space="preserve">Работа Правительства Кыргызской Республики (далее - Правительство) по исполнению </w:t>
      </w:r>
      <w:hyperlink w:history="1" r:id="rId43yowreychlqpa8fvnpx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(далее - Жогорку Кенеш) № 412-VI от 31 марта 2016 года заслушивалась на заседаниях Комитета по экономической и фискальной политике с принятием соответствующих решений:</w:t>
      </w:r>
    </w:p>
    <w:p>
      <w:pPr>
        <w:spacing w:after="120"/>
        <w:jc w:val="both"/>
      </w:pPr>
      <w:r>
        <w:rPr>
          <w:rFonts w:ascii="Arial" w:cs="Arial" w:eastAsia="Arial" w:hAnsi="Arial"/>
          <w:sz w:val="24"/>
          <w:szCs w:val="24"/>
        </w:rPr>
        <w:t xml:space="preserve">- от 10 января 2017 года - работа Правительства признана недостаточной и дано поручение продолжить работу;</w:t>
      </w:r>
    </w:p>
    <w:p>
      <w:pPr>
        <w:spacing w:after="120"/>
        <w:jc w:val="both"/>
      </w:pPr>
      <w:r>
        <w:rPr>
          <w:rFonts w:ascii="Arial" w:cs="Arial" w:eastAsia="Arial" w:hAnsi="Arial"/>
          <w:sz w:val="24"/>
          <w:szCs w:val="24"/>
        </w:rPr>
        <w:t xml:space="preserve">- от 6 июня 2017 года - Правительству поручено продолжить работу по исполнению постановления, даны дополнительные поручения относительно: привлечения инвестиций в регионы; производства нефтепродуктов, отвечающих установленным стандартам и техническим регламентам; параллельного проектирования в сфере строительства; принятия мер по пресечению фактов применения предпринимателями Таджикистана унифицированных тарифов, принятых для Кыргызстана; персональной ответственности должностных лиц, не исполняющих </w:t>
      </w:r>
      <w:hyperlink w:history="1" r:id="rIdozixge3f4s0eosfcuvsvf">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Верховного суда Кыргызской Республики от 11 июля 2014 года и решение межведомственной комиссии, образованной в соответствии с </w:t>
      </w:r>
      <w:hyperlink w:history="1" r:id="rIdfvswpyxpx6lbnea85roz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 378-Р от 4 сентября 2014 года (далее - </w:t>
      </w:r>
      <w:hyperlink w:history="1" r:id="rIdoubs5redvikn-djxsyfdb">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11 июля 2014 года и решение межведомственной комиссии); разработки новой редакции закона о привлечении инвестиций; разработки и принятия Программы промышленного развития; разработки законопроекта о долевом строительстве;</w:t>
      </w:r>
    </w:p>
    <w:p>
      <w:pPr>
        <w:spacing w:after="120"/>
        <w:jc w:val="both"/>
      </w:pPr>
      <w:r>
        <w:rPr>
          <w:rFonts w:ascii="Arial" w:cs="Arial" w:eastAsia="Arial" w:hAnsi="Arial"/>
          <w:sz w:val="24"/>
          <w:szCs w:val="24"/>
        </w:rPr>
        <w:t xml:space="preserve">- от 31 октября 2017 года - работа Правительства признана недостаточной;</w:t>
      </w:r>
    </w:p>
    <w:p>
      <w:pPr>
        <w:spacing w:after="120"/>
        <w:jc w:val="both"/>
      </w:pPr>
      <w:r>
        <w:rPr>
          <w:rFonts w:ascii="Arial" w:cs="Arial" w:eastAsia="Arial" w:hAnsi="Arial"/>
          <w:sz w:val="24"/>
          <w:szCs w:val="24"/>
        </w:rPr>
        <w:t xml:space="preserve">- от 9 января 2018 года - работа Правительства признана недостаточной;</w:t>
      </w:r>
    </w:p>
    <w:p>
      <w:pPr>
        <w:spacing w:after="120"/>
        <w:jc w:val="both"/>
      </w:pPr>
      <w:r>
        <w:rPr>
          <w:rFonts w:ascii="Arial" w:cs="Arial" w:eastAsia="Arial" w:hAnsi="Arial"/>
          <w:sz w:val="24"/>
          <w:szCs w:val="24"/>
        </w:rPr>
        <w:t xml:space="preserve">- от 27 марта 2018 года - информация Правительства принята к сведению, решено заслушать через месяц информацию по неисполненным пунктам;</w:t>
      </w:r>
    </w:p>
    <w:p>
      <w:pPr>
        <w:spacing w:after="120"/>
        <w:jc w:val="both"/>
      </w:pPr>
      <w:r>
        <w:rPr>
          <w:rFonts w:ascii="Arial" w:cs="Arial" w:eastAsia="Arial" w:hAnsi="Arial"/>
          <w:sz w:val="24"/>
          <w:szCs w:val="24"/>
        </w:rPr>
        <w:t xml:space="preserve">- от 5 июня 2018 года - с учетом замечаний и поручений депутатов-членов Комитета рассмотрение вопроса отложено на 2 недели;</w:t>
      </w:r>
    </w:p>
    <w:p>
      <w:pPr>
        <w:spacing w:after="120"/>
        <w:jc w:val="both"/>
      </w:pPr>
      <w:r>
        <w:rPr>
          <w:rFonts w:ascii="Arial" w:cs="Arial" w:eastAsia="Arial" w:hAnsi="Arial"/>
          <w:sz w:val="24"/>
          <w:szCs w:val="24"/>
        </w:rPr>
        <w:t xml:space="preserve">- от 26 июня 2018 года - работа Правительства признана недостаточной, создана рабочая комиссия по вопросу исполнения решения Конституционной палаты от 11 июля 2014 года и решения межведомственной комиссии;</w:t>
      </w:r>
    </w:p>
    <w:p>
      <w:pPr>
        <w:spacing w:after="120"/>
        <w:jc w:val="both"/>
      </w:pPr>
      <w:r>
        <w:rPr>
          <w:rFonts w:ascii="Arial" w:cs="Arial" w:eastAsia="Arial" w:hAnsi="Arial"/>
          <w:sz w:val="24"/>
          <w:szCs w:val="24"/>
        </w:rPr>
        <w:t xml:space="preserve">- от 2 октября 2018 года - решено отложить на один месяц заслушивание информации по исполнению решения Конституционной палаты от 11 июля 2014 года и решения межведомственной комиссии в связи с непредставлением Правительством соответствующей информации;</w:t>
      </w:r>
    </w:p>
    <w:p>
      <w:pPr>
        <w:spacing w:after="120"/>
        <w:jc w:val="both"/>
      </w:pPr>
      <w:r>
        <w:rPr>
          <w:rFonts w:ascii="Arial" w:cs="Arial" w:eastAsia="Arial" w:hAnsi="Arial"/>
          <w:sz w:val="24"/>
          <w:szCs w:val="24"/>
        </w:rPr>
        <w:t xml:space="preserve">- от 27 ноября 2018 года - информация Правительства принята к сведению, решено заслушать информацию об исполнении решения Конституционной палаты от 11 июля 2014 года и разработке проекта закона о долевом строительстве;</w:t>
      </w:r>
    </w:p>
    <w:p>
      <w:pPr>
        <w:spacing w:after="120"/>
        <w:jc w:val="both"/>
      </w:pPr>
      <w:r>
        <w:rPr>
          <w:rFonts w:ascii="Arial" w:cs="Arial" w:eastAsia="Arial" w:hAnsi="Arial"/>
          <w:sz w:val="24"/>
          <w:szCs w:val="24"/>
        </w:rPr>
        <w:t xml:space="preserve">- от 22 января 2019 года - информация Правительства принята к сведению, решено внести вопрос на заседание Жогорку Кенеша.</w:t>
      </w:r>
    </w:p>
    <w:p>
      <w:pPr>
        <w:spacing w:after="120"/>
        <w:jc w:val="both"/>
      </w:pPr>
      <w:r>
        <w:rPr>
          <w:rFonts w:ascii="Arial" w:cs="Arial" w:eastAsia="Arial" w:hAnsi="Arial"/>
          <w:sz w:val="24"/>
          <w:szCs w:val="24"/>
        </w:rPr>
        <w:t xml:space="preserve">Комитет также отмечает, что несмотря на принимаемые Правительством меры, исполнение большинства поручений постановления Жогорку Кенеша ограничивается лишь подписанием меморандумов, соглашений, распоряжений, проведением переговоров, дальнейших последовательных действий не наблюдается.</w:t>
      </w:r>
    </w:p>
    <w:p>
      <w:pPr>
        <w:spacing w:after="120"/>
        <w:jc w:val="both"/>
      </w:pPr>
      <w:r>
        <w:rPr>
          <w:rFonts w:ascii="Arial" w:cs="Arial" w:eastAsia="Arial" w:hAnsi="Arial"/>
          <w:sz w:val="24"/>
          <w:szCs w:val="24"/>
        </w:rPr>
        <w:t xml:space="preserve">По поручениям, данным Национальному банку - утверждены дополнения и изменения в некоторые нормативные правовые акты Национального банка по вопросам управления кредитным риском. Указанными поправками смягчены требования к документам, предоставляемым заемщиками в коммерческие банки для получения кредитов, в части предоставления бизнес-плана заемщика, финансовой отчетности гаранта и справки о заработной плате клиентов. Кроме того, ослаблены требования к периодичности проведения банками мониторинга залога, реструктуризации и списанию кредитов банков, формированию кредитного досье заемщика банков.</w:t>
      </w:r>
    </w:p>
    <w:p>
      <w:pPr>
        <w:spacing w:after="120"/>
        <w:jc w:val="both"/>
      </w:pPr>
      <w:r>
        <w:rPr>
          <w:rFonts w:ascii="Arial" w:cs="Arial" w:eastAsia="Arial" w:hAnsi="Arial"/>
          <w:sz w:val="24"/>
          <w:szCs w:val="24"/>
        </w:rPr>
        <w:t xml:space="preserve">По поручениям, данным Генеральной прокуратуре:</w:t>
      </w:r>
    </w:p>
    <w:p>
      <w:pPr>
        <w:spacing w:after="120"/>
        <w:jc w:val="both"/>
      </w:pPr>
      <w:r>
        <w:rPr>
          <w:rFonts w:ascii="Arial" w:cs="Arial" w:eastAsia="Arial" w:hAnsi="Arial"/>
          <w:sz w:val="24"/>
          <w:szCs w:val="24"/>
        </w:rPr>
        <w:t xml:space="preserve">о законности действий должностных лиц ГСБЭП и ГНС - по результатам проверки от 6 июля 2016 года Генеральной прокуратурой принято решение об отказе в возбуждении уголовного дела в отношении сотрудников ГСБЭП и ГНС за отсутствием в их действиях состава преступления;</w:t>
      </w:r>
    </w:p>
    <w:p>
      <w:pPr>
        <w:spacing w:after="120"/>
        <w:jc w:val="both"/>
      </w:pPr>
      <w:r>
        <w:rPr>
          <w:rFonts w:ascii="Arial" w:cs="Arial" w:eastAsia="Arial" w:hAnsi="Arial"/>
          <w:sz w:val="24"/>
          <w:szCs w:val="24"/>
        </w:rPr>
        <w:t xml:space="preserve">об осуществлении надзора за исполнением законодательства при проведении государственными и муниципальными органами внеплановых проверок субъектов малого и среднего предпринимательства, а также за сроками и обоснованностью их проведения - </w:t>
      </w:r>
      <w:hyperlink w:history="1" r:id="rIdp8-jxr8lkdwaqx8knat8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 417 от 27 июля 2016 года утверждены </w:t>
      </w:r>
      <w:hyperlink w:history="1" r:id="rId8xgq1flpkzf9_ym1c8l0c">
        <w:r>
          <w:rPr>
            <w:rFonts w:ascii="Arial" w:cs="Arial" w:eastAsia="Arial" w:hAnsi="Arial"/>
            <w:color w:val="1D4ED8"/>
            <w:sz w:val="24"/>
            <w:szCs w:val="24"/>
            <w:u w:val="single"/>
          </w:rPr>
          <w:t xml:space="preserve">Временные правила</w:t>
        </w:r>
      </w:hyperlink>
      <w:r>
        <w:rPr>
          <w:rFonts w:ascii="Arial" w:cs="Arial" w:eastAsia="Arial" w:hAnsi="Arial"/>
          <w:sz w:val="24"/>
          <w:szCs w:val="24"/>
        </w:rPr>
        <w:t xml:space="preserve">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 Согласно им все проверки, осуществляемые правоохранительными и налоговыми органами, проходят регистрацию в органах прокуратуры. Сотрудниками Генеральной прокуратуры проведена разъяснительная работа с представителями субъектов предпринимательства и органов местного самоуправления во всех регионах республики;</w:t>
      </w:r>
    </w:p>
    <w:p>
      <w:pPr>
        <w:spacing w:after="120"/>
        <w:jc w:val="both"/>
      </w:pPr>
      <w:r>
        <w:rPr>
          <w:rFonts w:ascii="Arial" w:cs="Arial" w:eastAsia="Arial" w:hAnsi="Arial"/>
          <w:sz w:val="24"/>
          <w:szCs w:val="24"/>
        </w:rPr>
        <w:t xml:space="preserve">о действиях должностных лиц госорганов, выдавших разрешительную документацию на строительство ОсОО "Зетцемент" и приостановивших строительство цементного завода на территории Кеминского района, - Генеральной прокуратурой 27 августа 2015 года возбуждено уголовное дело по фактам превышения должностными лицами госадминистрации Кеминского района Чуйской области своих служебных полномочий, злоупотребления служебным положением должностными лицами регионального управления Государственной инспекции по экологической и технической безопасности при Правительстве Кыргызской Республики (далее - РУ Госэкотехинспекция), а также самоуправства руководством ОсОО "Шанфен Зет Цемент". 30 января 2016 года срок следствия приостановлен на основании п.3 ч.1 </w:t>
      </w:r>
      <w:r>
        <w:rPr>
          <w:rFonts w:ascii="Arial" w:cs="Arial" w:eastAsia="Arial" w:hAnsi="Arial"/>
          <w:sz w:val="24"/>
          <w:szCs w:val="24"/>
        </w:rPr>
        <w:t xml:space="preserve">статьи 221</w:t>
      </w:r>
      <w:r>
        <w:rPr>
          <w:rFonts w:ascii="Arial" w:cs="Arial" w:eastAsia="Arial" w:hAnsi="Arial"/>
          <w:sz w:val="24"/>
          <w:szCs w:val="24"/>
        </w:rPr>
        <w:t xml:space="preserve"> </w:t>
      </w:r>
      <w:hyperlink w:history="1" r:id="rIdg7cu7raqmsoojole9shhm">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 в связи с невозможностью установления лица, подлежащего привлечению в качестве обвиняемого.</w:t>
      </w:r>
    </w:p>
    <w:p>
      <w:pPr>
        <w:spacing w:after="120"/>
        <w:jc w:val="both"/>
      </w:pPr>
      <w:r>
        <w:rPr>
          <w:rFonts w:ascii="Arial" w:cs="Arial" w:eastAsia="Arial" w:hAnsi="Arial"/>
          <w:sz w:val="24"/>
          <w:szCs w:val="24"/>
        </w:rPr>
        <w:t xml:space="preserve">По вопросу законности приостановления строительства цементного завода:</w:t>
      </w:r>
    </w:p>
    <w:p>
      <w:pPr>
        <w:spacing w:after="120"/>
        <w:jc w:val="both"/>
      </w:pPr>
      <w:r>
        <w:rPr>
          <w:rFonts w:ascii="Arial" w:cs="Arial" w:eastAsia="Arial" w:hAnsi="Arial"/>
          <w:sz w:val="24"/>
          <w:szCs w:val="24"/>
        </w:rPr>
        <w:t xml:space="preserve">- предписание РУ Госэкотехинспекция от 8 июля 2015 года о нарушениях ОсОО "Шанфен Зет Цемент" требований </w:t>
      </w:r>
      <w:hyperlink w:history="1" r:id="rIdmpyk7cljslnj3cy0do5g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не было исполнено в установленный срок;</w:t>
      </w:r>
    </w:p>
    <w:p>
      <w:pPr>
        <w:spacing w:after="120"/>
        <w:jc w:val="both"/>
      </w:pPr>
      <w:r>
        <w:rPr>
          <w:rFonts w:ascii="Arial" w:cs="Arial" w:eastAsia="Arial" w:hAnsi="Arial"/>
          <w:sz w:val="24"/>
          <w:szCs w:val="24"/>
        </w:rPr>
        <w:t xml:space="preserve">- рассмотрение административного дела о правонарушении по </w:t>
      </w:r>
      <w:r>
        <w:rPr>
          <w:rFonts w:ascii="Arial" w:cs="Arial" w:eastAsia="Arial" w:hAnsi="Arial"/>
          <w:sz w:val="24"/>
          <w:szCs w:val="24"/>
        </w:rPr>
        <w:t xml:space="preserve">ст.454</w:t>
      </w:r>
      <w:r>
        <w:rPr>
          <w:rFonts w:ascii="Arial" w:cs="Arial" w:eastAsia="Arial" w:hAnsi="Arial"/>
          <w:sz w:val="24"/>
          <w:szCs w:val="24"/>
        </w:rPr>
        <w:t xml:space="preserve"> </w:t>
      </w:r>
      <w:hyperlink w:history="1" r:id="rId5cat8nw00taeostheogd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(протокол от 15 июля 2015 года) Кеминским районным судом прекращено в связи с возбуждением уголовного дела в отношении директора ОсОО "Шанфен Зет Цемент";</w:t>
      </w:r>
    </w:p>
    <w:p>
      <w:pPr>
        <w:spacing w:after="120"/>
        <w:jc w:val="both"/>
      </w:pPr>
      <w:r>
        <w:rPr>
          <w:rFonts w:ascii="Arial" w:cs="Arial" w:eastAsia="Arial" w:hAnsi="Arial"/>
          <w:sz w:val="24"/>
          <w:szCs w:val="24"/>
        </w:rPr>
        <w:t xml:space="preserve">- 21 июля 2015 года РУ Госэкотехинспекции составлен акт о приостановлении строительно-монтажных работ на данном объекте совместно с представителями ОсОО "Шанфен Зет Цемент", работниками Кызыл-Октябрьского айыл окмоту и сотрудниками ОВД Кеминского района, который не был обжалован указанным ОсОО;</w:t>
      </w:r>
    </w:p>
    <w:p>
      <w:pPr>
        <w:spacing w:after="120"/>
        <w:jc w:val="both"/>
      </w:pPr>
      <w:r>
        <w:rPr>
          <w:rFonts w:ascii="Arial" w:cs="Arial" w:eastAsia="Arial" w:hAnsi="Arial"/>
          <w:sz w:val="24"/>
          <w:szCs w:val="24"/>
        </w:rPr>
        <w:t xml:space="preserve">- 21 августа 2015 года Министерством энергетики и промышленности Кыргызской Республики в Аппарат Правительства внесено предложение о переносе строительства цементного завода в другое место;</w:t>
      </w:r>
    </w:p>
    <w:p>
      <w:pPr>
        <w:spacing w:after="120"/>
        <w:jc w:val="both"/>
      </w:pPr>
      <w:r>
        <w:rPr>
          <w:rFonts w:ascii="Arial" w:cs="Arial" w:eastAsia="Arial" w:hAnsi="Arial"/>
          <w:sz w:val="24"/>
          <w:szCs w:val="24"/>
        </w:rPr>
        <w:t xml:space="preserve">- Управлением архитектуры и градостроительства Кеминского района выдано разрешение за № 44-07-16 от 11 июля 2016 года ОсОО "Шанфен Зет Цемент" на ограждение цементного завода в урочище "Джел-Арык", участок "Прогон" на территории Кызыл-Октябрьского айыл окмоту Кеминского района. Установку ограждения осуществляет ОсОО "Таатан-строй", имеющее лицензию на право производства строительно-монтажных работ.</w:t>
      </w:r>
    </w:p>
    <w:p>
      <w:pPr>
        <w:spacing w:after="120"/>
        <w:jc w:val="both"/>
      </w:pPr>
      <w:r>
        <w:rPr>
          <w:rFonts w:ascii="Arial" w:cs="Arial" w:eastAsia="Arial" w:hAnsi="Arial"/>
          <w:sz w:val="24"/>
          <w:szCs w:val="24"/>
        </w:rPr>
        <w:t xml:space="preserve">Учитывая вышеизложенное,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Информацию Правительства об исполнении </w:t>
      </w:r>
      <w:hyperlink w:history="1" r:id="rId7it5xinr1zy05xor8wjk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31 марта 2016 года № 412-VI принять к сведению.</w:t>
      </w:r>
    </w:p>
    <w:p>
      <w:pPr>
        <w:spacing w:after="120"/>
        <w:jc w:val="both"/>
      </w:pPr>
      <w:r>
        <w:rPr>
          <w:rFonts w:ascii="Arial" w:cs="Arial" w:eastAsia="Arial" w:hAnsi="Arial"/>
          <w:sz w:val="24"/>
          <w:szCs w:val="24"/>
        </w:rPr>
        <w:t xml:space="preserve">2. Правительству Кыргызской Республики:</w:t>
      </w:r>
    </w:p>
    <w:p>
      <w:pPr>
        <w:spacing w:after="120"/>
        <w:jc w:val="both"/>
      </w:pPr>
      <w:r>
        <w:rPr>
          <w:rFonts w:ascii="Arial" w:cs="Arial" w:eastAsia="Arial" w:hAnsi="Arial"/>
          <w:sz w:val="24"/>
          <w:szCs w:val="24"/>
        </w:rPr>
        <w:t xml:space="preserve">1) продолжить работу по исполнению пунктов вышеуказанного постановления Жогорку Кенеша, требующих принятия дополнительных мер, в частности:</w:t>
      </w:r>
    </w:p>
    <w:p>
      <w:pPr>
        <w:spacing w:after="120"/>
        <w:jc w:val="both"/>
      </w:pPr>
      <w:r>
        <w:rPr>
          <w:rFonts w:ascii="Arial" w:cs="Arial" w:eastAsia="Arial" w:hAnsi="Arial"/>
          <w:sz w:val="24"/>
          <w:szCs w:val="24"/>
        </w:rPr>
        <w:t xml:space="preserve">- по разработке Государственной программы по привлечению и защите инвестиций, развитию предпринимательства;</w:t>
      </w:r>
    </w:p>
    <w:p>
      <w:pPr>
        <w:spacing w:after="120"/>
        <w:jc w:val="both"/>
      </w:pPr>
      <w:r>
        <w:rPr>
          <w:rFonts w:ascii="Arial" w:cs="Arial" w:eastAsia="Arial" w:hAnsi="Arial"/>
          <w:sz w:val="24"/>
          <w:szCs w:val="24"/>
        </w:rPr>
        <w:t xml:space="preserve">- по выработке совместно с Российско-Кыргызским Фондом развития механизма стимулирования привлечения инвестиций с использованием средств Фонда в виде долевого участия Фонда или других форм взаимоотношений с инвесторами и инициаторами проектов;</w:t>
      </w:r>
    </w:p>
    <w:p>
      <w:pPr>
        <w:spacing w:after="120"/>
        <w:jc w:val="both"/>
      </w:pPr>
      <w:r>
        <w:rPr>
          <w:rFonts w:ascii="Arial" w:cs="Arial" w:eastAsia="Arial" w:hAnsi="Arial"/>
          <w:sz w:val="24"/>
          <w:szCs w:val="24"/>
        </w:rPr>
        <w:t xml:space="preserve">- по реализации проектов в сфере государственно-частного партнерства;</w:t>
      </w:r>
    </w:p>
    <w:p>
      <w:pPr>
        <w:spacing w:after="120"/>
        <w:jc w:val="both"/>
      </w:pPr>
      <w:r>
        <w:rPr>
          <w:rFonts w:ascii="Arial" w:cs="Arial" w:eastAsia="Arial" w:hAnsi="Arial"/>
          <w:sz w:val="24"/>
          <w:szCs w:val="24"/>
        </w:rPr>
        <w:t xml:space="preserve">- по выработке конкретного порядка взаимодействия инвесторов с местными органами власти, механизмов покупки ими электроэнергии, выделения им земельных наделов и др.;</w:t>
      </w:r>
    </w:p>
    <w:p>
      <w:pPr>
        <w:spacing w:after="120"/>
        <w:jc w:val="both"/>
      </w:pPr>
      <w:r>
        <w:rPr>
          <w:rFonts w:ascii="Arial" w:cs="Arial" w:eastAsia="Arial" w:hAnsi="Arial"/>
          <w:sz w:val="24"/>
          <w:szCs w:val="24"/>
        </w:rPr>
        <w:t xml:space="preserve">- по определению порядка и условий предоставления инвесторам в эксплуатацию государственных, муниципальных и частных земельных участков, производственных помещений и простаивающих предприятий во всех регионах;</w:t>
      </w:r>
    </w:p>
    <w:p>
      <w:pPr>
        <w:spacing w:after="120"/>
        <w:jc w:val="both"/>
      </w:pPr>
      <w:r>
        <w:rPr>
          <w:rFonts w:ascii="Arial" w:cs="Arial" w:eastAsia="Arial" w:hAnsi="Arial"/>
          <w:sz w:val="24"/>
          <w:szCs w:val="24"/>
        </w:rPr>
        <w:t xml:space="preserve">- по реализации проекта "Безопасный город";</w:t>
      </w:r>
    </w:p>
    <w:p>
      <w:pPr>
        <w:spacing w:after="120"/>
        <w:jc w:val="both"/>
      </w:pPr>
      <w:r>
        <w:rPr>
          <w:rFonts w:ascii="Arial" w:cs="Arial" w:eastAsia="Arial" w:hAnsi="Arial"/>
          <w:sz w:val="24"/>
          <w:szCs w:val="24"/>
        </w:rPr>
        <w:t xml:space="preserve">- по исполнению в полном объеме </w:t>
      </w:r>
      <w:hyperlink w:history="1" r:id="rIde5gx18swskw_ddwryg6m2">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Конституционной палаты от 11 июля 2014 года и решения межведомственной комиссии;</w:t>
      </w:r>
    </w:p>
    <w:p>
      <w:pPr>
        <w:spacing w:after="120"/>
        <w:jc w:val="both"/>
      </w:pPr>
      <w:r>
        <w:rPr>
          <w:rFonts w:ascii="Arial" w:cs="Arial" w:eastAsia="Arial" w:hAnsi="Arial"/>
          <w:sz w:val="24"/>
          <w:szCs w:val="24"/>
        </w:rPr>
        <w:t xml:space="preserve">- по исполнению </w:t>
      </w:r>
      <w:hyperlink w:history="1" r:id="rIdx4pahyc7npxk5uvxrrgp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от 25 июня 2014 года № 4262-V "О разработке Государственной программы индустриально-инновационного развития Кыргызской Республики";</w:t>
      </w:r>
    </w:p>
    <w:p>
      <w:pPr>
        <w:spacing w:after="120"/>
        <w:jc w:val="both"/>
      </w:pPr>
      <w:r>
        <w:rPr>
          <w:rFonts w:ascii="Arial" w:cs="Arial" w:eastAsia="Arial" w:hAnsi="Arial"/>
          <w:sz w:val="24"/>
          <w:szCs w:val="24"/>
        </w:rPr>
        <w:t xml:space="preserve">- по доработке проекта Закона Кыргызской Республики "О туризме";</w:t>
      </w:r>
    </w:p>
    <w:p>
      <w:pPr>
        <w:spacing w:after="120"/>
        <w:jc w:val="both"/>
      </w:pPr>
      <w:r>
        <w:rPr>
          <w:rFonts w:ascii="Arial" w:cs="Arial" w:eastAsia="Arial" w:hAnsi="Arial"/>
          <w:sz w:val="24"/>
          <w:szCs w:val="24"/>
        </w:rPr>
        <w:t xml:space="preserve">- по разработке законопроекта о долевом строительстве;</w:t>
      </w:r>
    </w:p>
    <w:p>
      <w:pPr>
        <w:spacing w:after="120"/>
        <w:jc w:val="both"/>
      </w:pPr>
      <w:r>
        <w:rPr>
          <w:rFonts w:ascii="Arial" w:cs="Arial" w:eastAsia="Arial" w:hAnsi="Arial"/>
          <w:sz w:val="24"/>
          <w:szCs w:val="24"/>
        </w:rPr>
        <w:t xml:space="preserve">- по повышению налога на недвижимое имущество простаивающих предприятий;</w:t>
      </w:r>
    </w:p>
    <w:p>
      <w:pPr>
        <w:spacing w:after="120"/>
        <w:jc w:val="both"/>
      </w:pPr>
      <w:r>
        <w:rPr>
          <w:rFonts w:ascii="Arial" w:cs="Arial" w:eastAsia="Arial" w:hAnsi="Arial"/>
          <w:sz w:val="24"/>
          <w:szCs w:val="24"/>
        </w:rPr>
        <w:t xml:space="preserve">2) внести предложения:</w:t>
      </w:r>
    </w:p>
    <w:p>
      <w:pPr>
        <w:spacing w:after="120"/>
        <w:jc w:val="both"/>
      </w:pPr>
      <w:r>
        <w:rPr>
          <w:rFonts w:ascii="Arial" w:cs="Arial" w:eastAsia="Arial" w:hAnsi="Arial"/>
          <w:sz w:val="24"/>
          <w:szCs w:val="24"/>
        </w:rPr>
        <w:t xml:space="preserve">- в рамках проводимой судебно-правовой реформы, направленные на улучшение инвестиционного климата и защиту интересов инвесторов;</w:t>
      </w:r>
    </w:p>
    <w:p>
      <w:pPr>
        <w:spacing w:after="120"/>
        <w:jc w:val="both"/>
      </w:pPr>
      <w:r>
        <w:rPr>
          <w:rFonts w:ascii="Arial" w:cs="Arial" w:eastAsia="Arial" w:hAnsi="Arial"/>
          <w:sz w:val="24"/>
          <w:szCs w:val="24"/>
        </w:rPr>
        <w:t xml:space="preserve">- по вопросу делегирования органам местного самоуправления полномочий по трансформации земель для производственных целей;</w:t>
      </w:r>
    </w:p>
    <w:p>
      <w:pPr>
        <w:spacing w:after="120"/>
        <w:jc w:val="both"/>
      </w:pPr>
      <w:r>
        <w:rPr>
          <w:rFonts w:ascii="Arial" w:cs="Arial" w:eastAsia="Arial" w:hAnsi="Arial"/>
          <w:sz w:val="24"/>
          <w:szCs w:val="24"/>
        </w:rPr>
        <w:t xml:space="preserve">- по улучшению позиции Кыргызстана в проекте Doing Buziness в категории "доступность электроэнергии";</w:t>
      </w:r>
    </w:p>
    <w:p>
      <w:pPr>
        <w:spacing w:after="120"/>
        <w:jc w:val="both"/>
      </w:pPr>
      <w:r>
        <w:rPr>
          <w:rFonts w:ascii="Arial" w:cs="Arial" w:eastAsia="Arial" w:hAnsi="Arial"/>
          <w:sz w:val="24"/>
          <w:szCs w:val="24"/>
        </w:rPr>
        <w:t xml:space="preserve">3) внести к 1 июня 2019 года на рассмотрение Жогорку Кенеша информацию по исполнению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по экономической и фискальной политике.</w:t>
      </w:r>
    </w:p>
    <w:p>
      <w:pPr>
        <w:spacing w:after="120"/>
        <w:jc w:val="both"/>
      </w:pPr>
      <w:r>
        <w:rPr>
          <w:rFonts w:ascii="Arial" w:cs="Arial" w:eastAsia="Arial" w:hAnsi="Arial"/>
          <w:sz w:val="24"/>
          <w:szCs w:val="24"/>
        </w:rPr>
        <w:t xml:space="preserve">4. Настоящее постановление вступает в силу со дня его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hcj1vacjsukgjfjm0srm">
      <w:r>
        <w:rPr>
          <w:rFonts w:ascii="Arial" w:cs="Arial" w:eastAsia="Arial" w:hAnsi="Arial"/>
          <w:color w:val="132D3F"/>
          <w:sz w:val="16"/>
          <w:szCs w:val="16"/>
          <w:u w:val="single"/>
        </w:rPr>
        <w:t xml:space="preserve">dalil.kg/document/83954</w:t>
      </w:r>
    </w:hyperlink>
  </w:p>
  <w:p>
    <w:pPr>
      <w:spacing w:after="0" w:before="40"/>
      <w:jc w:val="center"/>
    </w:pPr>
    <w:hyperlink w:history="1" r:id="rIdcekuprpqgycqaozqwyg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lvep0zqd0av7ul8a9qi" Type="http://schemas.openxmlformats.org/officeDocument/2006/relationships/hyperlink" Target="https://dalil.kg/document/77976" TargetMode="External"/><Relationship Id="rId43yowreychlqpa8fvnpxr" Type="http://schemas.openxmlformats.org/officeDocument/2006/relationships/hyperlink" Target="https://dalil.kg/document/77976" TargetMode="External"/><Relationship Id="rIdozixge3f4s0eosfcuvsvf" Type="http://schemas.openxmlformats.org/officeDocument/2006/relationships/hyperlink" Target="https://dalil.kg/document/9631" TargetMode="External"/><Relationship Id="rIdfvswpyxpx6lbnea85rozw" Type="http://schemas.openxmlformats.org/officeDocument/2006/relationships/hyperlink" Target="https://dalil.kg/document/212580" TargetMode="External"/><Relationship Id="rIdoubs5redvikn-djxsyfdb" Type="http://schemas.openxmlformats.org/officeDocument/2006/relationships/hyperlink" Target="https://dalil.kg/document/9631" TargetMode="External"/><Relationship Id="rIdp8-jxr8lkdwaqx8knat85" Type="http://schemas.openxmlformats.org/officeDocument/2006/relationships/hyperlink" Target="https://dalil.kg/document/98625" TargetMode="External"/><Relationship Id="rId8xgq1flpkzf9_ym1c8l0c" Type="http://schemas.openxmlformats.org/officeDocument/2006/relationships/hyperlink" Target="https://dalil.kg/document/98625" TargetMode="External"/><Relationship Id="rIdg7cu7raqmsoojole9shhm" Type="http://schemas.openxmlformats.org/officeDocument/2006/relationships/hyperlink" Target="https://dalil.kg/document/111530" TargetMode="External"/><Relationship Id="rIdmpyk7cljslnj3cy0do5gz" Type="http://schemas.openxmlformats.org/officeDocument/2006/relationships/hyperlink" Target="https://dalil.kg/document/716" TargetMode="External"/><Relationship Id="rId5cat8nw00taeostheogdi" Type="http://schemas.openxmlformats.org/officeDocument/2006/relationships/hyperlink" Target="https://dalil.kg/document/6" TargetMode="External"/><Relationship Id="rId7it5xinr1zy05xor8wjkx" Type="http://schemas.openxmlformats.org/officeDocument/2006/relationships/hyperlink" Target="https://dalil.kg/document/77976" TargetMode="External"/><Relationship Id="rIde5gx18swskw_ddwryg6m2" Type="http://schemas.openxmlformats.org/officeDocument/2006/relationships/hyperlink" Target="https://dalil.kg/document/9631" TargetMode="External"/><Relationship Id="rIdx4pahyc7npxk5uvxrrgpi" Type="http://schemas.openxmlformats.org/officeDocument/2006/relationships/hyperlink" Target="https://dalil.kg/document/7736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hcj1vacjsukgjfjm0srm" Type="http://schemas.openxmlformats.org/officeDocument/2006/relationships/hyperlink" Target="https://dalil.kg/document/83954" TargetMode="External"/><Relationship Id="rIdcekuprpqgycqaozqwyg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2026-10-01T21:04:40.435Z</dcterms:created>
  <dcterms:modified xsi:type="dcterms:W3CDTF">2026-10-01T21:04:40.435Z</dcterms:modified>
</cp:coreProperties>
</file>

<file path=docProps/custom.xml><?xml version="1.0" encoding="utf-8"?>
<Properties xmlns="http://schemas.openxmlformats.org/officeDocument/2006/custom-properties" xmlns:vt="http://schemas.openxmlformats.org/officeDocument/2006/docPropsVTypes"/>
</file>