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pffziiohfsebxj2jllby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pngejhtexdfwjnxudscd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13 ноября 2001 года N 521</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порядке изготовления, передачи и хранения избирательных бюллетеней по выборам глав местного самоуправления аилов, поселков и городов районного подчинения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39</w:t>
      </w:r>
      <w:r>
        <w:rPr>
          <w:rFonts w:ascii="Arial" w:cs="Arial" w:eastAsia="Arial" w:hAnsi="Arial"/>
          <w:sz w:val="24"/>
          <w:szCs w:val="24"/>
        </w:rPr>
        <w:t xml:space="preserve"> </w:t>
      </w:r>
      <w:hyperlink w:history="1" r:id="rIdx5xswx1hmnqs7bmtjamy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для проведения выборов глав местного самоуправления избиратель получает избирательный бюллетень, который является документом строгой отчетности. Число избирательных бюллетеней по выборам глав местного самоуправления не может превышать число зарегистрированных избирателей более чем на 0,5 процентов.</w:t>
      </w:r>
    </w:p>
    <w:p>
      <w:pPr>
        <w:spacing w:after="120"/>
        <w:jc w:val="both"/>
      </w:pPr>
      <w:r>
        <w:rPr>
          <w:rFonts w:ascii="Arial" w:cs="Arial" w:eastAsia="Arial" w:hAnsi="Arial"/>
          <w:sz w:val="24"/>
          <w:szCs w:val="24"/>
        </w:rPr>
        <w:t xml:space="preserve">1. Изготовление избирательного бюллетеня</w:t>
      </w:r>
    </w:p>
    <w:p>
      <w:pPr>
        <w:spacing w:after="120"/>
        <w:jc w:val="both"/>
      </w:pPr>
      <w:r>
        <w:rPr>
          <w:rFonts w:ascii="Arial" w:cs="Arial" w:eastAsia="Arial" w:hAnsi="Arial"/>
          <w:sz w:val="24"/>
          <w:szCs w:val="24"/>
        </w:rPr>
        <w:t xml:space="preserve">1.1. Для проведения выборов главы местного самоуправления каждый избиратель получает один избирательный бюллетень установленной формы.</w:t>
      </w:r>
    </w:p>
    <w:p>
      <w:pPr>
        <w:spacing w:after="120"/>
        <w:jc w:val="both"/>
      </w:pPr>
      <w:r>
        <w:rPr>
          <w:rFonts w:ascii="Arial" w:cs="Arial" w:eastAsia="Arial" w:hAnsi="Arial"/>
          <w:sz w:val="24"/>
          <w:szCs w:val="24"/>
        </w:rPr>
        <w:t xml:space="preserve">1.2. Областная (Бишкекская городская) избирательная комиссия устанавливает форму, определяет степень защиты избирательных бюллетеней по выборам главы местного самоуправления и обеспечивает их изготовление.</w:t>
      </w:r>
    </w:p>
    <w:p>
      <w:pPr>
        <w:spacing w:after="120"/>
        <w:jc w:val="both"/>
      </w:pPr>
      <w:r>
        <w:rPr>
          <w:rFonts w:ascii="Arial" w:cs="Arial" w:eastAsia="Arial" w:hAnsi="Arial"/>
          <w:sz w:val="24"/>
          <w:szCs w:val="24"/>
        </w:rPr>
        <w:t xml:space="preserve">1.3. Окружная (районная, городская) избирательная комиссия утверждает текст избирательного бюллетеня по выборам главы местного самоуправления и определяет число избирательных бюллетеней по каждому избирательному округу.</w:t>
      </w:r>
    </w:p>
    <w:p>
      <w:pPr>
        <w:spacing w:after="120"/>
        <w:jc w:val="both"/>
      </w:pPr>
      <w:r>
        <w:rPr>
          <w:rFonts w:ascii="Arial" w:cs="Arial" w:eastAsia="Arial" w:hAnsi="Arial"/>
          <w:sz w:val="24"/>
          <w:szCs w:val="24"/>
        </w:rPr>
        <w:t xml:space="preserve">1.4. Текст избирательного бюллетеня утверждается окружной (районной, городской) избирательной комиссией не позднее, чем за 20 календарных дней до дня голосования. Текст бюллетеня должен быть размещен только на одной его стороне.</w:t>
      </w:r>
    </w:p>
    <w:p>
      <w:pPr>
        <w:spacing w:after="120"/>
        <w:jc w:val="both"/>
      </w:pPr>
      <w:r>
        <w:rPr>
          <w:rFonts w:ascii="Arial" w:cs="Arial" w:eastAsia="Arial" w:hAnsi="Arial"/>
          <w:sz w:val="24"/>
          <w:szCs w:val="24"/>
        </w:rPr>
        <w:t xml:space="preserve">1.5. Избирательный бюллетень содержит в алфавитном порядке фамилии, имена, отчества, год рождения, основное место работы или службы (род занятий), кем выдвинут каждый кандидат.</w:t>
      </w:r>
    </w:p>
    <w:p>
      <w:pPr>
        <w:spacing w:after="120"/>
        <w:jc w:val="both"/>
      </w:pPr>
      <w:r>
        <w:rPr>
          <w:rFonts w:ascii="Arial" w:cs="Arial" w:eastAsia="Arial" w:hAnsi="Arial"/>
          <w:sz w:val="24"/>
          <w:szCs w:val="24"/>
        </w:rPr>
        <w:t xml:space="preserve">1.6. Справа от указанных сведений о каждом кандидате помещается пустой квадрат. В конце перечня кандидатов помещается строка "Против всех кандидатов" с расположенным справа от нее пустым квадратом.</w:t>
      </w:r>
    </w:p>
    <w:p>
      <w:pPr>
        <w:spacing w:after="120"/>
        <w:jc w:val="both"/>
      </w:pPr>
      <w:r>
        <w:rPr>
          <w:rFonts w:ascii="Arial" w:cs="Arial" w:eastAsia="Arial" w:hAnsi="Arial"/>
          <w:sz w:val="24"/>
          <w:szCs w:val="24"/>
        </w:rPr>
        <w:t xml:space="preserve">1.7. Каждый избирательный бюллетень должен содержать разъяснение о порядке его заполнения.</w:t>
      </w:r>
    </w:p>
    <w:p>
      <w:pPr>
        <w:spacing w:after="120"/>
        <w:jc w:val="both"/>
      </w:pPr>
      <w:r>
        <w:rPr>
          <w:rFonts w:ascii="Arial" w:cs="Arial" w:eastAsia="Arial" w:hAnsi="Arial"/>
          <w:sz w:val="24"/>
          <w:szCs w:val="24"/>
        </w:rPr>
        <w:t xml:space="preserve">1.8. Избирательные бюллетени печатаются на кыргызском и русском языках не позднее 10 календарных дней до дня голосования.</w:t>
      </w:r>
    </w:p>
    <w:p>
      <w:pPr>
        <w:spacing w:after="120"/>
        <w:jc w:val="both"/>
      </w:pPr>
      <w:r>
        <w:rPr>
          <w:rFonts w:ascii="Arial" w:cs="Arial" w:eastAsia="Arial" w:hAnsi="Arial"/>
          <w:sz w:val="24"/>
          <w:szCs w:val="24"/>
        </w:rPr>
        <w:t xml:space="preserve">1.9. Избирательный бюллетень содержит название органа, в котором проходят выборы.</w:t>
      </w:r>
    </w:p>
    <w:p>
      <w:pPr>
        <w:spacing w:after="120"/>
        <w:jc w:val="both"/>
      </w:pPr>
      <w:r>
        <w:rPr>
          <w:rFonts w:ascii="Arial" w:cs="Arial" w:eastAsia="Arial" w:hAnsi="Arial"/>
          <w:sz w:val="24"/>
          <w:szCs w:val="24"/>
        </w:rPr>
        <w:t xml:space="preserve">2. Порядок передачи избирательных бюллетеней</w:t>
      </w:r>
    </w:p>
    <w:p>
      <w:pPr>
        <w:spacing w:after="120"/>
        <w:jc w:val="both"/>
      </w:pPr>
      <w:r>
        <w:rPr>
          <w:rFonts w:ascii="Arial" w:cs="Arial" w:eastAsia="Arial" w:hAnsi="Arial"/>
          <w:sz w:val="24"/>
          <w:szCs w:val="24"/>
        </w:rPr>
        <w:t xml:space="preserve">2.1. Избирательные бюллетени после выбраковки типография передает по акту председателю или секретарю окружной (районной, городской) избирательной комиссии, заказавшей изготовление бюллетеней. После передачи бюллетеней, в присутствии не менее 3 членов избирательной комиссии с приглашением доверенных лиц кандидатов,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120"/>
        <w:jc w:val="both"/>
      </w:pPr>
      <w:r>
        <w:rPr>
          <w:rFonts w:ascii="Arial" w:cs="Arial" w:eastAsia="Arial" w:hAnsi="Arial"/>
          <w:sz w:val="24"/>
          <w:szCs w:val="24"/>
        </w:rPr>
        <w:t xml:space="preserve">2.2. Ответственность за передачу, прием и сохранность избирательных бюллетеней несут председатели окружной и участковой избирательных комиссий, непосредственно осуществляющих передачу, получение и хранение избирательных бюллетеней.</w:t>
      </w:r>
    </w:p>
    <w:p>
      <w:pPr>
        <w:spacing w:after="120"/>
        <w:jc w:val="both"/>
      </w:pPr>
      <w:r>
        <w:rPr>
          <w:rFonts w:ascii="Arial" w:cs="Arial" w:eastAsia="Arial" w:hAnsi="Arial"/>
          <w:sz w:val="24"/>
          <w:szCs w:val="24"/>
        </w:rPr>
        <w:t xml:space="preserve">2.3. Передача избирательных бюллетеней из окружной (районной, городской) избирательной комиссии в участковые осуществляется за день до дня голосования. При получении бюллетеней участковая избирательная комиссия производит их пересчет.</w:t>
      </w:r>
    </w:p>
    <w:p>
      <w:pPr>
        <w:spacing w:after="120"/>
        <w:jc w:val="both"/>
      </w:pPr>
      <w:r>
        <w:rPr>
          <w:rFonts w:ascii="Arial" w:cs="Arial" w:eastAsia="Arial" w:hAnsi="Arial"/>
          <w:sz w:val="24"/>
          <w:szCs w:val="24"/>
        </w:rPr>
        <w:t xml:space="preserve">2.4.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на день передачи бюллетеней, более чем на 0,5%.</w:t>
      </w:r>
    </w:p>
    <w:p>
      <w:pPr>
        <w:spacing w:after="120"/>
        <w:jc w:val="both"/>
      </w:pPr>
      <w:r>
        <w:rPr>
          <w:rFonts w:ascii="Arial" w:cs="Arial" w:eastAsia="Arial" w:hAnsi="Arial"/>
          <w:sz w:val="24"/>
          <w:szCs w:val="24"/>
        </w:rPr>
        <w:t xml:space="preserve">2.5. В случае выбытия некоторых кандидатов на должность главы местного самоуправления или отмены регистрации после изготовления избирательных бюллетеней участковые избирательные комиссии по указанию окружной (районной, городской) избирательных комиссий вычеркивают в бюллетенях сведения о выбывшем кандидате.</w:t>
      </w:r>
    </w:p>
    <w:p>
      <w:pPr>
        <w:spacing w:after="120"/>
        <w:jc w:val="both"/>
      </w:pPr>
      <w:r>
        <w:rPr>
          <w:rFonts w:ascii="Arial" w:cs="Arial" w:eastAsia="Arial" w:hAnsi="Arial"/>
          <w:sz w:val="24"/>
          <w:szCs w:val="24"/>
        </w:rPr>
        <w:t xml:space="preserve">3. Передача избирательных бюллетеней членам участковой избирательной комиссии для выдачи их избирателям</w:t>
      </w:r>
    </w:p>
    <w:p>
      <w:pPr>
        <w:spacing w:after="120"/>
        <w:jc w:val="both"/>
      </w:pPr>
      <w:r>
        <w:rPr>
          <w:rFonts w:ascii="Arial" w:cs="Arial" w:eastAsia="Arial" w:hAnsi="Arial"/>
          <w:sz w:val="24"/>
          <w:szCs w:val="24"/>
        </w:rPr>
        <w:t xml:space="preserve">3.1. В день выборов председатель и секретарь участковой избирательной комиссии выдают избирательные бюллетени по ведомости членам участковой избирательной комиссии, которые несут ответственность за выдачу их избирателям.</w:t>
      </w:r>
    </w:p>
    <w:p>
      <w:pPr>
        <w:spacing w:after="120"/>
        <w:jc w:val="both"/>
      </w:pPr>
      <w:r>
        <w:rPr>
          <w:rFonts w:ascii="Arial" w:cs="Arial" w:eastAsia="Arial" w:hAnsi="Arial"/>
          <w:sz w:val="24"/>
          <w:szCs w:val="24"/>
        </w:rPr>
        <w:t xml:space="preserve">3.2. Избирательные бюллетени выдаются избирателям членами участковой избирательной комиссии на основании списка избирателей соответствующего участка по предъявлении паспорта или заменяющего его документа, удостоверяющего личность гражданина.</w:t>
      </w:r>
    </w:p>
    <w:p>
      <w:pPr>
        <w:spacing w:after="120"/>
        <w:jc w:val="both"/>
      </w:pPr>
      <w:r>
        <w:rPr>
          <w:rFonts w:ascii="Arial" w:cs="Arial" w:eastAsia="Arial" w:hAnsi="Arial"/>
          <w:sz w:val="24"/>
          <w:szCs w:val="24"/>
        </w:rPr>
        <w:t xml:space="preserve">3.3. Избирателю, не имеющему паспорта или документа, удостоверяющего его личность, избирательный бюллетень выдается на избирательных участках с численностью не более 500 избирателей при наличии его фамилии в списке избирателей и подтверждении факта проживания избирателя на территории соответствующего избирательного участка.</w:t>
      </w:r>
    </w:p>
    <w:p>
      <w:pPr>
        <w:spacing w:after="120"/>
        <w:jc w:val="both"/>
      </w:pPr>
      <w:r>
        <w:rPr>
          <w:rFonts w:ascii="Arial" w:cs="Arial" w:eastAsia="Arial" w:hAnsi="Arial"/>
          <w:sz w:val="24"/>
          <w:szCs w:val="24"/>
        </w:rPr>
        <w:t xml:space="preserve">3.4. Избирателю, совершившему ошибку при заполнении избирательного бюллетеня, член участковой избирательной комиссии выдает новый избирательный бюллетень взамен испорченного. При этом испорченный избирательный бюллетень незамедлительно погашается, о чем составляется акт.</w:t>
      </w:r>
    </w:p>
    <w:p>
      <w:pPr>
        <w:spacing w:after="120"/>
        <w:jc w:val="both"/>
      </w:pPr>
      <w:r>
        <w:rPr>
          <w:rFonts w:ascii="Arial" w:cs="Arial" w:eastAsia="Arial" w:hAnsi="Arial"/>
          <w:sz w:val="24"/>
          <w:szCs w:val="24"/>
        </w:rPr>
        <w:t xml:space="preserve">4. Хранение и доставка избирательных бюллетеней</w:t>
      </w:r>
    </w:p>
    <w:p>
      <w:pPr>
        <w:spacing w:after="120"/>
        <w:jc w:val="both"/>
      </w:pPr>
      <w:r>
        <w:rPr>
          <w:rFonts w:ascii="Arial" w:cs="Arial" w:eastAsia="Arial" w:hAnsi="Arial"/>
          <w:sz w:val="24"/>
          <w:szCs w:val="24"/>
        </w:rPr>
        <w:t xml:space="preserve">4.1. Ответственность за сохранность избирательных бюллетеней возлагается на председателя и секретаря окружной и участковых избирательных комиссий.</w:t>
      </w:r>
    </w:p>
    <w:p>
      <w:pPr>
        <w:spacing w:after="120"/>
        <w:jc w:val="both"/>
      </w:pPr>
      <w:r>
        <w:rPr>
          <w:rFonts w:ascii="Arial" w:cs="Arial" w:eastAsia="Arial" w:hAnsi="Arial"/>
          <w:sz w:val="24"/>
          <w:szCs w:val="24"/>
        </w:rPr>
        <w:t xml:space="preserve">4.2. Доставка избирательных бюллетеней из типографии в помещение окружной (районной, городской) избирательной комиссии и затем из окружной (районной, городской) избирательной комиссии в участковые избирательные комиссии производится в сопровождении вооруженной охраны, выделенной органами внутренних дел.</w:t>
      </w:r>
    </w:p>
    <w:p>
      <w:pPr>
        <w:spacing w:after="120"/>
        <w:jc w:val="both"/>
      </w:pPr>
      <w:r>
        <w:rPr>
          <w:rFonts w:ascii="Arial" w:cs="Arial" w:eastAsia="Arial" w:hAnsi="Arial"/>
          <w:sz w:val="24"/>
          <w:szCs w:val="24"/>
        </w:rPr>
        <w:t xml:space="preserve">4.3. Окружные (районные, городские) и участковые избирательные комиссии хранят избирательные бюллетени в несгораемых ящиках (сейфах), которые опечатываются и пломбируются в присутствии не менее половины членов избирательной комиссии.</w:t>
      </w:r>
    </w:p>
    <w:p>
      <w:pPr>
        <w:spacing w:after="120"/>
        <w:jc w:val="both"/>
      </w:pPr>
      <w:r>
        <w:rPr>
          <w:rFonts w:ascii="Arial" w:cs="Arial" w:eastAsia="Arial" w:hAnsi="Arial"/>
          <w:sz w:val="24"/>
          <w:szCs w:val="24"/>
        </w:rPr>
        <w:t xml:space="preserve">4.4. Избирательные бюллетени по окончании подсчета голосов избирателей и подведения итогов голосования передаются участковыми (упаковка в пакеты-конверты, подписи, печать) избирательными комиссиями окружным (районным, городским) избирательным комиссиям вместе с протоколом об итогах голосования. Окружные (районные, городские) избирательные комиссии после подведения результатов выборов передают избирательные бюллетени для голосования вместе с другими избирательными документами в местные архивы, где они уничтожаются в сроки и установленном порядке согласно инструкции Центризбиркома Кыргызской Республики "О порядке хранения, передачи в архив и уничтожения избирательных документов".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ou7ay3vyrkkfhsx2_qbk">
      <w:r>
        <w:rPr>
          <w:rFonts w:ascii="Arial" w:cs="Arial" w:eastAsia="Arial" w:hAnsi="Arial"/>
          <w:color w:val="132D3F"/>
          <w:sz w:val="16"/>
          <w:szCs w:val="16"/>
          <w:u w:val="single"/>
        </w:rPr>
        <w:t xml:space="preserve">dalil.kg/document/86126</w:t>
      </w:r>
    </w:hyperlink>
  </w:p>
  <w:p>
    <w:pPr>
      <w:spacing w:after="0" w:before="40"/>
      <w:jc w:val="center"/>
    </w:pPr>
    <w:hyperlink w:history="1" r:id="rIdfl9mfbwkwhm4-lwwsqlc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fziiohfsebxj2jllby7" Type="http://schemas.openxmlformats.org/officeDocument/2006/relationships/hyperlink" Target="https://dalil.kg/document/86124" TargetMode="External"/><Relationship Id="rIdpngejhtexdfwjnxudscd2" Type="http://schemas.openxmlformats.org/officeDocument/2006/relationships/hyperlink" Target="https://dalil.kg/document/86125" TargetMode="External"/><Relationship Id="rIdx5xswx1hmnqs7bmtjamyb"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ou7ay3vyrkkfhsx2_qbk" Type="http://schemas.openxmlformats.org/officeDocument/2006/relationships/hyperlink" Target="https://dalil.kg/document/86126" TargetMode="External"/><Relationship Id="rIdfl9mfbwkwhm4-lwwsqlc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2026-09-27T17:32:42.530Z</dcterms:created>
  <dcterms:modified xsi:type="dcterms:W3CDTF">2026-09-27T17:32:42.530Z</dcterms:modified>
</cp:coreProperties>
</file>

<file path=docProps/custom.xml><?xml version="1.0" encoding="utf-8"?>
<Properties xmlns="http://schemas.openxmlformats.org/officeDocument/2006/custom-properties" xmlns:vt="http://schemas.openxmlformats.org/officeDocument/2006/docPropsVTypes"/>
</file>