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ЦЕНТРАЛЬНАЯ КОМИССИЯ ПО ВЫБОРАМ И ПРОВЕДЕНИЮ РЕФЕРЕНДУМОВ</w:t>
      </w:r>
    </w:p>
    <w:p>
      <w:pPr>
        <w:spacing w:after="120" w:before="200"/>
        <w:ind w:firstLine="397"/>
        <w:jc w:val="center"/>
      </w:pPr>
      <w:r>
        <w:rPr>
          <w:rFonts w:ascii="Arial" w:cs="Arial" w:eastAsia="Arial" w:hAnsi="Arial"/>
          <w:b/>
          <w:bCs/>
          <w:sz w:val="32"/>
          <w:szCs w:val="32"/>
        </w:rPr>
        <w:t xml:space="preserve">КЫРГЫЗСКОЙ РЕСПУБЛИКИ</w:t>
      </w:r>
    </w:p>
    <w:p>
      <w:pPr>
        <w:spacing w:after="12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12 марта 2020 года №72</w:t>
      </w:r>
    </w:p>
    <w:p>
      <w:pPr>
        <w:spacing w:after="240" w:before="200"/>
        <w:jc w:val="center"/>
      </w:pPr>
      <w:r>
        <w:rPr>
          <w:rFonts w:ascii="Arial" w:cs="Arial" w:eastAsia="Arial" w:hAnsi="Arial"/>
          <w:b/>
          <w:bCs/>
          <w:sz w:val="28"/>
          <w:szCs w:val="28"/>
        </w:rPr>
        <w:t xml:space="preserve">О внесении изменений в Положение «О порядке проведения предвыборной агитации при проведении выборов депутатов местных кенешей», утвержденное постановлением Центральной комиссии по выборам и проведению референдумов Кыргызской Республики от 20 октября 2016 года № 161</w:t>
      </w:r>
    </w:p>
    <w:p>
      <w:pPr>
        <w:spacing w:after="60"/>
        <w:ind w:firstLine="567"/>
        <w:jc w:val="both"/>
      </w:pPr>
      <w:r>
        <w:rPr>
          <w:rFonts w:ascii="Arial" w:cs="Arial" w:eastAsia="Arial" w:hAnsi="Arial"/>
          <w:sz w:val="24"/>
          <w:szCs w:val="24"/>
        </w:rPr>
        <w:t xml:space="preserve">Руководствуясь статьями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hyperlink w:history="1" r:id="rId-t2vwg7uehkioo9cr6oy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статьями </w:t>
      </w: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28</w:t>
      </w:r>
      <w:hyperlink w:history="1" r:id="rIdla_1wpemepy1vayfwkbm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в целях приведения нормативных правовых актов Центральной комиссии по выборам и проведению референдумов Кыргызской Республики в соответствие с вступившим в силу </w:t>
      </w:r>
      <w:hyperlink w:history="1" r:id="rIdcooazgjyu6uw67eaqgjx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w:t>
      </w:r>
      <w:hyperlink w:history="1" r:id="rIdgpxcez1qp5ijrbtdyyrn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от 8 августа 2019 года № 117, Центральная комиссия по выборам и проведению референдумов Кыргызской Республики</w:t>
      </w:r>
    </w:p>
    <w:p>
      <w:pPr>
        <w:spacing w:after="60"/>
        <w:jc w:val="center"/>
      </w:pPr>
      <w:r>
        <w:rPr>
          <w:rFonts w:ascii="Arial" w:cs="Arial" w:eastAsia="Arial" w:hAnsi="Arial"/>
          <w:b/>
          <w:bCs/>
          <w:sz w:val="24"/>
          <w:szCs w:val="24"/>
        </w:rPr>
        <w:t xml:space="preserve">ПОСТАНОВЛЯЕТ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Внести в </w:t>
      </w:r>
      <w:hyperlink w:history="1" r:id="rIdv95wfig-ci1scvbpnhs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предвыборной агитации при проведении выборов депутатов местных кенешей", утвержденное </w:t>
      </w:r>
      <w:hyperlink w:history="1" r:id="rIdbsvdec97jlepxx0glo8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20 октября 2016 года № 161, следующие изменения:</w:t>
      </w:r>
    </w:p>
    <w:p>
      <w:pPr>
        <w:spacing w:after="60"/>
        <w:ind w:firstLine="567"/>
        <w:jc w:val="both"/>
      </w:pPr>
      <w:r>
        <w:rPr>
          <w:rFonts w:ascii="Arial" w:cs="Arial" w:eastAsia="Arial" w:hAnsi="Arial"/>
          <w:sz w:val="24"/>
          <w:szCs w:val="24"/>
        </w:rPr>
        <w:t xml:space="preserve">1) в пункте 1.2. слова "избирательной системе и" исключить;</w:t>
      </w:r>
    </w:p>
    <w:p>
      <w:pPr>
        <w:spacing w:after="60"/>
        <w:ind w:firstLine="567"/>
        <w:jc w:val="both"/>
      </w:pPr>
      <w:r>
        <w:rPr>
          <w:rFonts w:ascii="Arial" w:cs="Arial" w:eastAsia="Arial" w:hAnsi="Arial"/>
          <w:sz w:val="24"/>
          <w:szCs w:val="24"/>
        </w:rPr>
        <w:t xml:space="preserve">2) пункт 1.4. изложить в следующей редакции:</w:t>
      </w:r>
    </w:p>
    <w:p>
      <w:pPr>
        <w:spacing w:after="60"/>
        <w:ind w:firstLine="567"/>
        <w:jc w:val="both"/>
      </w:pPr>
      <w:r>
        <w:rPr>
          <w:rFonts w:ascii="Arial" w:cs="Arial" w:eastAsia="Arial" w:hAnsi="Arial"/>
          <w:sz w:val="24"/>
          <w:szCs w:val="24"/>
        </w:rPr>
        <w:t xml:space="preserve">"1.4. В настоящем </w:t>
      </w:r>
      <w:hyperlink w:history="1" r:id="rIdawcbsc5hpkwvgvugr5hv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используются следующие термины:</w:t>
      </w:r>
    </w:p>
    <w:p>
      <w:pPr>
        <w:spacing w:after="60"/>
        <w:ind w:firstLine="567"/>
        <w:jc w:val="both"/>
      </w:pPr>
      <w:r>
        <w:rPr>
          <w:rFonts w:ascii="Arial" w:cs="Arial" w:eastAsia="Arial" w:hAnsi="Arial"/>
          <w:sz w:val="24"/>
          <w:szCs w:val="24"/>
        </w:rPr>
        <w:t xml:space="preserve">агитационные материалы - печатные, аудиовизуальные и иные материалы, содержащие признаки предвыборной агитации и предназначенные для массового распространения, обнародования в ходе избирательной кампании;</w:t>
      </w:r>
    </w:p>
    <w:p>
      <w:pPr>
        <w:spacing w:after="60"/>
        <w:ind w:firstLine="567"/>
        <w:jc w:val="both"/>
      </w:pPr>
      <w:r>
        <w:rPr>
          <w:rFonts w:ascii="Arial" w:cs="Arial" w:eastAsia="Arial" w:hAnsi="Arial"/>
          <w:sz w:val="24"/>
          <w:szCs w:val="24"/>
        </w:rPr>
        <w:t xml:space="preserve">билборд - термин используется для размещения наружной рекламы, устанавливаемой вдоль трасс, улиц. Щит представляет собой раму, закрепленную на опоре;</w:t>
      </w:r>
    </w:p>
    <w:p>
      <w:pPr>
        <w:spacing w:after="60"/>
        <w:ind w:firstLine="567"/>
        <w:jc w:val="both"/>
      </w:pPr>
      <w:r>
        <w:rPr>
          <w:rFonts w:ascii="Arial" w:cs="Arial" w:eastAsia="Arial" w:hAnsi="Arial"/>
          <w:sz w:val="24"/>
          <w:szCs w:val="24"/>
        </w:rPr>
        <w:t xml:space="preserve">брошюра - текстовое книжное издание объемом свыше 4, но не более 48 страниц, без твердого переплета, в обложке, в которой содержится полная информация о кандидате, политической партии выдвинувшей кандидатов или список кандидатов;</w:t>
      </w:r>
    </w:p>
    <w:p>
      <w:pPr>
        <w:spacing w:after="60"/>
        <w:ind w:firstLine="567"/>
        <w:jc w:val="both"/>
      </w:pPr>
      <w:r>
        <w:rPr>
          <w:rFonts w:ascii="Arial" w:cs="Arial" w:eastAsia="Arial" w:hAnsi="Arial"/>
          <w:sz w:val="24"/>
          <w:szCs w:val="24"/>
        </w:rPr>
        <w:t xml:space="preserve">буклет - категория печатной продукции, которая не определяется конкретным видом, но имеет общую характеристику, многополосность (печатная полоса - страница с размещенной на ней информацией, с 1 сгибом является 4 полосным изданием);</w:t>
      </w:r>
    </w:p>
    <w:p>
      <w:pPr>
        <w:spacing w:after="60"/>
        <w:ind w:firstLine="567"/>
        <w:jc w:val="both"/>
      </w:pPr>
      <w:r>
        <w:rPr>
          <w:rFonts w:ascii="Arial" w:cs="Arial" w:eastAsia="Arial" w:hAnsi="Arial"/>
          <w:sz w:val="24"/>
          <w:szCs w:val="24"/>
        </w:rPr>
        <w:t xml:space="preserve">дискуссия - публичное обсуждение каких-либо вопросов на собрании, в печати, в беседе с оппонентом;</w:t>
      </w:r>
    </w:p>
    <w:p>
      <w:pPr>
        <w:spacing w:after="60"/>
        <w:ind w:firstLine="567"/>
        <w:jc w:val="both"/>
      </w:pPr>
      <w:r>
        <w:rPr>
          <w:rFonts w:ascii="Arial" w:cs="Arial" w:eastAsia="Arial" w:hAnsi="Arial"/>
          <w:sz w:val="24"/>
          <w:szCs w:val="24"/>
        </w:rPr>
        <w:t xml:space="preserve">избиратель - член местного сообщества, обладающий активным избирательным правом и включенный в списки избирателей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избиратели с ограниченными возможностями здоровья - граждане Кыргызской Республики, обладающие активным избирательным правом на общих условиях, имеющие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 выраженному в нарушении слуха, зрения, функций опорно-двигательного аппарата;</w:t>
      </w:r>
    </w:p>
    <w:p>
      <w:pPr>
        <w:spacing w:after="60"/>
        <w:ind w:firstLine="567"/>
        <w:jc w:val="both"/>
      </w:pPr>
      <w:r>
        <w:rPr>
          <w:rFonts w:ascii="Arial" w:cs="Arial" w:eastAsia="Arial" w:hAnsi="Arial"/>
          <w:sz w:val="24"/>
          <w:szCs w:val="24"/>
        </w:rPr>
        <w:t xml:space="preserve">информационное обеспечение выборов - информирование избирателей и предвыборная агитация, способствующие осознанному волеизъявлению граждан, гласности выборов;</w:t>
      </w:r>
    </w:p>
    <w:p>
      <w:pPr>
        <w:spacing w:after="60"/>
        <w:ind w:firstLine="567"/>
        <w:jc w:val="both"/>
      </w:pPr>
      <w:r>
        <w:rPr>
          <w:rFonts w:ascii="Arial" w:cs="Arial" w:eastAsia="Arial" w:hAnsi="Arial"/>
          <w:sz w:val="24"/>
          <w:szCs w:val="24"/>
        </w:rPr>
        <w:t xml:space="preserve">интернет - глобальная (всемирная) компьютерная сеть (система объединенных компьютерных сетей) для хранения и передачи информации;</w:t>
      </w:r>
    </w:p>
    <w:p>
      <w:pPr>
        <w:spacing w:after="60"/>
        <w:ind w:firstLine="567"/>
        <w:jc w:val="both"/>
      </w:pPr>
      <w:r>
        <w:rPr>
          <w:rFonts w:ascii="Arial" w:cs="Arial" w:eastAsia="Arial" w:hAnsi="Arial"/>
          <w:sz w:val="24"/>
          <w:szCs w:val="24"/>
        </w:rPr>
        <w:t xml:space="preserve">интернет-издания - интернет-сайт (портал, форум), кроме интернет-блогов и персональных страниц физических лиц в социальных сетях, содержащий материалы новостного, информационно-аналитического, развлекательного и иного характера, администрируемый (модерируемый) в Кыргызской Республике или владельцами которых являются граждане и (или) юридические лица Кыргызской Республики, позволяющий свободный доступ к нему в сети интернет посетителей, если число посещений интернет-издания превышает 500 уникальных посетителей в сутки или 1000 уникальных посетителей в месяц;</w:t>
      </w:r>
    </w:p>
    <w:p>
      <w:pPr>
        <w:spacing w:after="60"/>
        <w:ind w:firstLine="567"/>
        <w:jc w:val="both"/>
      </w:pPr>
      <w:r>
        <w:rPr>
          <w:rFonts w:ascii="Arial" w:cs="Arial" w:eastAsia="Arial" w:hAnsi="Arial"/>
          <w:sz w:val="24"/>
          <w:szCs w:val="24"/>
        </w:rPr>
        <w:t xml:space="preserve">кандидат - лицо, выдвинутое в установленном законом порядке в качестве претендента на замещаемую посредством выборов должность депутата местного кенеша;</w:t>
      </w:r>
    </w:p>
    <w:p>
      <w:pPr>
        <w:spacing w:after="60"/>
        <w:ind w:firstLine="567"/>
        <w:jc w:val="both"/>
      </w:pPr>
      <w:r>
        <w:rPr>
          <w:rFonts w:ascii="Arial" w:cs="Arial" w:eastAsia="Arial" w:hAnsi="Arial"/>
          <w:sz w:val="24"/>
          <w:szCs w:val="24"/>
        </w:rPr>
        <w:t xml:space="preserve">зарегистрированный кандидат - лицо, соответствующее требованиям, установленным </w:t>
      </w:r>
      <w:hyperlink w:history="1" r:id="rIddu53pryyppywcp9s5puc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законом, зарегистрированное соответствующей избирательной комиссией в качестве кандидата на замещаемую посредством выборов должность депутата местного кенеша;</w:t>
      </w:r>
    </w:p>
    <w:p>
      <w:pPr>
        <w:spacing w:after="60"/>
        <w:ind w:firstLine="567"/>
        <w:jc w:val="both"/>
      </w:pPr>
      <w:r>
        <w:rPr>
          <w:rFonts w:ascii="Arial" w:cs="Arial" w:eastAsia="Arial" w:hAnsi="Arial"/>
          <w:sz w:val="24"/>
          <w:szCs w:val="24"/>
        </w:rPr>
        <w:t xml:space="preserve">листовка - вид агитационно-политической или информационной литературы;</w:t>
      </w:r>
    </w:p>
    <w:p>
      <w:pPr>
        <w:spacing w:after="60"/>
        <w:ind w:firstLine="567"/>
        <w:jc w:val="both"/>
      </w:pPr>
      <w:r>
        <w:rPr>
          <w:rFonts w:ascii="Arial" w:cs="Arial" w:eastAsia="Arial" w:hAnsi="Arial"/>
          <w:sz w:val="24"/>
          <w:szCs w:val="24"/>
        </w:rPr>
        <w:t xml:space="preserve">плакат - крупноформатное изображение, сопровожденное кратким текстом, сделанное в агитационных, рекламных, информационных или учебных целях;</w:t>
      </w:r>
    </w:p>
    <w:p>
      <w:pPr>
        <w:spacing w:after="60"/>
        <w:ind w:firstLine="567"/>
        <w:jc w:val="both"/>
      </w:pPr>
      <w:r>
        <w:rPr>
          <w:rFonts w:ascii="Arial" w:cs="Arial" w:eastAsia="Arial" w:hAnsi="Arial"/>
          <w:sz w:val="24"/>
          <w:szCs w:val="24"/>
        </w:rPr>
        <w:t xml:space="preserve">предвыборная агитация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список кандидатов либо против них;</w:t>
      </w:r>
    </w:p>
    <w:p>
      <w:pPr>
        <w:spacing w:after="60"/>
        <w:ind w:firstLine="567"/>
        <w:jc w:val="both"/>
      </w:pPr>
      <w:r>
        <w:rPr>
          <w:rFonts w:ascii="Arial" w:cs="Arial" w:eastAsia="Arial" w:hAnsi="Arial"/>
          <w:sz w:val="24"/>
          <w:szCs w:val="24"/>
        </w:rPr>
        <w:t xml:space="preserve">предвыборный штаб - временный коллектив людей, объединенных задачей добиться наилучшего результата кандидата, политической партии, а также место основного размещения этого коллектива;</w:t>
      </w:r>
    </w:p>
    <w:p>
      <w:pPr>
        <w:spacing w:after="60"/>
        <w:ind w:firstLine="567"/>
        <w:jc w:val="both"/>
      </w:pPr>
      <w:r>
        <w:rPr>
          <w:rFonts w:ascii="Arial" w:cs="Arial" w:eastAsia="Arial" w:hAnsi="Arial"/>
          <w:sz w:val="24"/>
          <w:szCs w:val="24"/>
        </w:rPr>
        <w:t xml:space="preserve">дебаты - публичный обмен мнениями двух и более кандидатов, кандидатов из списка кандидатов политических партий по различным общественно значимым вопросам, в том числе, касающихся опубликованных предвыборных программ;</w:t>
      </w:r>
    </w:p>
    <w:p>
      <w:pPr>
        <w:spacing w:after="60"/>
        <w:ind w:firstLine="567"/>
        <w:jc w:val="both"/>
      </w:pPr>
      <w:r>
        <w:rPr>
          <w:rFonts w:ascii="Arial" w:cs="Arial" w:eastAsia="Arial" w:hAnsi="Arial"/>
          <w:sz w:val="24"/>
          <w:szCs w:val="24"/>
        </w:rPr>
        <w:t xml:space="preserve">религиозный деятель - лицо, осуществляющее религиозную деятельность в соответствии с законодательством о свободе вероисповедания и религиозных организациях в Кыргызской Республике;</w:t>
      </w:r>
    </w:p>
    <w:p>
      <w:pPr>
        <w:spacing w:after="60"/>
        <w:ind w:firstLine="567"/>
        <w:jc w:val="both"/>
      </w:pPr>
      <w:r>
        <w:rPr>
          <w:rFonts w:ascii="Arial" w:cs="Arial" w:eastAsia="Arial" w:hAnsi="Arial"/>
          <w:sz w:val="24"/>
          <w:szCs w:val="24"/>
        </w:rPr>
        <w:t xml:space="preserve">священнослужитель - лицо, уполномоченное соответствующей религиозной организацией (объединением) на духовническое, имамское, пастырское, проповедническое служение;</w:t>
      </w:r>
    </w:p>
    <w:p>
      <w:pPr>
        <w:spacing w:after="60"/>
        <w:ind w:firstLine="567"/>
        <w:jc w:val="both"/>
      </w:pPr>
      <w:r>
        <w:rPr>
          <w:rFonts w:ascii="Arial" w:cs="Arial" w:eastAsia="Arial" w:hAnsi="Arial"/>
          <w:sz w:val="24"/>
          <w:szCs w:val="24"/>
        </w:rPr>
        <w:t xml:space="preserve">юбилейные мероприятия - мероприятия, связанные с празднованием особо значимых исторических событий в жизни народа и государства, дней рождений (в юбилейном году) лиц, имеющих особые заслуги перед народом, государством, человечеством. К юбилейным мероприятиям относятся: торжественные собрания, конференции, праздничные шествия, демонстрации, концерты, конкурсы, состязания и другие мероприятия, связанные с празднованием юбилея.";</w:t>
      </w:r>
    </w:p>
    <w:p>
      <w:pPr>
        <w:spacing w:after="60"/>
        <w:ind w:firstLine="567"/>
        <w:jc w:val="both"/>
      </w:pPr>
      <w:r>
        <w:rPr>
          <w:rFonts w:ascii="Arial" w:cs="Arial" w:eastAsia="Arial" w:hAnsi="Arial"/>
          <w:sz w:val="24"/>
          <w:szCs w:val="24"/>
        </w:rPr>
        <w:t xml:space="preserve">3) в пункте 2.5.:</w:t>
      </w:r>
    </w:p>
    <w:p>
      <w:pPr>
        <w:spacing w:after="60"/>
        <w:ind w:firstLine="567"/>
        <w:jc w:val="both"/>
      </w:pPr>
      <w:r>
        <w:rPr>
          <w:rFonts w:ascii="Arial" w:cs="Arial" w:eastAsia="Arial" w:hAnsi="Arial"/>
          <w:sz w:val="24"/>
          <w:szCs w:val="24"/>
        </w:rPr>
        <w:t xml:space="preserve">- в абзаце четвертом слова "публичные" исключить,</w:t>
      </w:r>
    </w:p>
    <w:p>
      <w:pPr>
        <w:spacing w:after="60"/>
        <w:ind w:firstLine="567"/>
        <w:jc w:val="both"/>
      </w:pPr>
      <w:r>
        <w:rPr>
          <w:rFonts w:ascii="Arial" w:cs="Arial" w:eastAsia="Arial" w:hAnsi="Arial"/>
          <w:sz w:val="24"/>
          <w:szCs w:val="24"/>
        </w:rPr>
        <w:t xml:space="preserve">- абзацы шестой, двадцатый, двадцать первый, двадцать второй, двадцать третий, двадцать четвертый признать утратившими силу;</w:t>
      </w:r>
    </w:p>
    <w:p>
      <w:pPr>
        <w:spacing w:after="60"/>
        <w:ind w:firstLine="567"/>
        <w:jc w:val="both"/>
      </w:pPr>
      <w:r>
        <w:rPr>
          <w:rFonts w:ascii="Arial" w:cs="Arial" w:eastAsia="Arial" w:hAnsi="Arial"/>
          <w:sz w:val="24"/>
          <w:szCs w:val="24"/>
        </w:rPr>
        <w:t xml:space="preserve">- абзац двадцать пять пункта 2.5. изложить в следующей редакции:</w:t>
      </w:r>
    </w:p>
    <w:p>
      <w:pPr>
        <w:spacing w:after="60"/>
        <w:ind w:firstLine="567"/>
        <w:jc w:val="both"/>
      </w:pPr>
      <w:r>
        <w:rPr>
          <w:rFonts w:ascii="Arial" w:cs="Arial" w:eastAsia="Arial" w:hAnsi="Arial"/>
          <w:sz w:val="24"/>
          <w:szCs w:val="24"/>
        </w:rPr>
        <w:t xml:space="preserve">"В качестве отдельной формы можно выделить проведение агитации посредством сети "Интернет", интернет изданий. При этом, должны соблюдаться общие правила агитации, установленные законодательством.";</w:t>
      </w:r>
    </w:p>
    <w:p>
      <w:pPr>
        <w:spacing w:after="60"/>
        <w:ind w:firstLine="567"/>
        <w:jc w:val="both"/>
      </w:pPr>
      <w:r>
        <w:rPr>
          <w:rFonts w:ascii="Arial" w:cs="Arial" w:eastAsia="Arial" w:hAnsi="Arial"/>
          <w:sz w:val="24"/>
          <w:szCs w:val="24"/>
        </w:rPr>
        <w:t xml:space="preserve">4) пункт 2.6. изложить в следующей редакции:</w:t>
      </w:r>
    </w:p>
    <w:p>
      <w:pPr>
        <w:spacing w:after="60"/>
        <w:ind w:firstLine="567"/>
        <w:jc w:val="both"/>
      </w:pPr>
      <w:r>
        <w:rPr>
          <w:rFonts w:ascii="Arial" w:cs="Arial" w:eastAsia="Arial" w:hAnsi="Arial"/>
          <w:sz w:val="24"/>
          <w:szCs w:val="24"/>
        </w:rPr>
        <w:t xml:space="preserve">"2.6.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 государственные гражданские и муниципальные служащие;</w:t>
      </w:r>
    </w:p>
    <w:p>
      <w:pPr>
        <w:spacing w:after="60"/>
        <w:ind w:firstLine="567"/>
        <w:jc w:val="both"/>
      </w:pPr>
      <w:r>
        <w:rPr>
          <w:rFonts w:ascii="Arial" w:cs="Arial" w:eastAsia="Arial" w:hAnsi="Arial"/>
          <w:sz w:val="24"/>
          <w:szCs w:val="24"/>
        </w:rPr>
        <w:t xml:space="preserve">- лица, замещающие государственные политические должности, за исключением депутатов Жогорку Кенеша;</w:t>
      </w:r>
    </w:p>
    <w:p>
      <w:pPr>
        <w:spacing w:after="60"/>
        <w:ind w:firstLine="567"/>
        <w:jc w:val="both"/>
      </w:pPr>
      <w:r>
        <w:rPr>
          <w:rFonts w:ascii="Arial" w:cs="Arial" w:eastAsia="Arial" w:hAnsi="Arial"/>
          <w:sz w:val="24"/>
          <w:szCs w:val="24"/>
        </w:rPr>
        <w:t xml:space="preserve">- лица, замещающие специальные государственные и политические муниципальные должности, за исключением депутатов местных кенешей;</w:t>
      </w:r>
    </w:p>
    <w:p>
      <w:pPr>
        <w:spacing w:after="60"/>
        <w:ind w:firstLine="567"/>
        <w:jc w:val="both"/>
      </w:pPr>
      <w:r>
        <w:rPr>
          <w:rFonts w:ascii="Arial" w:cs="Arial" w:eastAsia="Arial" w:hAnsi="Arial"/>
          <w:sz w:val="24"/>
          <w:szCs w:val="24"/>
        </w:rPr>
        <w:t xml:space="preserve">- члены избирательных комиссий;</w:t>
      </w:r>
    </w:p>
    <w:p>
      <w:pPr>
        <w:spacing w:after="60"/>
        <w:ind w:firstLine="567"/>
        <w:jc w:val="both"/>
      </w:pPr>
      <w:r>
        <w:rPr>
          <w:rFonts w:ascii="Arial" w:cs="Arial" w:eastAsia="Arial" w:hAnsi="Arial"/>
          <w:sz w:val="24"/>
          <w:szCs w:val="24"/>
        </w:rPr>
        <w:t xml:space="preserve">- наблюдатели;</w:t>
      </w:r>
    </w:p>
    <w:p>
      <w:pPr>
        <w:spacing w:after="60"/>
        <w:ind w:firstLine="567"/>
        <w:jc w:val="both"/>
      </w:pPr>
      <w:r>
        <w:rPr>
          <w:rFonts w:ascii="Arial" w:cs="Arial" w:eastAsia="Arial" w:hAnsi="Arial"/>
          <w:sz w:val="24"/>
          <w:szCs w:val="24"/>
        </w:rPr>
        <w:t xml:space="preserve">- международные наблюдатели;</w:t>
      </w:r>
    </w:p>
    <w:p>
      <w:pPr>
        <w:spacing w:after="60"/>
        <w:ind w:firstLine="567"/>
        <w:jc w:val="both"/>
      </w:pPr>
      <w:r>
        <w:rPr>
          <w:rFonts w:ascii="Arial" w:cs="Arial" w:eastAsia="Arial" w:hAnsi="Arial"/>
          <w:sz w:val="24"/>
          <w:szCs w:val="24"/>
        </w:rPr>
        <w:t xml:space="preserve">- религиозные деятели;</w:t>
      </w:r>
    </w:p>
    <w:p>
      <w:pPr>
        <w:spacing w:after="60"/>
        <w:ind w:firstLine="567"/>
        <w:jc w:val="both"/>
      </w:pPr>
      <w:r>
        <w:rPr>
          <w:rFonts w:ascii="Arial" w:cs="Arial" w:eastAsia="Arial" w:hAnsi="Arial"/>
          <w:sz w:val="24"/>
          <w:szCs w:val="24"/>
        </w:rPr>
        <w:t xml:space="preserve">- учредители и члены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 лица, не достигшие 18 лет;</w:t>
      </w:r>
    </w:p>
    <w:p>
      <w:pPr>
        <w:spacing w:after="60"/>
        <w:ind w:firstLine="567"/>
        <w:jc w:val="both"/>
      </w:pPr>
      <w:r>
        <w:rPr>
          <w:rFonts w:ascii="Arial" w:cs="Arial" w:eastAsia="Arial" w:hAnsi="Arial"/>
          <w:sz w:val="24"/>
          <w:szCs w:val="24"/>
        </w:rPr>
        <w:t xml:space="preserve">- иностранные граждане и организации;</w:t>
      </w:r>
    </w:p>
    <w:p>
      <w:pPr>
        <w:spacing w:after="60"/>
        <w:ind w:firstLine="567"/>
        <w:jc w:val="both"/>
      </w:pPr>
      <w:r>
        <w:rPr>
          <w:rFonts w:ascii="Arial" w:cs="Arial" w:eastAsia="Arial" w:hAnsi="Arial"/>
          <w:sz w:val="24"/>
          <w:szCs w:val="24"/>
        </w:rPr>
        <w:t xml:space="preserve">- лица без гражданства.";</w:t>
      </w:r>
    </w:p>
    <w:p>
      <w:pPr>
        <w:spacing w:after="60"/>
        <w:ind w:firstLine="567"/>
        <w:jc w:val="both"/>
      </w:pPr>
      <w:r>
        <w:rPr>
          <w:rFonts w:ascii="Arial" w:cs="Arial" w:eastAsia="Arial" w:hAnsi="Arial"/>
          <w:sz w:val="24"/>
          <w:szCs w:val="24"/>
        </w:rPr>
        <w:t xml:space="preserve">5) главу 2 дополнить пунктом 2.7-1. следующего содержания:</w:t>
      </w:r>
    </w:p>
    <w:p>
      <w:pPr>
        <w:spacing w:after="60"/>
        <w:ind w:firstLine="567"/>
        <w:jc w:val="both"/>
      </w:pPr>
      <w:r>
        <w:rPr>
          <w:rFonts w:ascii="Arial" w:cs="Arial" w:eastAsia="Arial" w:hAnsi="Arial"/>
          <w:sz w:val="24"/>
          <w:szCs w:val="24"/>
        </w:rPr>
        <w:t xml:space="preserve">"2.7-1. Кандидаты и политические партии не позднее 5 календарных дней со дня регистрации кандидата, списков кандидатов в соответствующей избирательной комиссии представляют программу в соответствующую избирательную комиссию. Центральная избирательная комиссия публикует программу кандидатов, политических партий на официальном сайте.";</w:t>
      </w:r>
    </w:p>
    <w:p>
      <w:pPr>
        <w:spacing w:after="60"/>
        <w:ind w:firstLine="567"/>
        <w:jc w:val="both"/>
      </w:pPr>
      <w:r>
        <w:rPr>
          <w:rFonts w:ascii="Arial" w:cs="Arial" w:eastAsia="Arial" w:hAnsi="Arial"/>
          <w:sz w:val="24"/>
          <w:szCs w:val="24"/>
        </w:rPr>
        <w:t xml:space="preserve">6) пункт 2.8. признать утратившими силу;</w:t>
      </w:r>
    </w:p>
    <w:p>
      <w:pPr>
        <w:spacing w:after="60"/>
        <w:ind w:firstLine="567"/>
        <w:jc w:val="both"/>
      </w:pPr>
      <w:r>
        <w:rPr>
          <w:rFonts w:ascii="Arial" w:cs="Arial" w:eastAsia="Arial" w:hAnsi="Arial"/>
          <w:sz w:val="24"/>
          <w:szCs w:val="24"/>
        </w:rPr>
        <w:t xml:space="preserve">7) пункт 2.9. изложить в следующей редакции:</w:t>
      </w:r>
    </w:p>
    <w:p>
      <w:pPr>
        <w:spacing w:after="60"/>
        <w:ind w:firstLine="567"/>
        <w:jc w:val="both"/>
      </w:pPr>
      <w:r>
        <w:rPr>
          <w:rFonts w:ascii="Arial" w:cs="Arial" w:eastAsia="Arial" w:hAnsi="Arial"/>
          <w:sz w:val="24"/>
          <w:szCs w:val="24"/>
        </w:rPr>
        <w:t xml:space="preserve">"2.9. Размещение на зданиях и помещениях, в которых расположены штабы кандидатов, политических партий наименования (полного, сокращенного или аббревиатуры), эмблемы, логотипов, значков, флага, и/или иной атрибутики (символики) кандидатов, политических партий, не является предвыборной агитацией.";</w:t>
      </w:r>
    </w:p>
    <w:p>
      <w:pPr>
        <w:spacing w:after="60"/>
        <w:ind w:firstLine="567"/>
        <w:jc w:val="both"/>
      </w:pPr>
      <w:r>
        <w:rPr>
          <w:rFonts w:ascii="Arial" w:cs="Arial" w:eastAsia="Arial" w:hAnsi="Arial"/>
          <w:sz w:val="24"/>
          <w:szCs w:val="24"/>
        </w:rPr>
        <w:t xml:space="preserve">8) пункт 3.2. изложить в следующей редакции:</w:t>
      </w:r>
    </w:p>
    <w:p>
      <w:pPr>
        <w:spacing w:after="60"/>
        <w:ind w:firstLine="567"/>
        <w:jc w:val="both"/>
      </w:pPr>
      <w:r>
        <w:rPr>
          <w:rFonts w:ascii="Arial" w:cs="Arial" w:eastAsia="Arial" w:hAnsi="Arial"/>
          <w:sz w:val="24"/>
          <w:szCs w:val="24"/>
        </w:rPr>
        <w:t xml:space="preserve">"3.2.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sz w:val="24"/>
          <w:szCs w:val="24"/>
        </w:rPr>
        <w:t xml:space="preserve">9) пункт 3.3. изложить в следующей редакции:</w:t>
      </w:r>
    </w:p>
    <w:p>
      <w:pPr>
        <w:spacing w:after="60"/>
        <w:ind w:firstLine="567"/>
        <w:jc w:val="both"/>
      </w:pPr>
      <w:r>
        <w:rPr>
          <w:rFonts w:ascii="Arial" w:cs="Arial" w:eastAsia="Arial" w:hAnsi="Arial"/>
          <w:sz w:val="24"/>
          <w:szCs w:val="24"/>
        </w:rPr>
        <w:t xml:space="preserve">"3.3. 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органами государственной власти и органами местного самоуправления в день их подачи.</w:t>
      </w:r>
    </w:p>
    <w:p>
      <w:pPr>
        <w:spacing w:after="60"/>
        <w:ind w:firstLine="567"/>
        <w:jc w:val="both"/>
      </w:pPr>
      <w:r>
        <w:rPr>
          <w:rFonts w:ascii="Arial" w:cs="Arial" w:eastAsia="Arial" w:hAnsi="Arial"/>
          <w:sz w:val="24"/>
          <w:szCs w:val="24"/>
        </w:rPr>
        <w:t xml:space="preserve">В случае отказа кандидату, политической партии в предоставлении помещения для встреч с избирателями органы государственной власти и местного самоуправления обязаны выдать письменное мотивированное решение об отказе.</w:t>
      </w:r>
    </w:p>
    <w:p>
      <w:pPr>
        <w:spacing w:after="6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одним из кандидатов, политической партии, отказ в предоставлении этого же помещения другим кандидату, политической партии не допускается.";</w:t>
      </w:r>
    </w:p>
    <w:p>
      <w:pPr>
        <w:spacing w:after="60"/>
        <w:ind w:firstLine="567"/>
        <w:jc w:val="both"/>
      </w:pPr>
      <w:r>
        <w:rPr>
          <w:rFonts w:ascii="Arial" w:cs="Arial" w:eastAsia="Arial" w:hAnsi="Arial"/>
          <w:sz w:val="24"/>
          <w:szCs w:val="24"/>
        </w:rPr>
        <w:t xml:space="preserve">10) в абзаце первом пункта 3.4. цифры "20" заменить цифрами "35", слова "предоставить на территории каждого избирательного участка" заменить словами "выделить и оборудовать на каждом избирательном участке";</w:t>
      </w:r>
    </w:p>
    <w:p>
      <w:pPr>
        <w:spacing w:after="60"/>
        <w:ind w:firstLine="567"/>
        <w:jc w:val="both"/>
      </w:pPr>
      <w:r>
        <w:rPr>
          <w:rFonts w:ascii="Arial" w:cs="Arial" w:eastAsia="Arial" w:hAnsi="Arial"/>
          <w:sz w:val="24"/>
          <w:szCs w:val="24"/>
        </w:rPr>
        <w:t xml:space="preserve">11) пункт 3.5. изложить в следующей редакции:</w:t>
      </w:r>
    </w:p>
    <w:p>
      <w:pPr>
        <w:spacing w:after="60"/>
        <w:ind w:firstLine="567"/>
        <w:jc w:val="both"/>
      </w:pPr>
      <w:r>
        <w:rPr>
          <w:rFonts w:ascii="Arial" w:cs="Arial" w:eastAsia="Arial" w:hAnsi="Arial"/>
          <w:sz w:val="24"/>
          <w:szCs w:val="24"/>
        </w:rPr>
        <w:t xml:space="preserve">"3.5.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принятых мерах.";</w:t>
      </w:r>
    </w:p>
    <w:p>
      <w:pPr>
        <w:spacing w:after="60"/>
        <w:ind w:firstLine="567"/>
        <w:jc w:val="both"/>
      </w:pPr>
      <w:r>
        <w:rPr>
          <w:rFonts w:ascii="Arial" w:cs="Arial" w:eastAsia="Arial" w:hAnsi="Arial"/>
          <w:sz w:val="24"/>
          <w:szCs w:val="24"/>
        </w:rPr>
        <w:t xml:space="preserve">12) в пункте 3.6.:</w:t>
      </w:r>
    </w:p>
    <w:p>
      <w:pPr>
        <w:spacing w:after="60"/>
        <w:ind w:firstLine="567"/>
        <w:jc w:val="both"/>
      </w:pPr>
      <w:r>
        <w:rPr>
          <w:rFonts w:ascii="Arial" w:cs="Arial" w:eastAsia="Arial" w:hAnsi="Arial"/>
          <w:sz w:val="24"/>
          <w:szCs w:val="24"/>
        </w:rPr>
        <w:t xml:space="preserve">- предложение первое дополнить словами "и принимают меры по пресечению нарушений и привлекает к ответственности за нарушение правил агитации";</w:t>
      </w:r>
    </w:p>
    <w:p>
      <w:pPr>
        <w:spacing w:after="60"/>
        <w:ind w:firstLine="567"/>
        <w:jc w:val="both"/>
      </w:pPr>
      <w:r>
        <w:rPr>
          <w:rFonts w:ascii="Arial" w:cs="Arial" w:eastAsia="Arial" w:hAnsi="Arial"/>
          <w:sz w:val="24"/>
          <w:szCs w:val="24"/>
        </w:rPr>
        <w:t xml:space="preserve">- предложение второе считать абзацем вторым данного пункта;</w:t>
      </w:r>
    </w:p>
    <w:p>
      <w:pPr>
        <w:spacing w:after="60"/>
        <w:ind w:firstLine="567"/>
        <w:jc w:val="both"/>
      </w:pPr>
      <w:r>
        <w:rPr>
          <w:rFonts w:ascii="Arial" w:cs="Arial" w:eastAsia="Arial" w:hAnsi="Arial"/>
          <w:sz w:val="24"/>
          <w:szCs w:val="24"/>
        </w:rPr>
        <w:t xml:space="preserve">13) пункт 3.9. изложить в следующей редакции:</w:t>
      </w:r>
    </w:p>
    <w:p>
      <w:pPr>
        <w:spacing w:after="60"/>
        <w:ind w:firstLine="567"/>
        <w:jc w:val="both"/>
      </w:pPr>
      <w:r>
        <w:rPr>
          <w:rFonts w:ascii="Arial" w:cs="Arial" w:eastAsia="Arial" w:hAnsi="Arial"/>
          <w:sz w:val="24"/>
          <w:szCs w:val="24"/>
        </w:rPr>
        <w:t xml:space="preserve">"3.9.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sz w:val="24"/>
          <w:szCs w:val="24"/>
        </w:rPr>
        <w:t xml:space="preserve">14) пункт 3.11. изложить в следующей редакции:</w:t>
      </w:r>
    </w:p>
    <w:p>
      <w:pPr>
        <w:spacing w:after="60"/>
        <w:ind w:firstLine="567"/>
        <w:jc w:val="both"/>
      </w:pPr>
      <w:r>
        <w:rPr>
          <w:rFonts w:ascii="Arial" w:cs="Arial" w:eastAsia="Arial" w:hAnsi="Arial"/>
          <w:sz w:val="24"/>
          <w:szCs w:val="24"/>
        </w:rPr>
        <w:t xml:space="preserve">"3.11. В случае нарушения кандидатом, политической партией, а также их представителями, средствами массовой информации, интернет изданиями правил проведения предвыборной агитации избирательные комиссии, избиратели, кандидат, политическая партия, а также их представители, средства массовой информации, интернет издания вправе обратиться в правоохранительные органы, суд с представлением о пресечении противоправной агитационной деятельности и привлечении виновных лиц к ответственности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15) пункт 3.13. изложить в следующей редакции:</w:t>
      </w:r>
    </w:p>
    <w:p>
      <w:pPr>
        <w:spacing w:after="60"/>
        <w:ind w:firstLine="567"/>
        <w:jc w:val="both"/>
      </w:pPr>
      <w:r>
        <w:rPr>
          <w:rFonts w:ascii="Arial" w:cs="Arial" w:eastAsia="Arial" w:hAnsi="Arial"/>
          <w:sz w:val="24"/>
          <w:szCs w:val="24"/>
        </w:rPr>
        <w:t xml:space="preserve">"3.13. В случае неоднократного нарушения (два или более раз) кандидатом, политической партией правил ведения предвыборной агитации,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16) пункт 4.6. дополнить абзацами вторым, третьим, четвертым следующего содержания:</w:t>
      </w:r>
    </w:p>
    <w:p>
      <w:pPr>
        <w:spacing w:after="60"/>
        <w:ind w:firstLine="567"/>
        <w:jc w:val="both"/>
      </w:pPr>
      <w:r>
        <w:rPr>
          <w:rFonts w:ascii="Arial" w:cs="Arial" w:eastAsia="Arial" w:hAnsi="Arial"/>
          <w:sz w:val="24"/>
          <w:szCs w:val="24"/>
        </w:rPr>
        <w:t xml:space="preserve">"При проведении предвыборной агитации не допускается злоупотребление свободой средств массовой информации, запрещается:</w:t>
      </w:r>
    </w:p>
    <w:p>
      <w:pPr>
        <w:spacing w:after="60"/>
        <w:ind w:firstLine="567"/>
        <w:jc w:val="both"/>
      </w:pPr>
      <w:r>
        <w:rPr>
          <w:rFonts w:ascii="Arial" w:cs="Arial" w:eastAsia="Arial" w:hAnsi="Arial"/>
          <w:sz w:val="24"/>
          <w:szCs w:val="24"/>
        </w:rPr>
        <w:t xml:space="preserve">- проведение публичных мероприятий с государственными и политическими деятелями других государств с освещением в средствах массовой информации;</w:t>
      </w:r>
    </w:p>
    <w:p>
      <w:pPr>
        <w:spacing w:after="60"/>
        <w:ind w:firstLine="567"/>
        <w:jc w:val="both"/>
      </w:pPr>
      <w:r>
        <w:rPr>
          <w:rFonts w:ascii="Arial" w:cs="Arial" w:eastAsia="Arial" w:hAnsi="Arial"/>
          <w:sz w:val="24"/>
          <w:szCs w:val="24"/>
        </w:rPr>
        <w:t xml:space="preserve">- использование фото- и видеоматериалов с использованием изображения государственных и политических деятелей других государств.";</w:t>
      </w:r>
    </w:p>
    <w:p>
      <w:pPr>
        <w:spacing w:after="60"/>
        <w:ind w:firstLine="567"/>
        <w:jc w:val="both"/>
      </w:pPr>
      <w:r>
        <w:rPr>
          <w:rFonts w:ascii="Arial" w:cs="Arial" w:eastAsia="Arial" w:hAnsi="Arial"/>
          <w:sz w:val="24"/>
          <w:szCs w:val="24"/>
        </w:rPr>
        <w:t xml:space="preserve">17) в пункте 5.3.:</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"5.3. Не менее половины от общего числа объема выделяемого эфирного времени отводится кандидатам, политическим партиям, выдвинувшим списки кандидатов, исключительно для совместного проведения дебатов и иных аналогичных агитационных мероприятий.";</w:t>
      </w:r>
    </w:p>
    <w:p>
      <w:pPr>
        <w:spacing w:after="60"/>
        <w:ind w:firstLine="567"/>
        <w:jc w:val="both"/>
      </w:pPr>
      <w:r>
        <w:rPr>
          <w:rFonts w:ascii="Arial" w:cs="Arial" w:eastAsia="Arial" w:hAnsi="Arial"/>
          <w:sz w:val="24"/>
          <w:szCs w:val="24"/>
        </w:rPr>
        <w:t xml:space="preserve">- в абзаце втором слова "могут участвовать только через своих уполномоченных представителей, доверенных лиц" заменить словами "- через кандидатов из зарегистрированного списка кандидатов.";</w:t>
      </w:r>
    </w:p>
    <w:p>
      <w:pPr>
        <w:spacing w:after="60"/>
        <w:ind w:firstLine="567"/>
        <w:jc w:val="both"/>
      </w:pPr>
      <w:r>
        <w:rPr>
          <w:rFonts w:ascii="Arial" w:cs="Arial" w:eastAsia="Arial" w:hAnsi="Arial"/>
          <w:sz w:val="24"/>
          <w:szCs w:val="24"/>
        </w:rPr>
        <w:t xml:space="preserve">- в абзаце третьем слово "представитель" заменить словами "кандидат из списка", слова "в том числе в случае, если в указанном мероприятии может принять участие только один участник," исключить;</w:t>
      </w:r>
    </w:p>
    <w:p>
      <w:pPr>
        <w:spacing w:after="60"/>
        <w:ind w:firstLine="567"/>
        <w:jc w:val="both"/>
      </w:pPr>
      <w:r>
        <w:rPr>
          <w:rFonts w:ascii="Arial" w:cs="Arial" w:eastAsia="Arial" w:hAnsi="Arial"/>
          <w:sz w:val="24"/>
          <w:szCs w:val="24"/>
        </w:rPr>
        <w:t xml:space="preserve">- абзац пятый изложить в следующей редакции:</w:t>
      </w:r>
    </w:p>
    <w:p>
      <w:pPr>
        <w:spacing w:after="60"/>
        <w:ind w:firstLine="567"/>
        <w:jc w:val="both"/>
      </w:pPr>
      <w:r>
        <w:rPr>
          <w:rFonts w:ascii="Arial" w:cs="Arial" w:eastAsia="Arial" w:hAnsi="Arial"/>
          <w:sz w:val="24"/>
          <w:szCs w:val="24"/>
        </w:rPr>
        <w:t xml:space="preserve">"Отказ от участия или неявка на совместное агитационное мероприятие не влекут за собой предоставление эфирного времени.";</w:t>
      </w:r>
    </w:p>
    <w:p>
      <w:pPr>
        <w:spacing w:after="60"/>
        <w:ind w:firstLine="567"/>
        <w:jc w:val="both"/>
      </w:pPr>
      <w:r>
        <w:rPr>
          <w:rFonts w:ascii="Arial" w:cs="Arial" w:eastAsia="Arial" w:hAnsi="Arial"/>
          <w:sz w:val="24"/>
          <w:szCs w:val="24"/>
        </w:rPr>
        <w:t xml:space="preserve">18) в пункте 5.5.:</w:t>
      </w:r>
    </w:p>
    <w:p>
      <w:pPr>
        <w:spacing w:after="60"/>
        <w:ind w:firstLine="567"/>
        <w:jc w:val="both"/>
      </w:pPr>
      <w:r>
        <w:rPr>
          <w:rFonts w:ascii="Arial" w:cs="Arial" w:eastAsia="Arial" w:hAnsi="Arial"/>
          <w:sz w:val="24"/>
          <w:szCs w:val="24"/>
        </w:rPr>
        <w:t xml:space="preserve">- в абзаце первом слова "круглого стола" заменить словами "и иных аналогичных агитационных мероприятий,";</w:t>
      </w:r>
    </w:p>
    <w:p>
      <w:pPr>
        <w:spacing w:after="60"/>
        <w:ind w:firstLine="567"/>
        <w:jc w:val="both"/>
      </w:pPr>
      <w:r>
        <w:rPr>
          <w:rFonts w:ascii="Arial" w:cs="Arial" w:eastAsia="Arial" w:hAnsi="Arial"/>
          <w:sz w:val="24"/>
          <w:szCs w:val="24"/>
        </w:rPr>
        <w:t xml:space="preserve">- по всему тесту пункта слова "(участниками)" и "круглого стола" исключить;</w:t>
      </w:r>
    </w:p>
    <w:p>
      <w:pPr>
        <w:spacing w:after="60"/>
        <w:ind w:firstLine="567"/>
        <w:jc w:val="both"/>
      </w:pPr>
      <w:r>
        <w:rPr>
          <w:rFonts w:ascii="Arial" w:cs="Arial" w:eastAsia="Arial" w:hAnsi="Arial"/>
          <w:sz w:val="24"/>
          <w:szCs w:val="24"/>
        </w:rPr>
        <w:t xml:space="preserve">- в абзаце десятом слова "круглого стола", в том числе иным присутствующим лицам" исключить;</w:t>
      </w:r>
    </w:p>
    <w:p>
      <w:pPr>
        <w:spacing w:after="60"/>
        <w:ind w:firstLine="567"/>
        <w:jc w:val="both"/>
      </w:pPr>
      <w:r>
        <w:rPr>
          <w:rFonts w:ascii="Arial" w:cs="Arial" w:eastAsia="Arial" w:hAnsi="Arial"/>
          <w:sz w:val="24"/>
          <w:szCs w:val="24"/>
        </w:rPr>
        <w:t xml:space="preserve">19) </w:t>
      </w:r>
      <w:r>
        <w:rPr>
          <w:rFonts w:ascii="Arial" w:cs="Arial" w:eastAsia="Arial" w:hAnsi="Arial"/>
          <w:sz w:val="24"/>
          <w:szCs w:val="24"/>
        </w:rPr>
        <w:t xml:space="preserve">главу 5</w:t>
      </w:r>
      <w:r>
        <w:rPr>
          <w:rFonts w:ascii="Arial" w:cs="Arial" w:eastAsia="Arial" w:hAnsi="Arial"/>
          <w:sz w:val="24"/>
          <w:szCs w:val="24"/>
        </w:rPr>
        <w:t xml:space="preserve"> дополнить пунктом 5.5-1. следующего содержания:</w:t>
      </w:r>
    </w:p>
    <w:p>
      <w:pPr>
        <w:spacing w:after="60"/>
        <w:ind w:firstLine="567"/>
        <w:jc w:val="both"/>
      </w:pPr>
      <w:r>
        <w:rPr>
          <w:rFonts w:ascii="Arial" w:cs="Arial" w:eastAsia="Arial" w:hAnsi="Arial"/>
          <w:sz w:val="24"/>
          <w:szCs w:val="24"/>
        </w:rPr>
        <w:t xml:space="preserve">"5.5-1. Зарегистрированный кандидат, политическая партия, выдвинувшая список кандидатов,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предоставленное им для размещения агитационных материалов, в целях:</w:t>
      </w:r>
    </w:p>
    <w:p>
      <w:pPr>
        <w:spacing w:after="60"/>
        <w:ind w:firstLine="567"/>
        <w:jc w:val="both"/>
      </w:pPr>
      <w:r>
        <w:rPr>
          <w:rFonts w:ascii="Arial" w:cs="Arial" w:eastAsia="Arial" w:hAnsi="Arial"/>
          <w:sz w:val="24"/>
          <w:szCs w:val="24"/>
        </w:rPr>
        <w:t xml:space="preserve">1) распространения призывов голосовать против кандидата (кандидатов), политической партии;</w:t>
      </w:r>
    </w:p>
    <w:p>
      <w:pPr>
        <w:spacing w:after="60"/>
        <w:ind w:firstLine="567"/>
        <w:jc w:val="both"/>
      </w:pPr>
      <w:r>
        <w:rPr>
          <w:rFonts w:ascii="Arial" w:cs="Arial" w:eastAsia="Arial" w:hAnsi="Arial"/>
          <w:sz w:val="24"/>
          <w:szCs w:val="24"/>
        </w:rPr>
        <w:t xml:space="preserve">2) описания возможных негативных последствий в случае, если тот или иной кандидат, список кандидатов политической партии будет избран;</w:t>
      </w:r>
    </w:p>
    <w:p>
      <w:pPr>
        <w:spacing w:after="60"/>
        <w:ind w:firstLine="567"/>
        <w:jc w:val="both"/>
      </w:pPr>
      <w:r>
        <w:rPr>
          <w:rFonts w:ascii="Arial" w:cs="Arial" w:eastAsia="Arial" w:hAnsi="Arial"/>
          <w:sz w:val="24"/>
          <w:szCs w:val="24"/>
        </w:rPr>
        <w:t xml:space="preserve">3) распространения информации, в которой явно преобладают сведения о каком-либо кандидате (каких-либо кандидатах), политической партии, выдвинувшей зарегистрированного кандидата, в сочетании с негативными комментариями;</w:t>
      </w:r>
    </w:p>
    <w:p>
      <w:pPr>
        <w:spacing w:after="60"/>
        <w:ind w:firstLine="567"/>
        <w:jc w:val="both"/>
      </w:pPr>
      <w:r>
        <w:rPr>
          <w:rFonts w:ascii="Arial" w:cs="Arial" w:eastAsia="Arial" w:hAnsi="Arial"/>
          <w:sz w:val="24"/>
          <w:szCs w:val="24"/>
        </w:rPr>
        <w:t xml:space="preserve">4)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60"/>
        <w:ind w:firstLine="567"/>
        <w:jc w:val="both"/>
      </w:pPr>
      <w:r>
        <w:rPr>
          <w:rFonts w:ascii="Arial" w:cs="Arial" w:eastAsia="Arial" w:hAnsi="Arial"/>
          <w:sz w:val="24"/>
          <w:szCs w:val="24"/>
        </w:rPr>
        <w:t xml:space="preserve">20) пункт 5.7.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"Соответствующая избирательная комиссия не позднее чем за 3 календарных дня до дня проведения жеребьевки информирует зарегистрированных кандидатов, политические партии, выдвинувшие списки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60"/>
        <w:ind w:firstLine="567"/>
        <w:jc w:val="both"/>
      </w:pPr>
      <w:r>
        <w:rPr>
          <w:rFonts w:ascii="Arial" w:cs="Arial" w:eastAsia="Arial" w:hAnsi="Arial"/>
          <w:sz w:val="24"/>
          <w:szCs w:val="24"/>
        </w:rPr>
        <w:t xml:space="preserve">Жеребьевку, в результате которой определяются даты и время выхода в эфир на безвозмездной основе предвыборных агитационных материалов зарегистрированных кандидатов, политических партий, совместных агитационных мероприятий на каналах государственных телерадиоорганизаций, проводит соответствующая избирательная комиссия с участием представителей соответствующих телерадиоорганизаций. Жеребьевка проводится по завершении регистрации кандидатов, но не позднее чем за 25 календарных дней до дня голосования, а при проведении повторного голосования - не позднее чем через один день со дня назначения повторного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60"/>
        <w:ind w:firstLine="567"/>
        <w:jc w:val="both"/>
      </w:pPr>
      <w:r>
        <w:rPr>
          <w:rFonts w:ascii="Arial" w:cs="Arial" w:eastAsia="Arial" w:hAnsi="Arial"/>
          <w:sz w:val="24"/>
          <w:szCs w:val="24"/>
        </w:rPr>
        <w:t xml:space="preserve">21) пункт 5.10. дополнить абзацем вторым следующего содержания:</w:t>
      </w:r>
    </w:p>
    <w:p>
      <w:pPr>
        <w:spacing w:after="60"/>
        <w:ind w:firstLine="567"/>
        <w:jc w:val="both"/>
      </w:pPr>
      <w:r>
        <w:rPr>
          <w:rFonts w:ascii="Arial" w:cs="Arial" w:eastAsia="Arial" w:hAnsi="Arial"/>
          <w:sz w:val="24"/>
          <w:szCs w:val="24"/>
        </w:rPr>
        <w:t xml:space="preserve">"Оплата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60"/>
        <w:ind w:firstLine="567"/>
        <w:jc w:val="both"/>
      </w:pPr>
      <w:r>
        <w:rPr>
          <w:rFonts w:ascii="Arial" w:cs="Arial" w:eastAsia="Arial" w:hAnsi="Arial"/>
          <w:sz w:val="24"/>
          <w:szCs w:val="24"/>
        </w:rPr>
        <w:t xml:space="preserve">22) в пункте 7.2. слово "публичных" исключить;</w:t>
      </w:r>
    </w:p>
    <w:p>
      <w:pPr>
        <w:spacing w:after="60"/>
        <w:ind w:firstLine="567"/>
        <w:jc w:val="both"/>
      </w:pPr>
      <w:r>
        <w:rPr>
          <w:rFonts w:ascii="Arial" w:cs="Arial" w:eastAsia="Arial" w:hAnsi="Arial"/>
          <w:sz w:val="24"/>
          <w:szCs w:val="24"/>
        </w:rPr>
        <w:t xml:space="preserve">23) абзац первый пункта 7.3. изложить в следующей редакции:</w:t>
      </w:r>
    </w:p>
    <w:p>
      <w:pPr>
        <w:spacing w:after="60"/>
        <w:ind w:firstLine="567"/>
        <w:jc w:val="both"/>
      </w:pPr>
      <w:r>
        <w:rPr>
          <w:rFonts w:ascii="Arial" w:cs="Arial" w:eastAsia="Arial" w:hAnsi="Arial"/>
          <w:sz w:val="24"/>
          <w:szCs w:val="24"/>
        </w:rPr>
        <w:t xml:space="preserve">"7.3.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sz w:val="24"/>
          <w:szCs w:val="24"/>
        </w:rPr>
        <w:t xml:space="preserve">24) пункт 7.5. признать утратившими силу;</w:t>
      </w:r>
    </w:p>
    <w:p>
      <w:pPr>
        <w:spacing w:after="60"/>
        <w:ind w:firstLine="567"/>
        <w:jc w:val="both"/>
      </w:pPr>
      <w:r>
        <w:rPr>
          <w:rFonts w:ascii="Arial" w:cs="Arial" w:eastAsia="Arial" w:hAnsi="Arial"/>
          <w:sz w:val="24"/>
          <w:szCs w:val="24"/>
        </w:rPr>
        <w:t xml:space="preserve">25) пункт 7.6. дополнить абзацем вторым следующего содержания:</w:t>
      </w:r>
    </w:p>
    <w:p>
      <w:pPr>
        <w:spacing w:after="60"/>
        <w:ind w:firstLine="567"/>
        <w:jc w:val="both"/>
      </w:pPr>
      <w:r>
        <w:rPr>
          <w:rFonts w:ascii="Arial" w:cs="Arial" w:eastAsia="Arial" w:hAnsi="Arial"/>
          <w:sz w:val="24"/>
          <w:szCs w:val="24"/>
        </w:rPr>
        <w:t xml:space="preserve">"Запрещается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w:t>
      </w:r>
    </w:p>
    <w:p>
      <w:pPr>
        <w:spacing w:after="60"/>
        <w:ind w:firstLine="567"/>
        <w:jc w:val="both"/>
      </w:pPr>
      <w:r>
        <w:rPr>
          <w:rFonts w:ascii="Arial" w:cs="Arial" w:eastAsia="Arial" w:hAnsi="Arial"/>
          <w:sz w:val="24"/>
          <w:szCs w:val="24"/>
        </w:rPr>
        <w:t xml:space="preserve">26) в пункте 8.1.:</w:t>
      </w:r>
    </w:p>
    <w:p>
      <w:pPr>
        <w:spacing w:after="60"/>
        <w:ind w:firstLine="567"/>
        <w:jc w:val="both"/>
      </w:pPr>
      <w:r>
        <w:rPr>
          <w:rFonts w:ascii="Arial" w:cs="Arial" w:eastAsia="Arial" w:hAnsi="Arial"/>
          <w:sz w:val="24"/>
          <w:szCs w:val="24"/>
        </w:rPr>
        <w:t xml:space="preserve">- абзац первый после слов "Экземпляры печатных и иных агитационных материалов или их копии" дополнить словами "до начала их распространения";</w:t>
      </w:r>
    </w:p>
    <w:p>
      <w:pPr>
        <w:spacing w:after="60"/>
        <w:ind w:firstLine="567"/>
        <w:jc w:val="both"/>
      </w:pPr>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sz w:val="24"/>
          <w:szCs w:val="24"/>
        </w:rPr>
        <w:t xml:space="preserve">27) пункт 8.2. изложить в следующей редакции:</w:t>
      </w:r>
    </w:p>
    <w:p>
      <w:pPr>
        <w:spacing w:after="60"/>
        <w:ind w:firstLine="567"/>
        <w:jc w:val="both"/>
      </w:pPr>
      <w:r>
        <w:rPr>
          <w:rFonts w:ascii="Arial" w:cs="Arial" w:eastAsia="Arial" w:hAnsi="Arial"/>
          <w:sz w:val="24"/>
          <w:szCs w:val="24"/>
        </w:rPr>
        <w:t xml:space="preserve">"8.2. Все печатные и иные агитационные материалы должны содержать наименование и адрес организации (фамилия, имя, отчество и адрес места жительства лиц), изготовившей агитационные материалы, фамилию, имя, отчество лица (наименование организации, индивидуального предпринимателя), заказавшего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уполномоченного представителя политической партии,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60"/>
        <w:ind w:firstLine="567"/>
        <w:jc w:val="both"/>
      </w:pPr>
      <w:r>
        <w:rPr>
          <w:rFonts w:ascii="Arial" w:cs="Arial" w:eastAsia="Arial" w:hAnsi="Arial"/>
          <w:sz w:val="24"/>
          <w:szCs w:val="24"/>
        </w:rPr>
        <w:t xml:space="preserve">Запрещается распространение агитационных материалов, изготовленных с нарушением требований, установленных настоящим пунктом.</w:t>
      </w:r>
    </w:p>
    <w:p>
      <w:pPr>
        <w:spacing w:after="60"/>
        <w:ind w:firstLine="567"/>
        <w:jc w:val="both"/>
      </w:pPr>
      <w:r>
        <w:rPr>
          <w:rFonts w:ascii="Arial" w:cs="Arial" w:eastAsia="Arial" w:hAnsi="Arial"/>
          <w:sz w:val="24"/>
          <w:szCs w:val="24"/>
        </w:rPr>
        <w:t xml:space="preserve">При размещении наружных агитационных материалов кандидат, политическая партия обязаны до их распространения подать письменное заявление с указанием вида наружного агитационного материала и точного адреса предполагаемого его места размещения в соответствующую избирательную комиссию, приложив образцы или эскизы агитационного материала.";</w:t>
      </w:r>
    </w:p>
    <w:p>
      <w:pPr>
        <w:spacing w:after="60"/>
        <w:ind w:firstLine="567"/>
        <w:jc w:val="both"/>
      </w:pPr>
      <w:r>
        <w:rPr>
          <w:rFonts w:ascii="Arial" w:cs="Arial" w:eastAsia="Arial" w:hAnsi="Arial"/>
          <w:sz w:val="24"/>
          <w:szCs w:val="24"/>
        </w:rPr>
        <w:t xml:space="preserve">28) пункт 8.3. изложить в следующей редакции:</w:t>
      </w:r>
    </w:p>
    <w:p>
      <w:pPr>
        <w:spacing w:after="60"/>
        <w:ind w:firstLine="567"/>
        <w:jc w:val="both"/>
      </w:pPr>
      <w:r>
        <w:rPr>
          <w:rFonts w:ascii="Arial" w:cs="Arial" w:eastAsia="Arial" w:hAnsi="Arial"/>
          <w:sz w:val="24"/>
          <w:szCs w:val="24"/>
        </w:rPr>
        <w:t xml:space="preserve">"8.3. Органы местного самоуправления обязаны в течение 35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w:t>
      </w:r>
    </w:p>
    <w:p>
      <w:pPr>
        <w:spacing w:after="60"/>
        <w:ind w:firstLine="567"/>
        <w:jc w:val="both"/>
      </w:pPr>
      <w:r>
        <w:rPr>
          <w:rFonts w:ascii="Arial" w:cs="Arial" w:eastAsia="Arial" w:hAnsi="Arial"/>
          <w:sz w:val="24"/>
          <w:szCs w:val="24"/>
        </w:rPr>
        <w:t xml:space="preserve">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спискам кандидатов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Кандидаты, политические партии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pPr>
        <w:spacing w:after="60"/>
        <w:ind w:firstLine="567"/>
        <w:jc w:val="both"/>
      </w:pPr>
      <w:r>
        <w:rPr>
          <w:rFonts w:ascii="Arial" w:cs="Arial" w:eastAsia="Arial" w:hAnsi="Arial"/>
          <w:sz w:val="24"/>
          <w:szCs w:val="24"/>
        </w:rPr>
        <w:t xml:space="preserve">29) пункт 8.8. признать утратившими силу;</w:t>
      </w:r>
    </w:p>
    <w:p>
      <w:pPr>
        <w:spacing w:after="60"/>
        <w:ind w:firstLine="567"/>
        <w:jc w:val="both"/>
      </w:pPr>
      <w:r>
        <w:rPr>
          <w:rFonts w:ascii="Arial" w:cs="Arial" w:eastAsia="Arial" w:hAnsi="Arial"/>
          <w:sz w:val="24"/>
          <w:szCs w:val="24"/>
        </w:rPr>
        <w:t xml:space="preserve">30) пункт 9.1. дополнить словами "и принимают меры по пресечению нарушений и привлекает к ответственности за нарушение правил агитации";</w:t>
      </w:r>
    </w:p>
    <w:p>
      <w:pPr>
        <w:spacing w:after="60"/>
        <w:ind w:firstLine="567"/>
        <w:jc w:val="both"/>
      </w:pPr>
      <w:r>
        <w:rPr>
          <w:rFonts w:ascii="Arial" w:cs="Arial" w:eastAsia="Arial" w:hAnsi="Arial"/>
          <w:sz w:val="24"/>
          <w:szCs w:val="24"/>
        </w:rPr>
        <w:t xml:space="preserve">31) в пункте 9.2:</w:t>
      </w:r>
    </w:p>
    <w:p>
      <w:pPr>
        <w:spacing w:after="60"/>
        <w:ind w:firstLine="567"/>
        <w:jc w:val="both"/>
      </w:pPr>
      <w:r>
        <w:rPr>
          <w:rFonts w:ascii="Arial" w:cs="Arial" w:eastAsia="Arial" w:hAnsi="Arial"/>
          <w:sz w:val="24"/>
          <w:szCs w:val="24"/>
        </w:rPr>
        <w:t xml:space="preserve">- после слов "нарушению целостности государства; пропаганда войны;" дополнить словами "проведение публичных мероприятий с государственными и политическими деятелями других государств с освещением в средствах массовой информации;";</w:t>
      </w:r>
    </w:p>
    <w:p>
      <w:pPr>
        <w:spacing w:after="60"/>
        <w:ind w:firstLine="567"/>
        <w:jc w:val="both"/>
      </w:pPr>
      <w:r>
        <w:rPr>
          <w:rFonts w:ascii="Arial" w:cs="Arial" w:eastAsia="Arial" w:hAnsi="Arial"/>
          <w:sz w:val="24"/>
          <w:szCs w:val="24"/>
        </w:rPr>
        <w:t xml:space="preserve">- дополнить абзацам тринадцатым следующего содержания:</w:t>
      </w:r>
    </w:p>
    <w:p>
      <w:pPr>
        <w:spacing w:after="60"/>
        <w:ind w:firstLine="567"/>
        <w:jc w:val="both"/>
      </w:pPr>
      <w:r>
        <w:rPr>
          <w:rFonts w:ascii="Arial" w:cs="Arial" w:eastAsia="Arial" w:hAnsi="Arial"/>
          <w:sz w:val="24"/>
          <w:szCs w:val="24"/>
        </w:rPr>
        <w:t xml:space="preserve">"В случае нарушения правил ведения предвыборной агитации, подтвержденного заключением (актом) уполномоченного государственного органа, Центральная избирательная комиссия по ходатайству соответствующей избирательной комиссии либо по своей инициативе вправе принять решение об отмене регистрации кандидата, списка кандидатов.";</w:t>
      </w:r>
    </w:p>
    <w:p>
      <w:pPr>
        <w:spacing w:after="60"/>
        <w:ind w:firstLine="567"/>
        <w:jc w:val="both"/>
      </w:pPr>
      <w:r>
        <w:rPr>
          <w:rFonts w:ascii="Arial" w:cs="Arial" w:eastAsia="Arial" w:hAnsi="Arial"/>
          <w:sz w:val="24"/>
          <w:szCs w:val="24"/>
        </w:rPr>
        <w:t xml:space="preserve">32) в пункте 9.3.:</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"9.3.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изображение кандидата в соответствии с перечнем, утверждаемым Центральной избирательной комиссией; предоставлять услуги безвозмездно или на льготных условиях.";</w:t>
      </w:r>
    </w:p>
    <w:p>
      <w:pPr>
        <w:spacing w:after="60"/>
        <w:ind w:firstLine="567"/>
        <w:jc w:val="both"/>
      </w:pPr>
      <w:r>
        <w:rPr>
          <w:rFonts w:ascii="Arial" w:cs="Arial" w:eastAsia="Arial" w:hAnsi="Arial"/>
          <w:sz w:val="24"/>
          <w:szCs w:val="24"/>
        </w:rPr>
        <w:t xml:space="preserve">- в абзаце втором пункта 9.3. слова и цифры "(ст.140 УК КР)" заменить словами и цифрами "(ст.192 УК КР)";</w:t>
      </w:r>
    </w:p>
    <w:p>
      <w:pPr>
        <w:spacing w:after="60"/>
        <w:ind w:firstLine="567"/>
        <w:jc w:val="both"/>
      </w:pPr>
      <w:r>
        <w:rPr>
          <w:rFonts w:ascii="Arial" w:cs="Arial" w:eastAsia="Arial" w:hAnsi="Arial"/>
          <w:sz w:val="24"/>
          <w:szCs w:val="24"/>
        </w:rPr>
        <w:t xml:space="preserve">33) пункт 9.7. изложить в следующей редакции:</w:t>
      </w:r>
    </w:p>
    <w:p>
      <w:pPr>
        <w:spacing w:after="60"/>
        <w:ind w:firstLine="567"/>
        <w:jc w:val="both"/>
      </w:pPr>
      <w:r>
        <w:rPr>
          <w:rFonts w:ascii="Arial" w:cs="Arial" w:eastAsia="Arial" w:hAnsi="Arial"/>
          <w:sz w:val="24"/>
          <w:szCs w:val="24"/>
        </w:rPr>
        <w:t xml:space="preserve">"9.7. Кандидаты, их представители, представители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бесплатно опубликовать опровержение или предоставить право на ответ, на статью или выступление, не соответствующие действительности или искажающие ее, представляющая собой возможность опубликования комментария или цитаты кандидата и/или политической партии относительно оспариваемых сведений, ущемляющих их права или охраняемые законом интересы. Опровержение или ответ публикуются на той же полосе, электронной площади и тем же шрифтом, что и информация, на которую дается опровержение или ответ, в периодических изданиях - в следующем выпуске, в интернет-изданиях - в день поступления ответа, по телевидению или радио - в выпуске дня, следующего за днем поступления опровержения или ответа.</w:t>
      </w:r>
    </w:p>
    <w:p>
      <w:pPr>
        <w:spacing w:after="60"/>
        <w:ind w:firstLine="567"/>
        <w:jc w:val="both"/>
      </w:pPr>
      <w:r>
        <w:rPr>
          <w:rFonts w:ascii="Arial" w:cs="Arial" w:eastAsia="Arial" w:hAnsi="Arial"/>
          <w:sz w:val="24"/>
          <w:szCs w:val="24"/>
        </w:rPr>
        <w:t xml:space="preserve">Для обнародования опровержения или ответа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60"/>
        <w:ind w:firstLine="567"/>
        <w:jc w:val="both"/>
      </w:pPr>
      <w:r>
        <w:rPr>
          <w:rFonts w:ascii="Arial" w:cs="Arial" w:eastAsia="Arial" w:hAnsi="Arial"/>
          <w:sz w:val="24"/>
          <w:szCs w:val="24"/>
        </w:rPr>
        <w:t xml:space="preserve">Непредставление кандидату, политической партии возможности опубликовать до окончания срока предвыборной агитации опровержение или ответ в защиту их репутации в средствах массовой информации, интернет-изданиях в сроки, установленные частью 5 настоящей статьи,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и лишения аккредитации Центральной избирательной комиссией.";</w:t>
      </w:r>
    </w:p>
    <w:p>
      <w:pPr>
        <w:spacing w:after="60"/>
        <w:ind w:firstLine="567"/>
        <w:jc w:val="both"/>
      </w:pPr>
      <w:r>
        <w:rPr>
          <w:rFonts w:ascii="Arial" w:cs="Arial" w:eastAsia="Arial" w:hAnsi="Arial"/>
          <w:sz w:val="24"/>
          <w:szCs w:val="24"/>
        </w:rPr>
        <w:t xml:space="preserve">34) пункт 9.9. изложить в следующей редакции:</w:t>
      </w:r>
    </w:p>
    <w:p>
      <w:pPr>
        <w:spacing w:after="60"/>
        <w:ind w:firstLine="567"/>
        <w:jc w:val="both"/>
      </w:pPr>
      <w:r>
        <w:rPr>
          <w:rFonts w:ascii="Arial" w:cs="Arial" w:eastAsia="Arial" w:hAnsi="Arial"/>
          <w:sz w:val="24"/>
          <w:szCs w:val="24"/>
        </w:rPr>
        <w:t xml:space="preserve">"9.9.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нарушения кандидатом, политической партией требований установленных законодательством о выборах, соответствующая избирательная комиссия вправе вынести им письменное предупреждение о нарушении. В случае неоднократного нарушения (два или более раз) кандидатом, политической партией правил ведения предвыборной агитации,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а также в случае нарушения организацией телерадиовещания, редакцией периодического печатного издания, редакцией сетевого издания установленного порядка проведения предвыборной агитации избирательные комиссии обязаны обратиться в правоохранительные органы, суд, уполномоченный государственный орган в сфере информационной политики,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60"/>
        <w:ind w:firstLine="567"/>
        <w:jc w:val="both"/>
      </w:pPr>
      <w:r>
        <w:rPr>
          <w:rFonts w:ascii="Arial" w:cs="Arial" w:eastAsia="Arial" w:hAnsi="Arial"/>
          <w:sz w:val="24"/>
          <w:szCs w:val="24"/>
        </w:rPr>
        <w:t xml:space="preserve">35) в пункте 10.2. слова "по контролю за соблюдением правил ведения предвыборной агитации" исключить;</w:t>
      </w:r>
    </w:p>
    <w:p>
      <w:pPr>
        <w:spacing w:after="60"/>
        <w:ind w:firstLine="567"/>
        <w:jc w:val="both"/>
      </w:pPr>
      <w:r>
        <w:rPr>
          <w:rFonts w:ascii="Arial" w:cs="Arial" w:eastAsia="Arial" w:hAnsi="Arial"/>
          <w:sz w:val="24"/>
          <w:szCs w:val="24"/>
        </w:rPr>
        <w:t xml:space="preserve">36) пункт 10.3. дополнить абзацем вторым следующего содержания:</w:t>
      </w:r>
    </w:p>
    <w:p>
      <w:pPr>
        <w:spacing w:after="60"/>
        <w:ind w:firstLine="567"/>
        <w:jc w:val="both"/>
      </w:pPr>
      <w:r>
        <w:rPr>
          <w:rFonts w:ascii="Arial" w:cs="Arial" w:eastAsia="Arial" w:hAnsi="Arial"/>
          <w:sz w:val="24"/>
          <w:szCs w:val="24"/>
        </w:rPr>
        <w:t xml:space="preserve">"Телерадиоорганизации и редакции периодических печатных изданий (независимо от формы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обязаны вести отдельный учет их объема и стоимости в соответствии с формами к настоящему положению.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60"/>
        <w:ind w:firstLine="567"/>
        <w:jc w:val="both"/>
      </w:pPr>
      <w:r>
        <w:rPr>
          <w:rFonts w:ascii="Arial" w:cs="Arial" w:eastAsia="Arial" w:hAnsi="Arial"/>
          <w:sz w:val="24"/>
          <w:szCs w:val="24"/>
        </w:rPr>
        <w:t xml:space="preserve">37) Положение дополнить формами №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 согласно приложению.</w:t>
      </w:r>
    </w:p>
    <w:p>
      <w:pPr>
        <w:spacing w:after="60"/>
        <w:ind w:firstLine="567"/>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избирательной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Центральной комиссии по выборам и проведению референдумов Кыргызской Республики
 от 12 марта 2020 года № 72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1</w:t>
      </w:r>
    </w:p>
    <w:p>
      <w:pPr>
        <w:spacing w:after="400" w:before="400"/>
        <w:jc w:val="center"/>
      </w:pPr>
      <w:r>
        <w:rPr>
          <w:rFonts w:ascii="Arial" w:cs="Arial" w:eastAsia="Arial" w:hAnsi="Arial"/>
          <w:b/>
          <w:bCs/>
          <w:sz w:val="24"/>
          <w:szCs w:val="24"/>
        </w:rPr>
        <w:t xml:space="preserve">СВОДНЫЕ СВЕДЕНИЯ
 об объемах бесплатного эфирного времени, предоставленного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2680"/>
        <w:gridCol w:w="1592"/>
        <w:gridCol w:w="1209"/>
        <w:gridCol w:w="2815"/>
        <w:gridCol w:w="1561"/>
      </w:tblGrid>
      <w:tr>
        <w:tc>
          <w:tcPr>
            <w:tcW w:type="dxa" w:w="3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6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(политической партии)</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предвыборной агитации(1)</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выхода в эфир</w:t>
            </w:r>
          </w:p>
        </w:tc>
        <w:tc>
          <w:tcPr>
            <w:tcW w:type="dxa" w:w="28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предоставленного эфирного времени, мин., сек.</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заключения договора</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0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Итого(2)</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0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Формы предвыборной агитации: дебаты, дискуссия, интервью, выступления, телеочерк, видеофильм, иные не запрещенные законом формы.</w:t>
      </w:r>
    </w:p>
    <w:p>
      <w:pPr>
        <w:spacing w:after="60"/>
        <w:ind w:firstLine="567"/>
        <w:jc w:val="both"/>
      </w:pPr>
      <w:r>
        <w:rPr>
          <w:rFonts w:ascii="Arial" w:cs="Arial" w:eastAsia="Arial" w:hAnsi="Arial"/>
          <w:sz w:val="24"/>
          <w:szCs w:val="24"/>
        </w:rPr>
        <w:t xml:space="preserve">(2)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2</w:t>
      </w:r>
    </w:p>
    <w:p>
      <w:pPr>
        <w:spacing w:after="400" w:before="400"/>
        <w:jc w:val="center"/>
      </w:pPr>
      <w:r>
        <w:rPr>
          <w:rFonts w:ascii="Arial" w:cs="Arial" w:eastAsia="Arial" w:hAnsi="Arial"/>
          <w:b/>
          <w:bCs/>
          <w:sz w:val="24"/>
          <w:szCs w:val="24"/>
        </w:rPr>
        <w:t xml:space="preserve">СВОДНЫЕ СВЕДЕНИЯ
 об объемах и стоимости платного эфирного времени, предоставленного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2312"/>
        <w:gridCol w:w="1366"/>
        <w:gridCol w:w="1036"/>
        <w:gridCol w:w="2428"/>
        <w:gridCol w:w="1339"/>
        <w:gridCol w:w="1339"/>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предвыборной агитации(1)</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выхода в эфир</w:t>
            </w:r>
          </w:p>
        </w:tc>
        <w:tc>
          <w:tcPr>
            <w:tcW w:type="dxa" w:w="24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предоставленного эфирного времени, мин., сек.</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фактически предоставленного эфирного времени</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оплату (дата, номер платежного поручения)</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Формы предвыборной агитации: дебаты, дискуссия, интервью, выступления, телеочерк, видеофильм, иные не запрещенные законом формы.</w:t>
      </w:r>
    </w:p>
    <w:p>
      <w:pPr>
        <w:spacing w:after="60"/>
        <w:ind w:firstLine="567"/>
        <w:jc w:val="both"/>
      </w:pPr>
      <w:r>
        <w:rPr>
          <w:rFonts w:ascii="Arial" w:cs="Arial" w:eastAsia="Arial" w:hAnsi="Arial"/>
          <w:sz w:val="24"/>
          <w:szCs w:val="24"/>
        </w:rPr>
        <w:t xml:space="preserve">(2)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3</w:t>
      </w:r>
    </w:p>
    <w:p>
      <w:pPr>
        <w:spacing w:after="400" w:before="400"/>
        <w:jc w:val="center"/>
      </w:pPr>
      <w:r>
        <w:rPr>
          <w:rFonts w:ascii="Arial" w:cs="Arial" w:eastAsia="Arial" w:hAnsi="Arial"/>
          <w:b/>
          <w:bCs/>
          <w:sz w:val="24"/>
          <w:szCs w:val="24"/>
        </w:rPr>
        <w:t xml:space="preserve">СВОДНЫЕ СВЕДЕНИЯ
 об объемах бесплатной печатной площади, предоставленной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467"/>
        <w:gridCol w:w="3051"/>
        <w:gridCol w:w="1840"/>
        <w:gridCol w:w="2027"/>
        <w:gridCol w:w="489"/>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3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опубликования предвыборного агитационного материала и номер периодического печатного издания</w:t>
            </w:r>
          </w:p>
        </w:tc>
        <w:tc>
          <w:tcPr>
            <w:tcW w:type="dxa" w:w="1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предвыборного агитационного материала</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предоставленной печатной площади, кв.см</w:t>
            </w:r>
          </w:p>
        </w:tc>
        <w:tc>
          <w:tcPr>
            <w:tcW w:type="dxa" w:w="4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Тираж, экз.</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Итого(1)</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4</w:t>
      </w:r>
    </w:p>
    <w:p>
      <w:pPr>
        <w:spacing w:after="400" w:before="400"/>
        <w:jc w:val="center"/>
      </w:pPr>
      <w:r>
        <w:rPr>
          <w:rFonts w:ascii="Arial" w:cs="Arial" w:eastAsia="Arial" w:hAnsi="Arial"/>
          <w:b/>
          <w:bCs/>
          <w:sz w:val="24"/>
          <w:szCs w:val="24"/>
        </w:rPr>
        <w:t xml:space="preserve">СВОДНЫЕ СВЕДЕНИЯ
 об объемах и стоимости платной печатной площади, предоставленной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2097"/>
        <w:gridCol w:w="2121"/>
        <w:gridCol w:w="1724"/>
        <w:gridCol w:w="1447"/>
        <w:gridCol w:w="550"/>
        <w:gridCol w:w="1958"/>
      </w:tblGrid>
      <w:tr>
        <w:tc>
          <w:tcPr>
            <w:tcW w:type="dxa" w:w="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опубликования агитационного материала и номер периодического печатного издания</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предоставленной печатной площади, кв.см</w:t>
            </w:r>
          </w:p>
        </w:tc>
        <w:tc>
          <w:tcPr>
            <w:tcW w:type="dxa" w:w="14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фактически предоставленной печатной площади</w:t>
            </w:r>
          </w:p>
        </w:tc>
        <w:tc>
          <w:tcPr>
            <w:tcW w:type="dxa" w:w="5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Тираж, экз.</w:t>
            </w:r>
          </w:p>
        </w:tc>
        <w:tc>
          <w:tcPr>
            <w:tcW w:type="dxa" w:w="19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оплату (дата, номер платежного поручения)</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Итого(1)</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5</w:t>
      </w:r>
    </w:p>
    <w:p>
      <w:pPr>
        <w:spacing w:after="400" w:before="400"/>
        <w:jc w:val="center"/>
      </w:pPr>
      <w:r>
        <w:rPr>
          <w:rFonts w:ascii="Arial" w:cs="Arial" w:eastAsia="Arial" w:hAnsi="Arial"/>
          <w:b/>
          <w:bCs/>
          <w:sz w:val="24"/>
          <w:szCs w:val="24"/>
        </w:rPr>
        <w:t xml:space="preserve">СВОДНЫЕ СВЕДЕНИЯ
 об объемах и стоимости услуг по размещению предвыборных агитационных материалов в сетевом издании, оказанных
 ______________________________________________________________________________
 </w:t>
      </w:r>
      <w:r>
        <w:rPr>
          <w:rFonts w:ascii="Arial" w:cs="Arial" w:eastAsia="Arial" w:hAnsi="Arial"/>
          <w:sz w:val="24"/>
          <w:szCs w:val="24"/>
        </w:rPr>
        <w:t xml:space="preserve">(наименование сетевого издания)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1985"/>
        <w:gridCol w:w="1156"/>
        <w:gridCol w:w="1215"/>
        <w:gridCol w:w="1417"/>
        <w:gridCol w:w="841"/>
        <w:gridCol w:w="1462"/>
        <w:gridCol w:w="1828"/>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агитационного материала</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агитационного материала</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размещения агитационного материала (период)</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размещения</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Сетевой адрес размещенного агитационного материала</w:t>
            </w:r>
          </w:p>
        </w:tc>
        <w:tc>
          <w:tcPr>
            <w:tcW w:type="dxa" w:w="18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оплату (дата, номер платежного поручения)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Итого(1)</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Заполняется по каждому зарегистрированному кандидату, политической партии.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lmaoppos6xlcaehjdsz">
      <w:r>
        <w:rPr>
          <w:rFonts w:ascii="Arial" w:cs="Arial" w:eastAsia="Arial" w:hAnsi="Arial"/>
          <w:color w:val="132D3F"/>
          <w:sz w:val="16"/>
          <w:szCs w:val="16"/>
          <w:u w:val="single"/>
        </w:rPr>
        <w:t xml:space="preserve">dalil.kg/document/86195</w:t>
      </w:r>
    </w:hyperlink>
  </w:p>
  <w:p>
    <w:pPr>
      <w:spacing w:after="0" w:before="40"/>
      <w:jc w:val="center"/>
    </w:pPr>
    <w:hyperlink w:history="1" r:id="rIdewjj7q0khk-l2r3lxvc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2vwg7uehkioo9cr6oy8" Type="http://schemas.openxmlformats.org/officeDocument/2006/relationships/hyperlink" Target="https://dalil.kg/document/203100" TargetMode="External"/><Relationship Id="rIdla_1wpemepy1vayfwkbmq" Type="http://schemas.openxmlformats.org/officeDocument/2006/relationships/hyperlink" Target="https://dalil.kg/document/203103" TargetMode="External"/><Relationship Id="rIdcooazgjyu6uw67eaqgjxn" Type="http://schemas.openxmlformats.org/officeDocument/2006/relationships/hyperlink" Target="https://dalil.kg/document/111964" TargetMode="External"/><Relationship Id="rIdgpxcez1qp5ijrbtdyyrnj" Type="http://schemas.openxmlformats.org/officeDocument/2006/relationships/hyperlink" Target="https://dalil.kg/document/203103" TargetMode="External"/><Relationship Id="rIdv95wfig-ci1scvbpnhsi-" Type="http://schemas.openxmlformats.org/officeDocument/2006/relationships/hyperlink" Target="https://dalil.kg/document/30547" TargetMode="External"/><Relationship Id="rIdbsvdec97jlepxx0glo8dn" Type="http://schemas.openxmlformats.org/officeDocument/2006/relationships/hyperlink" Target="https://dalil.kg/document/30546" TargetMode="External"/><Relationship Id="rIdawcbsc5hpkwvgvugr5hvb" Type="http://schemas.openxmlformats.org/officeDocument/2006/relationships/hyperlink" Target="https://dalil.kg/document/30547" TargetMode="External"/><Relationship Id="rIddu53pryyppywcp9s5pucv"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lmaoppos6xlcaehjdsz" Type="http://schemas.openxmlformats.org/officeDocument/2006/relationships/hyperlink" Target="https://dalil.kg/document/86195" TargetMode="External"/><Relationship Id="rIdewjj7q0khk-l2r3lxvc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2026-09-30T23:23:02.357Z</dcterms:created>
  <dcterms:modified xsi:type="dcterms:W3CDTF">2026-09-30T23:23:02.357Z</dcterms:modified>
</cp:coreProperties>
</file>

<file path=docProps/custom.xml><?xml version="1.0" encoding="utf-8"?>
<Properties xmlns="http://schemas.openxmlformats.org/officeDocument/2006/custom-properties" xmlns:vt="http://schemas.openxmlformats.org/officeDocument/2006/docPropsVTypes"/>
</file>