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30 октября 2019 года № 3320-VI</w:t>
      </w:r>
    </w:p>
    <w:p>
      <w:pPr>
        <w:spacing w:after="120"/>
        <w:jc w:val="both"/>
      </w:pPr>
      <w:r>
        <w:rPr>
          <w:rFonts w:ascii="Arial" w:cs="Arial" w:eastAsia="Arial" w:hAnsi="Arial"/>
          <w:sz w:val="24"/>
          <w:szCs w:val="24"/>
        </w:rPr>
        <w:t xml:space="preserve">О работе Правительства Кыргызской Республики по подготовке отраслей экономики и населения Кыргызской Республики к осенне-зимнему периоду 2019/2020 года</w:t>
      </w:r>
    </w:p>
    <w:p>
      <w:pPr>
        <w:spacing w:after="120"/>
        <w:jc w:val="both"/>
      </w:pPr>
      <w:r>
        <w:rPr>
          <w:rFonts w:ascii="Arial" w:cs="Arial" w:eastAsia="Arial" w:hAnsi="Arial"/>
          <w:sz w:val="24"/>
          <w:szCs w:val="24"/>
        </w:rPr>
        <w:t xml:space="preserve">Заслушав и обсудив информацию первого вице-премьер-министра Кыргызской Республики К.А.Боронова о работе Правительства Кыргызской Республики по подготовке отраслей экономики и населения Кыргызской Республики к осенне-зимнему периоду 2019/2020 года, Жогорку Кенеш Кыргызской Республики отмечает следующее.</w:t>
      </w:r>
    </w:p>
    <w:p>
      <w:pPr>
        <w:spacing w:after="120"/>
        <w:jc w:val="both"/>
      </w:pPr>
      <w:r>
        <w:rPr>
          <w:rFonts w:ascii="Arial" w:cs="Arial" w:eastAsia="Arial" w:hAnsi="Arial"/>
          <w:sz w:val="24"/>
          <w:szCs w:val="24"/>
        </w:rPr>
        <w:t xml:space="preserve">Правительство Кыргызской Республики в соответствии с постановлениями </w:t>
      </w:r>
      <w:hyperlink w:history="1" r:id="rIdbq513z3hplmnjh6fiz5-v">
        <w:r>
          <w:rPr>
            <w:rFonts w:ascii="Arial" w:cs="Arial" w:eastAsia="Arial" w:hAnsi="Arial"/>
            <w:color w:val="1D4ED8"/>
            <w:sz w:val="24"/>
            <w:szCs w:val="24"/>
            <w:u w:val="single"/>
          </w:rPr>
          <w:t xml:space="preserve">от 3 мая 2019 года № 210</w:t>
        </w:r>
      </w:hyperlink>
      <w:r>
        <w:rPr>
          <w:rFonts w:ascii="Arial" w:cs="Arial" w:eastAsia="Arial" w:hAnsi="Arial"/>
          <w:sz w:val="24"/>
          <w:szCs w:val="24"/>
        </w:rPr>
        <w:t xml:space="preserve"> "О подготовке отраслей экономики и населения Кыргызской Республики к осенне-зимнему периоду 2019/2020 года" и </w:t>
      </w:r>
      <w:hyperlink w:history="1" r:id="rIdpm0iftco8bj_7dhzmei4e">
        <w:r>
          <w:rPr>
            <w:rFonts w:ascii="Arial" w:cs="Arial" w:eastAsia="Arial" w:hAnsi="Arial"/>
            <w:color w:val="1D4ED8"/>
            <w:sz w:val="24"/>
            <w:szCs w:val="24"/>
            <w:u w:val="single"/>
          </w:rPr>
          <w:t xml:space="preserve">от 14 октября 2019 года № 544</w:t>
        </w:r>
      </w:hyperlink>
      <w:r>
        <w:rPr>
          <w:rFonts w:ascii="Arial" w:cs="Arial" w:eastAsia="Arial" w:hAnsi="Arial"/>
          <w:sz w:val="24"/>
          <w:szCs w:val="24"/>
        </w:rPr>
        <w:t xml:space="preserve"> "О ходе подготовки отраслей экономики и населения Кыргызской Республики к осенне-зимнему периоду 2019/2020 года" принял План мероприятий для предприятий топливно-энергетического комплекса, министерств, административных ведомств, государственных комитетов, мэрий городов Бишкек, Ош и других органов исполнительной власти.</w:t>
      </w:r>
    </w:p>
    <w:p>
      <w:pPr>
        <w:spacing w:after="120"/>
        <w:jc w:val="both"/>
      </w:pPr>
      <w:r>
        <w:rPr>
          <w:rFonts w:ascii="Arial" w:cs="Arial" w:eastAsia="Arial" w:hAnsi="Arial"/>
          <w:sz w:val="24"/>
          <w:szCs w:val="24"/>
        </w:rPr>
        <w:t xml:space="preserve">По состоянию на 10 октября 2019 года в целом по республике заготовлено угля 485,7 тыс. тонн, в т.ч. населением заготовлено 369,877 тыс. тонн угля при текущем плане 535,495 тыс. тонн, что составляет 69,07%; бюджетными учреждениями заготовлено 116,116 тыс. тонн угля при текущем плане 143,915 тыс. тонн или 80,68%.</w:t>
      </w:r>
    </w:p>
    <w:p>
      <w:pPr>
        <w:spacing w:after="120"/>
        <w:jc w:val="both"/>
      </w:pPr>
      <w:r>
        <w:rPr>
          <w:rFonts w:ascii="Arial" w:cs="Arial" w:eastAsia="Arial" w:hAnsi="Arial"/>
          <w:sz w:val="24"/>
          <w:szCs w:val="24"/>
        </w:rPr>
        <w:t xml:space="preserve">На ТЭЦ города Бишкек по состоянию на 14 октября 2019 года поставлено 229,778 тыс. тонн, из них: местного Кара-Кечинского угля 199,964 тыс. тонн и импортного угля 29,814 тыс. тонн.</w:t>
      </w:r>
    </w:p>
    <w:p>
      <w:pPr>
        <w:spacing w:after="120"/>
        <w:jc w:val="both"/>
      </w:pPr>
      <w:r>
        <w:rPr>
          <w:rFonts w:ascii="Arial" w:cs="Arial" w:eastAsia="Arial" w:hAnsi="Arial"/>
          <w:sz w:val="24"/>
          <w:szCs w:val="24"/>
        </w:rPr>
        <w:t xml:space="preserve">На ТЭЦ города Ош по состоянию на 10 октября 2019 года остатки топочного мазута составляют 4,108 тыс. тонн. Поставка проводится ОАО "Кыргызнефтегаз" по Договору ответственного хранения.</w:t>
      </w:r>
    </w:p>
    <w:p>
      <w:pPr>
        <w:spacing w:after="120"/>
        <w:jc w:val="both"/>
      </w:pPr>
      <w:r>
        <w:rPr>
          <w:rFonts w:ascii="Arial" w:cs="Arial" w:eastAsia="Arial" w:hAnsi="Arial"/>
          <w:sz w:val="24"/>
          <w:szCs w:val="24"/>
        </w:rPr>
        <w:t xml:space="preserve">В сети ОАО "Бишкектеплосеть" по состоянию на 1 октября 2019 года поступило 1124,96 тыс. Гкал тепловой энергии. Дебиторская задолженность потребителей тепловой энергии по состоянию на 1 октября 2019 года составила 172,05 млн. сомов и по сравнению с началом года уменьшилась на 226,9 млн. сом (задолженность на 1 января 2019 года - 398,94 млн. сом). Сбор платежей составил 1497,0 млн. сом, что составляет 117,4% от реализованной товарной продукции.</w:t>
      </w:r>
    </w:p>
    <w:p>
      <w:pPr>
        <w:spacing w:after="120"/>
        <w:jc w:val="both"/>
      </w:pPr>
      <w:r>
        <w:rPr>
          <w:rFonts w:ascii="Arial" w:cs="Arial" w:eastAsia="Arial" w:hAnsi="Arial"/>
          <w:sz w:val="24"/>
          <w:szCs w:val="24"/>
        </w:rPr>
        <w:t xml:space="preserve">Выработка КП "Бишкектеплоэнерго" тепловой энергии составила 119,53 тыс. Гкал. Потери тепловой энергии при плане 29,95 тыс. Гкал фактически составили 24,02 тыс. Гкал, что на 5,93 тыс. Гкал меньше плана. Дебиторская задолженность по состоянию на 1 октября 2019 года составила 57,487 млн. сомов и с начала года уменьшилась на 30,827 млн. сом. На 1 октября 2019 года заготовлено 1,894 тыс. тонн угля.</w:t>
      </w:r>
    </w:p>
    <w:p>
      <w:pPr>
        <w:spacing w:after="120"/>
        <w:jc w:val="both"/>
      </w:pPr>
      <w:r>
        <w:rPr>
          <w:rFonts w:ascii="Arial" w:cs="Arial" w:eastAsia="Arial" w:hAnsi="Arial"/>
          <w:sz w:val="24"/>
          <w:szCs w:val="24"/>
        </w:rPr>
        <w:t xml:space="preserve">ГП "Кыргызтеплоэнерго" на 10 октября 2018 года заготовлено угля 27,621 тыс. тонн угля, топочного мазута по состоянию на 14 октября 2019 года заготовлено 11,634 тыс. тонн, на ремонтные работы котельных и тепловых сетей освоено 106049,2 тыс. сом. За 9 месяцев 2019 года выработка тепловой энергии составила 268,64 тыс. Гкал.</w:t>
      </w:r>
    </w:p>
    <w:p>
      <w:pPr>
        <w:spacing w:after="120"/>
        <w:jc w:val="both"/>
      </w:pPr>
      <w:r>
        <w:rPr>
          <w:rFonts w:ascii="Arial" w:cs="Arial" w:eastAsia="Arial" w:hAnsi="Arial"/>
          <w:sz w:val="24"/>
          <w:szCs w:val="24"/>
        </w:rPr>
        <w:t xml:space="preserve">В ОсОО "Газпром Кыргызстан" за 9 месяцев 2019 года поступило для реализации 184 млн. м3 природного газа. Инвестиционная программа ОсОО "Газпром Кыргызстан" на 2019 год включает 19 инвестиционных проектов.</w:t>
      </w:r>
    </w:p>
    <w:p>
      <w:pPr>
        <w:spacing w:after="120"/>
        <w:jc w:val="both"/>
      </w:pPr>
      <w:r>
        <w:rPr>
          <w:rFonts w:ascii="Arial" w:cs="Arial" w:eastAsia="Arial" w:hAnsi="Arial"/>
          <w:sz w:val="24"/>
          <w:szCs w:val="24"/>
        </w:rPr>
        <w:t xml:space="preserve">По угледобывающей отрасли за январь-сентябрь 2019 года объем промышленной продукции составил 1719,38 млн. сомов, при этом добыто 1244,28 тыс. тонн угля. По северному региону добыча составила 414,47 тыс. тонн, по южному региону - 829,81 тыс. тонн.</w:t>
      </w:r>
    </w:p>
    <w:p>
      <w:pPr>
        <w:spacing w:after="120"/>
        <w:jc w:val="both"/>
      </w:pPr>
      <w:r>
        <w:rPr>
          <w:rFonts w:ascii="Arial" w:cs="Arial" w:eastAsia="Arial" w:hAnsi="Arial"/>
          <w:sz w:val="24"/>
          <w:szCs w:val="24"/>
        </w:rPr>
        <w:t xml:space="preserve">По состоянию на 14 октября 2019 года отметка Токтогульского водохранилища составила 892,03 м, с объемом 17,256 млрд. м3, что меньше на 1,966 млрд. м3 по сравнению с аналогичной датой 2018 года, составлявшей 19,222 млрд. м3 при отметке 899,17 м.</w:t>
      </w:r>
    </w:p>
    <w:p>
      <w:pPr>
        <w:spacing w:after="120"/>
        <w:jc w:val="both"/>
      </w:pPr>
      <w:r>
        <w:rPr>
          <w:rFonts w:ascii="Arial" w:cs="Arial" w:eastAsia="Arial" w:hAnsi="Arial"/>
          <w:sz w:val="24"/>
          <w:szCs w:val="24"/>
        </w:rPr>
        <w:t xml:space="preserve">В рамках товарообмена электроэнергией в Казахстан в период июль-август 2019 года поставлено 269,2 млн. кВтч электроэнергии, что эквивалентно 293,1 млн. м3 попускам воды с Уч-Курганской ГЭС. С 18 сентября 2019 года начат возврат электроэнергии из Казахстана в Кыргызстан и по состоянию на 14 октября 2019 года составил 116,9 млн. кВтч.</w:t>
      </w:r>
    </w:p>
    <w:p>
      <w:pPr>
        <w:spacing w:after="120"/>
        <w:jc w:val="both"/>
      </w:pPr>
      <w:r>
        <w:rPr>
          <w:rFonts w:ascii="Arial" w:cs="Arial" w:eastAsia="Arial" w:hAnsi="Arial"/>
          <w:sz w:val="24"/>
          <w:szCs w:val="24"/>
        </w:rPr>
        <w:t xml:space="preserve">Необходимо отметить вопрос водно-энергетических отношений в Центральной Азии, который заслуживает отдельного внимания в условиях вхождения страны в маловодный период. В настоящее время Кыргызстан в рамках существующих отношений с соседними государствами не получает адекватной экономической компенсации за услуги по накоплению и сохранению водных ресурсов, необходимых для всего региона.</w:t>
      </w:r>
    </w:p>
    <w:p>
      <w:pPr>
        <w:spacing w:after="120"/>
        <w:jc w:val="both"/>
      </w:pPr>
      <w:r>
        <w:rPr>
          <w:rFonts w:ascii="Arial" w:cs="Arial" w:eastAsia="Arial" w:hAnsi="Arial"/>
          <w:sz w:val="24"/>
          <w:szCs w:val="24"/>
        </w:rPr>
        <w:t xml:space="preserve">Выработка электроэнергии ОАО "Электрические станции" по состоянию на 1 октября 2019 года составила 10547,4 млн. кВтч, что на 248,6 млн. кВтч или 2,3% меньше показателя за аналогичный период 2018 года (10796 млн. кВтч), в том числе:</w:t>
      </w:r>
    </w:p>
    <w:p>
      <w:pPr>
        <w:spacing w:after="120"/>
        <w:jc w:val="both"/>
      </w:pPr>
      <w:r>
        <w:rPr>
          <w:rFonts w:ascii="Arial" w:cs="Arial" w:eastAsia="Arial" w:hAnsi="Arial"/>
          <w:sz w:val="24"/>
          <w:szCs w:val="24"/>
        </w:rPr>
        <w:t xml:space="preserve">- на ГЭС объем выработки электроэнергии составил 9789,2 млн. кВтч, что на 203,6 млн. кВтч или 2% меньше показателя 2018 года (9992,8 млн. кВтч);</w:t>
      </w:r>
    </w:p>
    <w:p>
      <w:pPr>
        <w:spacing w:after="120"/>
        <w:jc w:val="both"/>
      </w:pPr>
      <w:r>
        <w:rPr>
          <w:rFonts w:ascii="Arial" w:cs="Arial" w:eastAsia="Arial" w:hAnsi="Arial"/>
          <w:sz w:val="24"/>
          <w:szCs w:val="24"/>
        </w:rPr>
        <w:t xml:space="preserve">- на ТЭЦ объем выработки электроэнергии составил 758,2 млн. кВтч, что на 45,0 млн. кВтч или 5,6% меньше показателя 2018 года (803,2 млн. кВтч).</w:t>
      </w:r>
    </w:p>
    <w:p>
      <w:pPr>
        <w:spacing w:after="120"/>
        <w:jc w:val="both"/>
      </w:pPr>
      <w:r>
        <w:rPr>
          <w:rFonts w:ascii="Arial" w:cs="Arial" w:eastAsia="Arial" w:hAnsi="Arial"/>
          <w:sz w:val="24"/>
          <w:szCs w:val="24"/>
        </w:rPr>
        <w:t xml:space="preserve">Выработка тепловой энергии составила 1229,9 тыс. Гкал, что на 86,1 тыс. Гкал или 6,5% меньше показателя за аналогичный период 2018 года (1316 тыс. Гкал).</w:t>
      </w:r>
    </w:p>
    <w:p>
      <w:pPr>
        <w:spacing w:after="120"/>
        <w:jc w:val="both"/>
      </w:pPr>
      <w:r>
        <w:rPr>
          <w:rFonts w:ascii="Arial" w:cs="Arial" w:eastAsia="Arial" w:hAnsi="Arial"/>
          <w:sz w:val="24"/>
          <w:szCs w:val="24"/>
        </w:rPr>
        <w:t xml:space="preserve">Выработка электроэнергии ОАО "Чакан ГЭС" по состоянию на 1 октября 2019 года составила 123,7 млн. кВтч, что на 11,9 млн. кВтч или 8,7% меньше показателя за аналогичный период 2018 года (135,6 млн. кВтч).</w:t>
      </w:r>
    </w:p>
    <w:p>
      <w:pPr>
        <w:spacing w:after="120"/>
        <w:jc w:val="both"/>
      </w:pPr>
      <w:r>
        <w:rPr>
          <w:rFonts w:ascii="Arial" w:cs="Arial" w:eastAsia="Arial" w:hAnsi="Arial"/>
          <w:sz w:val="24"/>
          <w:szCs w:val="24"/>
        </w:rPr>
        <w:t xml:space="preserve">Потери электроэнергии в сетях распределительных энергокомпаний (далее - РЭК) за январь-сентябрь 2019 года составили 10,9% или 909,2 млн. кВтч, что меньше на 0,8% от норматива (11,7%) и меньше на 0,8% аналогичного периода 2018 года, когда потери составляли 11,7% или 963,8 млн. кВтч.</w:t>
      </w:r>
    </w:p>
    <w:p>
      <w:pPr>
        <w:spacing w:after="120"/>
        <w:jc w:val="both"/>
      </w:pPr>
      <w:r>
        <w:rPr>
          <w:rFonts w:ascii="Arial" w:cs="Arial" w:eastAsia="Arial" w:hAnsi="Arial"/>
          <w:sz w:val="24"/>
          <w:szCs w:val="24"/>
        </w:rPr>
        <w:t xml:space="preserve">За январь-сентябрь 2019 года в сети РЭК поступило 8319,4 млн. кВтч электроэнергии, потребителям полезно отпущено 7358,9 млн. кВтч электроэнергии. Товарная продукция составила 9891,5 млн. сом, сбор денежных средств за отпущенную электроэнергию по РЭК составил 10274,0 млн. сом.</w:t>
      </w:r>
    </w:p>
    <w:p>
      <w:pPr>
        <w:spacing w:after="120"/>
        <w:jc w:val="both"/>
      </w:pPr>
      <w:r>
        <w:rPr>
          <w:rFonts w:ascii="Arial" w:cs="Arial" w:eastAsia="Arial" w:hAnsi="Arial"/>
          <w:sz w:val="24"/>
          <w:szCs w:val="24"/>
        </w:rPr>
        <w:t xml:space="preserve">Дебиторская задолженность потребителей на 1 октября 2019 года перед РЭК составляет 1037,5 млн. сом (на 1 января 2019 года 1481,6 млн. сом) и уменьшилась за январь-сентябрь 2019 года на 444,1 млн. сом или 30,0%. При этом дебиторская задолженность за январь-сентябрь 2019 года по населению уменьшилась на 352,9 млн. сом или на 44,0% и по состоянию на 1 октября 2019 года составила 448,5 млн. сом.</w:t>
      </w:r>
    </w:p>
    <w:p>
      <w:pPr>
        <w:spacing w:after="120"/>
        <w:jc w:val="both"/>
      </w:pPr>
      <w:r>
        <w:rPr>
          <w:rFonts w:ascii="Arial" w:cs="Arial" w:eastAsia="Arial" w:hAnsi="Arial"/>
          <w:sz w:val="24"/>
          <w:szCs w:val="24"/>
        </w:rPr>
        <w:t xml:space="preserve">За 9 месяцев 2019 года технические потери электроэнергии составили в электрических сетях ОАО "НЭС Кыргызстана" 560,87 млн. кВтч или 5,48% от поступления электроэнергии в сеть 10238,52 млн. кВтч.</w:t>
      </w:r>
    </w:p>
    <w:p>
      <w:pPr>
        <w:spacing w:after="120"/>
        <w:jc w:val="both"/>
      </w:pPr>
      <w:r>
        <w:rPr>
          <w:rFonts w:ascii="Arial" w:cs="Arial" w:eastAsia="Arial" w:hAnsi="Arial"/>
          <w:sz w:val="24"/>
          <w:szCs w:val="24"/>
        </w:rPr>
        <w:t xml:space="preserve">Количество аварийных отключений за январь-сентябрь 2019 года в сетях РЭК составило 3418 отключений и по сравнению с аналогичным периодом 2018 года уменьшилось на 487 отключений или 12,5%. В ОАО "Электрические станции" произошло 14 нарушений в работе оборудования. В сетях ОАО "НЭС Кыргызстана" произошло 29 отключений, квалифицированных как нарушения.</w:t>
      </w:r>
    </w:p>
    <w:p>
      <w:pPr>
        <w:spacing w:after="120"/>
        <w:jc w:val="both"/>
      </w:pPr>
      <w:r>
        <w:rPr>
          <w:rFonts w:ascii="Arial" w:cs="Arial" w:eastAsia="Arial" w:hAnsi="Arial"/>
          <w:sz w:val="24"/>
          <w:szCs w:val="24"/>
        </w:rPr>
        <w:t xml:space="preserve">Учитывая информацию Правительства Кыргызской Республики о готовности отраслей экономики и населения Кыргызской Республики к осенне-зимнему периоду 2019/2020 года, а также в целях надежного функционирования топливно-энергетического комплекса республики Жогорку Кенеш Кыргызской Республики</w:t>
      </w:r>
    </w:p>
    <w:p>
      <w:pPr>
        <w:spacing w:after="120"/>
        <w:jc w:val="both"/>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Информацию первого вице-премьер-министра Кыргызской Республики К.А.Боронова о работе Правительства Кыргызской Республики по подготовке отраслей экономики и населения Кыргызской Республики к осенне-зимнему периоду 2019/2020 года принять к сведению.</w:t>
      </w:r>
    </w:p>
    <w:p>
      <w:pPr>
        <w:spacing w:after="120"/>
        <w:jc w:val="both"/>
      </w:pPr>
      <w:r>
        <w:rPr>
          <w:rFonts w:ascii="Arial" w:cs="Arial" w:eastAsia="Arial" w:hAnsi="Arial"/>
          <w:sz w:val="24"/>
          <w:szCs w:val="24"/>
        </w:rPr>
        <w:t xml:space="preserve">2. Правительству Кыргызской Республики рекомендовать:</w:t>
      </w:r>
    </w:p>
    <w:p>
      <w:pPr>
        <w:spacing w:after="120"/>
        <w:jc w:val="both"/>
      </w:pPr>
      <w:r>
        <w:rPr>
          <w:rFonts w:ascii="Arial" w:cs="Arial" w:eastAsia="Arial" w:hAnsi="Arial"/>
          <w:sz w:val="24"/>
          <w:szCs w:val="24"/>
        </w:rPr>
        <w:t xml:space="preserve">- принять меры по обеспечению министерствами, ведомствами, аппаратами полномочных представителей Правительства Кыргызской Республики в областях, органами местного самоуправления, мэриями городов Бишкек и Ош выполнения графика заготовки топлива, соблюдения установленных лимитов потребления электрической энергии и мощности;</w:t>
      </w:r>
    </w:p>
    <w:p>
      <w:pPr>
        <w:spacing w:after="120"/>
        <w:jc w:val="both"/>
      </w:pPr>
      <w:r>
        <w:rPr>
          <w:rFonts w:ascii="Arial" w:cs="Arial" w:eastAsia="Arial" w:hAnsi="Arial"/>
          <w:sz w:val="24"/>
          <w:szCs w:val="24"/>
        </w:rPr>
        <w:t xml:space="preserve">- обеспечить устойчивую параллельную работу энергосистемы республики в составе объединенной энергетической системы Центральной Азии;</w:t>
      </w:r>
    </w:p>
    <w:p>
      <w:pPr>
        <w:spacing w:after="120"/>
        <w:jc w:val="both"/>
      </w:pPr>
      <w:r>
        <w:rPr>
          <w:rFonts w:ascii="Arial" w:cs="Arial" w:eastAsia="Arial" w:hAnsi="Arial"/>
          <w:sz w:val="24"/>
          <w:szCs w:val="24"/>
        </w:rPr>
        <w:t xml:space="preserve">- обеспечить устойчивую работу энергосистемы и бесперебойное обеспечение экономики и населения республики электрической, тепловой энергией и природным газом в осенне-зимний период 2019/2020 года;</w:t>
      </w:r>
    </w:p>
    <w:p>
      <w:pPr>
        <w:spacing w:after="120"/>
        <w:jc w:val="both"/>
      </w:pPr>
      <w:r>
        <w:rPr>
          <w:rFonts w:ascii="Arial" w:cs="Arial" w:eastAsia="Arial" w:hAnsi="Arial"/>
          <w:sz w:val="24"/>
          <w:szCs w:val="24"/>
        </w:rPr>
        <w:t xml:space="preserve">- в полном объеме осуществлять выделение финансовых средств, предусмотренных Законом Кыргызской Республики "О республиканском бюджете Кыргызской Республики на 2019 год и прогнозе на 2020/2021 годы", на оплату коммунальных услуг, в соответствии с ежемесячным финансовым планом ресурсов, доходов и бюджетных расходов;</w:t>
      </w:r>
    </w:p>
    <w:p>
      <w:pPr>
        <w:spacing w:after="120"/>
        <w:jc w:val="both"/>
      </w:pPr>
      <w:r>
        <w:rPr>
          <w:rFonts w:ascii="Arial" w:cs="Arial" w:eastAsia="Arial" w:hAnsi="Arial"/>
          <w:sz w:val="24"/>
          <w:szCs w:val="24"/>
        </w:rPr>
        <w:t xml:space="preserve">- обеспечить своевременное погашение дебиторской задолженности бюджетных учреждений за потребленную электрическую, тепловую энергию и природный газ;</w:t>
      </w:r>
    </w:p>
    <w:p>
      <w:pPr>
        <w:spacing w:after="120"/>
        <w:jc w:val="both"/>
      </w:pPr>
      <w:r>
        <w:rPr>
          <w:rFonts w:ascii="Arial" w:cs="Arial" w:eastAsia="Arial" w:hAnsi="Arial"/>
          <w:sz w:val="24"/>
          <w:szCs w:val="24"/>
        </w:rPr>
        <w:t xml:space="preserve">- принять необходимые меры по недопущению аварийных отключений потребителей тепловой и электрической энергии в период прохождения осенне-зимнего периода 2019/2020 года;</w:t>
      </w:r>
    </w:p>
    <w:p>
      <w:pPr>
        <w:spacing w:after="120"/>
        <w:jc w:val="both"/>
      </w:pPr>
      <w:r>
        <w:rPr>
          <w:rFonts w:ascii="Arial" w:cs="Arial" w:eastAsia="Arial" w:hAnsi="Arial"/>
          <w:sz w:val="24"/>
          <w:szCs w:val="24"/>
        </w:rPr>
        <w:t xml:space="preserve">- обеспечить качественное и своевременное завершение предприятиями топливно-энергетического комплекса текущих и капитальных работ, работ по реконструкции и капитальному строительству, в соответствии с утвержденными заданиями, планами и графиками;</w:t>
      </w:r>
    </w:p>
    <w:p>
      <w:pPr>
        <w:spacing w:after="120"/>
        <w:jc w:val="both"/>
      </w:pPr>
      <w:r>
        <w:rPr>
          <w:rFonts w:ascii="Arial" w:cs="Arial" w:eastAsia="Arial" w:hAnsi="Arial"/>
          <w:sz w:val="24"/>
          <w:szCs w:val="24"/>
        </w:rPr>
        <w:t xml:space="preserve">- обеспечить поддержание оптимальных режимов работы станций, вырабатывающих тепловую и электрическую энергию, в соответствии с водно-энергетическими расчетами, утвержденными заданиями, планами и графиками по накоплению воды, выработке тепловой, электрической энергии и мощности, учитывая наступление маловодного периода;</w:t>
      </w:r>
    </w:p>
    <w:p>
      <w:pPr>
        <w:spacing w:after="120"/>
        <w:jc w:val="both"/>
      </w:pPr>
      <w:r>
        <w:rPr>
          <w:rFonts w:ascii="Arial" w:cs="Arial" w:eastAsia="Arial" w:hAnsi="Arial"/>
          <w:sz w:val="24"/>
          <w:szCs w:val="24"/>
        </w:rPr>
        <w:t xml:space="preserve">- увеличить использование до 70,0 тыс. тонн отечественного угля марки ДСШ и до 700,0 тыс. тонн отечественного угля марки БР, БЗ на ТЭЦ города Бишкек;</w:t>
      </w:r>
    </w:p>
    <w:p>
      <w:pPr>
        <w:spacing w:after="120"/>
        <w:jc w:val="both"/>
      </w:pPr>
      <w:r>
        <w:rPr>
          <w:rFonts w:ascii="Arial" w:cs="Arial" w:eastAsia="Arial" w:hAnsi="Arial"/>
          <w:sz w:val="24"/>
          <w:szCs w:val="24"/>
        </w:rPr>
        <w:t xml:space="preserve">- передать муниципальное предприятие "Токмок Жылуулук", а также рассмотреть возможность передачи Ошского муниципального предприятия "Теплоснабжение" государственному предприятию "Кыргызтеплоэнерго" при Государственном комитете промышленности, энергетики и недропользования Кыргызской Республики;</w:t>
      </w:r>
    </w:p>
    <w:p>
      <w:pPr>
        <w:spacing w:after="120"/>
        <w:jc w:val="both"/>
      </w:pPr>
      <w:r>
        <w:rPr>
          <w:rFonts w:ascii="Arial" w:cs="Arial" w:eastAsia="Arial" w:hAnsi="Arial"/>
          <w:sz w:val="24"/>
          <w:szCs w:val="24"/>
        </w:rPr>
        <w:t xml:space="preserve">- решить вопрос электроснабжения села Жазы-Кечуу Базар-Коргонского района Джалал-Абадской области до октября 2020 года.</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Комитет Жогорку Кенеша Кыргызской Республики по топливно-энергетическому комплексу и недропользованию.</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7vw4tibq1fe52yghafbk">
      <w:r>
        <w:rPr>
          <w:rFonts w:ascii="Arial" w:cs="Arial" w:eastAsia="Arial" w:hAnsi="Arial"/>
          <w:color w:val="132D3F"/>
          <w:sz w:val="16"/>
          <w:szCs w:val="16"/>
          <w:u w:val="single"/>
        </w:rPr>
        <w:t xml:space="preserve">dalil.kg/document/87084</w:t>
      </w:r>
    </w:hyperlink>
  </w:p>
  <w:p>
    <w:pPr>
      <w:spacing w:after="0" w:before="40"/>
      <w:jc w:val="center"/>
    </w:pPr>
    <w:hyperlink w:history="1" r:id="rIdgexh-7zrdtm2xxkeuuoy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q513z3hplmnjh6fiz5-v" Type="http://schemas.openxmlformats.org/officeDocument/2006/relationships/hyperlink" Target="https://dalil.kg/document/14106" TargetMode="External"/><Relationship Id="rIdpm0iftco8bj_7dhzmei4e" Type="http://schemas.openxmlformats.org/officeDocument/2006/relationships/hyperlink" Target="https://dalil.kg/document/15720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7vw4tibq1fe52yghafbk" Type="http://schemas.openxmlformats.org/officeDocument/2006/relationships/hyperlink" Target="https://dalil.kg/document/87084" TargetMode="External"/><Relationship Id="rIdgexh-7zrdtm2xxkeuuoy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2026-10-01T09:35:47.470Z</dcterms:created>
  <dcterms:modified xsi:type="dcterms:W3CDTF">2026-10-01T09:35:47.470Z</dcterms:modified>
</cp:coreProperties>
</file>

<file path=docProps/custom.xml><?xml version="1.0" encoding="utf-8"?>
<Properties xmlns="http://schemas.openxmlformats.org/officeDocument/2006/custom-properties" xmlns:vt="http://schemas.openxmlformats.org/officeDocument/2006/docPropsVTypes"/>
</file>