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июня 2020 года № 3827-VI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биоэтаноле"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биоэтаноле", инициированный Правительством Кыргызской Республики (</w:t>
      </w:r>
      <w:hyperlink w:history="1" r:id="rIdltuivc4hk2z9fsv1nigx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28 сентября 2018 года № 449).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0l7klqizvtsv0qnhvpy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dalil.kg/document/87532</w:t>
      </w:r>
    </w:hyperlink>
  </w:p>
  <w:p>
    <w:pPr>
      <w:spacing w:after="0" w:before="40"/>
      <w:jc w:val="center"/>
    </w:pPr>
    <w:hyperlink w:history="1" r:id="rId8jgktidwu0z6niquc3-k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tuivc4hk2z9fsv1nigxy" Type="http://schemas.openxmlformats.org/officeDocument/2006/relationships/hyperlink" Target="https://dalil.kg/document/1261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0l7klqizvtsv0qnhvpyh" Type="http://schemas.openxmlformats.org/officeDocument/2006/relationships/hyperlink" Target="https://dalil.kg/document/87532" TargetMode="External"/><Relationship Id="rId8jgktidwu0z6niquc3-k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2026-09-30T18:13:28.547Z</dcterms:created>
  <dcterms:modified xsi:type="dcterms:W3CDTF">2026-09-30T18:13:28.547Z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