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15 декабря 2021 года № 2021-П-12/70-3-(НПА)</w:t>
      </w:r>
    </w:p>
    <w:p>
      <w:pPr>
        <w:spacing w:after="120"/>
        <w:jc w:val="both"/>
      </w:pPr>
      <w:r>
        <w:rPr>
          <w:rFonts w:ascii="Arial" w:cs="Arial" w:eastAsia="Arial" w:hAnsi="Arial"/>
          <w:sz w:val="24"/>
          <w:szCs w:val="24"/>
        </w:rPr>
        <w:t xml:space="preserve"> О внесении изменений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w:t>
      </w:r>
      <w:hyperlink w:history="1" r:id="rIddelepsjy87dyczna8o_43">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_rgosbgctlxuai4hpzqli">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(прилагаются):</w:t>
      </w:r>
    </w:p>
    <w:p>
      <w:pPr>
        <w:spacing w:after="120"/>
        <w:jc w:val="both"/>
      </w:pPr>
      <w:r>
        <w:rPr>
          <w:rFonts w:ascii="Arial" w:cs="Arial" w:eastAsia="Arial" w:hAnsi="Arial"/>
          <w:sz w:val="24"/>
          <w:szCs w:val="24"/>
        </w:rPr>
        <w:t xml:space="preserve">- "Об утверждении </w:t>
      </w:r>
      <w:hyperlink w:history="1" r:id="rIdaqxpwoswmqf99v1agtke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w:t>
      </w:r>
      <w:hyperlink w:history="1" r:id="rIdvfov5dqnrydu1mq5vfvuf">
        <w:r>
          <w:rPr>
            <w:rFonts w:ascii="Arial" w:cs="Arial" w:eastAsia="Arial" w:hAnsi="Arial"/>
            <w:color w:val="1D4ED8"/>
            <w:sz w:val="24"/>
            <w:szCs w:val="24"/>
            <w:u w:val="single"/>
          </w:rPr>
          <w:t xml:space="preserve">21 июля 2004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w:t>
      </w:r>
      <w:hyperlink w:history="1" r:id="rIdzlr62yb8yeus4qskpebsk">
        <w:r>
          <w:rPr>
            <w:rFonts w:ascii="Arial" w:cs="Arial" w:eastAsia="Arial" w:hAnsi="Arial"/>
            <w:color w:val="1D4ED8"/>
            <w:sz w:val="24"/>
            <w:szCs w:val="24"/>
            <w:u w:val="single"/>
          </w:rPr>
          <w:t xml:space="preserve">25 августа 2005 года № 26/5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uhpxigig4hydwnkwliz79">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w:t>
      </w:r>
      <w:hyperlink w:history="1" r:id="rIdj1mcq8r1e_iuhpldbt-ec">
        <w:r>
          <w:rPr>
            <w:rFonts w:ascii="Arial" w:cs="Arial" w:eastAsia="Arial" w:hAnsi="Arial"/>
            <w:color w:val="1D4ED8"/>
            <w:sz w:val="24"/>
            <w:szCs w:val="24"/>
            <w:u w:val="single"/>
          </w:rPr>
          <w:t xml:space="preserve">28 декабря 2009 года № 51/4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cslcarcfb2jpblqn3edm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w:t>
      </w:r>
      <w:hyperlink w:history="1" r:id="rId7vwbuyvbnaekci4ts84rb">
        <w:r>
          <w:rPr>
            <w:rFonts w:ascii="Arial" w:cs="Arial" w:eastAsia="Arial" w:hAnsi="Arial"/>
            <w:color w:val="1D4ED8"/>
            <w:sz w:val="24"/>
            <w:szCs w:val="24"/>
            <w:u w:val="single"/>
          </w:rPr>
          <w:t xml:space="preserve">30 марта 2011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с 1 января 2022 года.</w:t>
      </w:r>
    </w:p>
    <w:p>
      <w:pPr>
        <w:spacing w:after="120"/>
        <w:jc w:val="both"/>
      </w:pPr>
      <w:r>
        <w:rPr>
          <w:rFonts w:ascii="Arial" w:cs="Arial" w:eastAsia="Arial" w:hAnsi="Arial"/>
          <w:sz w:val="24"/>
          <w:szCs w:val="24"/>
        </w:rPr>
        <w:t xml:space="preserve">3. Установить срок исполнения банками, осуществляющими операции в соответствии с исламскими принципами банковского дела и финансирования, требований по расчету коэффициента адекватности суммарного капитала (К2.1) с учетом капитала, необходимого для покрытия операционных рисков, предусмотренного в пункте 6 </w:t>
      </w:r>
      <w:hyperlink w:history="1" r:id="rIdz6kiqtkwuev56a51kl8c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осуществляющих операции в соответствии с исламскими принципами банковского дела и финансирования, с 1 июля 2022 года.</w:t>
      </w:r>
    </w:p>
    <w:p>
      <w:pPr>
        <w:spacing w:after="120"/>
        <w:jc w:val="both"/>
      </w:pPr>
      <w:r>
        <w:rPr>
          <w:rFonts w:ascii="Arial" w:cs="Arial" w:eastAsia="Arial" w:hAnsi="Arial"/>
          <w:sz w:val="24"/>
          <w:szCs w:val="24"/>
        </w:rPr>
        <w:t xml:space="preserve">4. Установить срок исполнения банками, осуществляющими операции в соответствии с исламскими принципами банковского дела и финансирования, требований по расчету коэффициента левеража (К2.4), предусмотренного в пункте 9 </w:t>
      </w:r>
      <w:hyperlink w:history="1" r:id="rId3orbgbaonk_tfbbo04cp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осуществляющих операции в соответствии с исламскими принципами банковского дела и финансирования, с 1 января 2023 года.</w:t>
      </w:r>
    </w:p>
    <w:p>
      <w:pPr>
        <w:spacing w:after="120"/>
        <w:jc w:val="both"/>
      </w:pPr>
      <w:r>
        <w:rPr>
          <w:rFonts w:ascii="Arial" w:cs="Arial" w:eastAsia="Arial" w:hAnsi="Arial"/>
          <w:sz w:val="24"/>
          <w:szCs w:val="24"/>
        </w:rPr>
        <w:t xml:space="preserve">5. Установить для банков, осуществляющих операции в соответствии с исламскими принципами банковского дела и финансирования, соблюдение значений:</w:t>
      </w:r>
    </w:p>
    <w:p>
      <w:pPr>
        <w:spacing w:after="120"/>
        <w:jc w:val="both"/>
      </w:pPr>
      <w:r>
        <w:rPr>
          <w:rFonts w:ascii="Arial" w:cs="Arial" w:eastAsia="Arial" w:hAnsi="Arial"/>
          <w:sz w:val="24"/>
          <w:szCs w:val="24"/>
        </w:rPr>
        <w:t xml:space="preserve">1) коэффициента достаточности (адекватности) капитала первого уровня (К2.2), предусмотренного в пункте 3.2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120"/>
        <w:jc w:val="both"/>
      </w:pPr>
      <w:r>
        <w:rPr>
          <w:rFonts w:ascii="Arial" w:cs="Arial" w:eastAsia="Arial" w:hAnsi="Arial"/>
          <w:sz w:val="24"/>
          <w:szCs w:val="24"/>
        </w:rPr>
        <w:t xml:space="preserve">- с 1 января 2023 года - не менее 6,5%;</w:t>
      </w:r>
    </w:p>
    <w:p>
      <w:pPr>
        <w:spacing w:after="120"/>
        <w:jc w:val="both"/>
      </w:pPr>
      <w:r>
        <w:rPr>
          <w:rFonts w:ascii="Arial" w:cs="Arial" w:eastAsia="Arial" w:hAnsi="Arial"/>
          <w:sz w:val="24"/>
          <w:szCs w:val="24"/>
        </w:rPr>
        <w:t xml:space="preserve">- с 1 января 2024 года - не менее 7,5%;</w:t>
      </w:r>
    </w:p>
    <w:p>
      <w:pPr>
        <w:spacing w:after="120"/>
        <w:jc w:val="both"/>
      </w:pPr>
      <w:r>
        <w:rPr>
          <w:rFonts w:ascii="Arial" w:cs="Arial" w:eastAsia="Arial" w:hAnsi="Arial"/>
          <w:sz w:val="24"/>
          <w:szCs w:val="24"/>
        </w:rPr>
        <w:t xml:space="preserve">2) коэффициента достаточности (адекватности) Базового капитала первого уровня (К2.3), предусмотренного в пункте 3.2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120"/>
        <w:jc w:val="both"/>
      </w:pPr>
      <w:r>
        <w:rPr>
          <w:rFonts w:ascii="Arial" w:cs="Arial" w:eastAsia="Arial" w:hAnsi="Arial"/>
          <w:sz w:val="24"/>
          <w:szCs w:val="24"/>
        </w:rPr>
        <w:t xml:space="preserve">- с 1 января 2023 года - не менее 5%;</w:t>
      </w:r>
    </w:p>
    <w:p>
      <w:pPr>
        <w:spacing w:after="120"/>
        <w:jc w:val="both"/>
      </w:pPr>
      <w:r>
        <w:rPr>
          <w:rFonts w:ascii="Arial" w:cs="Arial" w:eastAsia="Arial" w:hAnsi="Arial"/>
          <w:sz w:val="24"/>
          <w:szCs w:val="24"/>
        </w:rPr>
        <w:t xml:space="preserve">- с 1 января 2024 года - не менее 6%.</w:t>
      </w:r>
    </w:p>
    <w:p>
      <w:pPr>
        <w:spacing w:after="120"/>
        <w:jc w:val="both"/>
      </w:pPr>
      <w:r>
        <w:rPr>
          <w:rFonts w:ascii="Arial" w:cs="Arial" w:eastAsia="Arial" w:hAnsi="Arial"/>
          <w:sz w:val="24"/>
          <w:szCs w:val="24"/>
        </w:rPr>
        <w:t xml:space="preserve">6. Установить для системно-значимых банков, осуществляющих операции в соответствии с исламскими принципами банковского дела и финансирования, соблюдение значений:</w:t>
      </w:r>
    </w:p>
    <w:p>
      <w:pPr>
        <w:spacing w:after="120"/>
        <w:jc w:val="both"/>
      </w:pPr>
      <w:r>
        <w:rPr>
          <w:rFonts w:ascii="Arial" w:cs="Arial" w:eastAsia="Arial" w:hAnsi="Arial"/>
          <w:sz w:val="24"/>
          <w:szCs w:val="24"/>
        </w:rPr>
        <w:t xml:space="preserve">1) коэффициента достаточности (адекватности) суммарного капитала (К2.1), предусмотренного в пункте 3.2-1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120"/>
        <w:jc w:val="both"/>
      </w:pPr>
      <w:r>
        <w:rPr>
          <w:rFonts w:ascii="Arial" w:cs="Arial" w:eastAsia="Arial" w:hAnsi="Arial"/>
          <w:sz w:val="24"/>
          <w:szCs w:val="24"/>
        </w:rPr>
        <w:t xml:space="preserve">- с 1 января 2023 года - не менее 12,5%;</w:t>
      </w:r>
    </w:p>
    <w:p>
      <w:pPr>
        <w:spacing w:after="120"/>
        <w:jc w:val="both"/>
      </w:pPr>
      <w:r>
        <w:rPr>
          <w:rFonts w:ascii="Arial" w:cs="Arial" w:eastAsia="Arial" w:hAnsi="Arial"/>
          <w:sz w:val="24"/>
          <w:szCs w:val="24"/>
        </w:rPr>
        <w:t xml:space="preserve">- с 1 января 2024 года - не менее 14%;</w:t>
      </w:r>
    </w:p>
    <w:p>
      <w:pPr>
        <w:spacing w:after="120"/>
        <w:jc w:val="both"/>
      </w:pPr>
      <w:r>
        <w:rPr>
          <w:rFonts w:ascii="Arial" w:cs="Arial" w:eastAsia="Arial" w:hAnsi="Arial"/>
          <w:sz w:val="24"/>
          <w:szCs w:val="24"/>
        </w:rPr>
        <w:t xml:space="preserve">2) коэффициента достаточности (адекватности) капитала первого уровня (К2.2), предусмотренного в пункте 3.2-1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120"/>
        <w:jc w:val="both"/>
      </w:pPr>
      <w:r>
        <w:rPr>
          <w:rFonts w:ascii="Arial" w:cs="Arial" w:eastAsia="Arial" w:hAnsi="Arial"/>
          <w:sz w:val="24"/>
          <w:szCs w:val="24"/>
        </w:rPr>
        <w:t xml:space="preserve">- с 1 января 2023 года - не менее 7,5%;</w:t>
      </w:r>
    </w:p>
    <w:p>
      <w:pPr>
        <w:spacing w:after="120"/>
        <w:jc w:val="both"/>
      </w:pPr>
      <w:r>
        <w:rPr>
          <w:rFonts w:ascii="Arial" w:cs="Arial" w:eastAsia="Arial" w:hAnsi="Arial"/>
          <w:sz w:val="24"/>
          <w:szCs w:val="24"/>
        </w:rPr>
        <w:t xml:space="preserve">- с 1 января 2024 года - не менее 9,5%;</w:t>
      </w:r>
    </w:p>
    <w:p>
      <w:pPr>
        <w:spacing w:after="120"/>
        <w:jc w:val="both"/>
      </w:pPr>
      <w:r>
        <w:rPr>
          <w:rFonts w:ascii="Arial" w:cs="Arial" w:eastAsia="Arial" w:hAnsi="Arial"/>
          <w:sz w:val="24"/>
          <w:szCs w:val="24"/>
        </w:rPr>
        <w:t xml:space="preserve">3) коэффициента достаточности (адекватности) Базового капитала первого уровня (К2.3), предусмотренного в пункте 3.2-1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120"/>
        <w:jc w:val="both"/>
      </w:pPr>
      <w:r>
        <w:rPr>
          <w:rFonts w:ascii="Arial" w:cs="Arial" w:eastAsia="Arial" w:hAnsi="Arial"/>
          <w:sz w:val="24"/>
          <w:szCs w:val="24"/>
        </w:rPr>
        <w:t xml:space="preserve">- с 1 января 2023 года - не менее 6%;</w:t>
      </w:r>
    </w:p>
    <w:p>
      <w:pPr>
        <w:spacing w:after="120"/>
        <w:jc w:val="both"/>
      </w:pPr>
      <w:r>
        <w:rPr>
          <w:rFonts w:ascii="Arial" w:cs="Arial" w:eastAsia="Arial" w:hAnsi="Arial"/>
          <w:sz w:val="24"/>
          <w:szCs w:val="24"/>
        </w:rPr>
        <w:t xml:space="preserve">- с 1 января 2024 года - не менее 8%.</w:t>
      </w:r>
    </w:p>
    <w:p>
      <w:pPr>
        <w:spacing w:after="120"/>
        <w:jc w:val="both"/>
      </w:pPr>
      <w:r>
        <w:rPr>
          <w:rFonts w:ascii="Arial" w:cs="Arial" w:eastAsia="Arial" w:hAnsi="Arial"/>
          <w:sz w:val="24"/>
          <w:szCs w:val="24"/>
        </w:rPr>
        <w:t xml:space="preserve">7. Установить для банков, осуществляющих операции в соответствии с исламскими принципами банковского дела и финансирования, срок действия подпункта 2 пункта 19-1 </w:t>
      </w:r>
      <w:hyperlink w:history="1" r:id="rIdnd6qwfhk3libcuwhwivj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осуществляющих операции в соответствии с исламскими принципами банковского дела и финансирования, в части, касающейся исключения нематериальных активов, связанных с техническими и программными продуктами, до января 2024 года.</w:t>
      </w:r>
    </w:p>
    <w:p>
      <w:pPr>
        <w:spacing w:after="120"/>
        <w:jc w:val="both"/>
      </w:pPr>
      <w:r>
        <w:rPr>
          <w:rFonts w:ascii="Arial" w:cs="Arial" w:eastAsia="Arial" w:hAnsi="Arial"/>
          <w:sz w:val="24"/>
          <w:szCs w:val="24"/>
        </w:rPr>
        <w:t xml:space="preserve">8.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9. Управлению методологии надзора и лицензирования банков довести настоящее постановление до сведения ОАО "Коммерческий банк Кыргызстан", ЗАО "ЭкоИсламикБанк", ОАО "Бакай Банк", ОЮЛ "Союз банков Кыргызстана", соответствующих структурных подразделений, областных управлений, представительства Национального банка в Баткенской области.</w:t>
      </w:r>
    </w:p>
    <w:p>
      <w:pPr>
        <w:spacing w:after="120"/>
        <w:jc w:val="both"/>
      </w:pPr>
      <w:r>
        <w:rPr>
          <w:rFonts w:ascii="Arial" w:cs="Arial" w:eastAsia="Arial" w:hAnsi="Arial"/>
          <w:sz w:val="24"/>
          <w:szCs w:val="24"/>
        </w:rPr>
        <w:t xml:space="preserve">10.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К. Боконтаев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w:t>
      </w:r>
      <w:r>
        <w:rPr>
          <w:rFonts w:ascii="Arial" w:cs="Arial" w:eastAsia="Arial" w:hAnsi="Arial"/>
          <w:sz w:val="22"/>
          <w:szCs w:val="22"/>
        </w:rPr>
        <w:t xml:space="preserve">к постановлению Правления Национального банка Кыргызской Республики
 от 15 декабря 2021 года № 2021-П-12/70-3-(НПА)</w:t>
      </w:r>
    </w:p>
    <w:p>
      <w:pPr>
        <w:spacing w:after="120"/>
        <w:jc w:val="both"/>
      </w:pPr>
      <w:r>
        <w:rPr>
          <w:rFonts w:ascii="Arial" w:cs="Arial" w:eastAsia="Arial" w:hAnsi="Arial"/>
          <w:sz w:val="24"/>
          <w:szCs w:val="24"/>
        </w:rPr>
        <w:t xml:space="preserve">ИЗМЕНЕНИЯ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w:t>
      </w:r>
      <w:hyperlink w:history="1" r:id="rIdamd9cvfhv5u5n1scaaij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7j_r2yffyexpaxkoez5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 следующие изменения:</w:t>
      </w:r>
    </w:p>
    <w:p>
      <w:pPr>
        <w:spacing w:after="120"/>
        <w:jc w:val="both"/>
      </w:pPr>
      <w:r>
        <w:rPr>
          <w:rFonts w:ascii="Arial" w:cs="Arial" w:eastAsia="Arial" w:hAnsi="Arial"/>
          <w:sz w:val="24"/>
          <w:szCs w:val="24"/>
        </w:rPr>
        <w:t xml:space="preserve">в </w:t>
      </w:r>
      <w:hyperlink w:history="1" r:id="rIdy3ig__1xixp0rzsin_xp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w:history="1" r:id="rIddpv82usbtox0uvg4zqgx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mvjt0ybjpq8-2tk-8xkju">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Инструкции:</w:t>
      </w:r>
    </w:p>
    <w:p>
      <w:pPr>
        <w:spacing w:after="120"/>
        <w:jc w:val="both"/>
      </w:pPr>
      <w:r>
        <w:rPr>
          <w:rFonts w:ascii="Arial" w:cs="Arial" w:eastAsia="Arial" w:hAnsi="Arial"/>
          <w:sz w:val="24"/>
          <w:szCs w:val="24"/>
        </w:rPr>
        <w:t xml:space="preserve">в разделе "Забалансовые обязательства" статью 595 изложить в следующей редакции:</w:t>
      </w:r>
    </w:p>
    <w:p>
      <w:pPr>
        <w:spacing w:after="12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6734"/>
        <w:gridCol w:w="708"/>
        <w:gridCol w:w="708"/>
        <w:gridCol w:w="708"/>
        <w:gridCol w:w="708"/>
      </w:tblGrid>
      <w:tr>
        <w:tc>
          <w:tcPr>
            <w:tcW w:type="dxa" w:w="6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67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kzcfo2szvbcjwm4fqef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w:t>
      </w:r>
    </w:p>
    <w:p>
      <w:pPr>
        <w:spacing w:after="120"/>
        <w:jc w:val="both"/>
      </w:pPr>
      <w:r>
        <w:rPr>
          <w:rFonts w:ascii="Arial" w:cs="Arial" w:eastAsia="Arial" w:hAnsi="Arial"/>
          <w:sz w:val="24"/>
          <w:szCs w:val="24"/>
        </w:rPr>
        <w:t xml:space="preserve">в </w:t>
      </w:r>
      <w:hyperlink w:history="1" r:id="rIdejh5kcje2xbd2e-9vsk0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банковском отчете", утвержденном вышеуказанным </w:t>
      </w:r>
      <w:hyperlink w:history="1" r:id="rIdzbottouxkhmhjjvh0qn3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u2o-xdnrn3urnyoinjg3p">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разделе 15.5 "Забалансовые обязательства" статью 595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6734"/>
        <w:gridCol w:w="708"/>
        <w:gridCol w:w="708"/>
        <w:gridCol w:w="708"/>
        <w:gridCol w:w="708"/>
      </w:tblGrid>
      <w:tr>
        <w:tc>
          <w:tcPr>
            <w:tcW w:type="dxa" w:w="6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67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подразделе 15.Г "Забалансовые обязательства банка в рамках "исламского окна" статью 510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6711"/>
        <w:gridCol w:w="684"/>
        <w:gridCol w:w="684"/>
        <w:gridCol w:w="806"/>
        <w:gridCol w:w="682"/>
      </w:tblGrid>
      <w:tr>
        <w:tc>
          <w:tcPr>
            <w:tcW w:type="dxa" w:w="6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67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6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Внести в </w:t>
      </w:r>
      <w:hyperlink w:history="1" r:id="rId2edhpuccfsd2n8tln7m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pcbugzmsxyulgqyyxsu6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28 декабря 2009 года № 51/4 следующие изменения:</w:t>
      </w:r>
    </w:p>
    <w:p>
      <w:pPr>
        <w:spacing w:after="120"/>
        <w:jc w:val="both"/>
      </w:pPr>
      <w:r>
        <w:rPr>
          <w:rFonts w:ascii="Arial" w:cs="Arial" w:eastAsia="Arial" w:hAnsi="Arial"/>
          <w:sz w:val="24"/>
          <w:szCs w:val="24"/>
        </w:rPr>
        <w:t xml:space="preserve">в </w:t>
      </w:r>
      <w:hyperlink w:history="1" r:id="rIdwhenft2t2ykbxgj5jhvl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утвержденной вышеуказанным </w:t>
      </w:r>
      <w:hyperlink w:history="1" r:id="rIdnqhmfhn8ln3auespp_x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"б" пункта 5 изложить в следующей редакции:</w:t>
      </w:r>
    </w:p>
    <w:p>
      <w:pPr>
        <w:spacing w:after="120"/>
        <w:jc w:val="both"/>
      </w:pPr>
      <w:r>
        <w:rPr>
          <w:rFonts w:ascii="Arial" w:cs="Arial" w:eastAsia="Arial" w:hAnsi="Arial"/>
          <w:sz w:val="24"/>
          <w:szCs w:val="24"/>
        </w:rPr>
        <w:t xml:space="preserve">"б) собственный (регулятивный) капитал является капиталом первого уровня.";</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Коэффициенты достаточности (адекватности) капитала исламского банка, основанные на взвешивании по степени риска балансовых активов, размещенных в соответствии с исламскими принципами банковского дела и финансирования (далее - активы), и забалансовых обязательств, принятых банком в соответствии с исламскими принципами банковского дела и финансирования (далее - забалансовые обязательства):</w:t>
      </w:r>
    </w:p>
    <w:p>
      <w:pPr>
        <w:spacing w:after="120"/>
        <w:jc w:val="both"/>
      </w:pPr>
      <w:r>
        <w:rPr>
          <w:rFonts w:ascii="Arial" w:cs="Arial" w:eastAsia="Arial" w:hAnsi="Arial"/>
          <w:sz w:val="24"/>
          <w:szCs w:val="24"/>
        </w:rPr>
        <w:t xml:space="preserve">а) коэффициент достаточности (адекватности) суммарного капитала (К2.1)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К2.1 = (ЧСК / ((ЧРА - ЧРАм) + П * Кор))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ЧСК - чистый Суммарный капитал, который определяется как сумма капитала первого уровня и капитала второго уровня.</w:t>
      </w:r>
    </w:p>
    <w:p>
      <w:pPr>
        <w:spacing w:after="120"/>
        <w:jc w:val="both"/>
      </w:pPr>
      <w:r>
        <w:rPr>
          <w:rFonts w:ascii="Arial" w:cs="Arial" w:eastAsia="Arial" w:hAnsi="Arial"/>
          <w:sz w:val="24"/>
          <w:szCs w:val="24"/>
        </w:rPr>
        <w:t xml:space="preserve">ЧРА - сумма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pPr>
        <w:spacing w:after="120"/>
        <w:jc w:val="both"/>
      </w:pPr>
      <w:r>
        <w:rPr>
          <w:rFonts w:ascii="Arial" w:cs="Arial" w:eastAsia="Arial" w:hAnsi="Arial"/>
          <w:sz w:val="24"/>
          <w:szCs w:val="24"/>
        </w:rPr>
        <w:t xml:space="preserve">ЧРАм - сумма балансовых активов и забалансовых обязательств, финансируемых за счет средств, привлеченных по договору ограниченная мудараба, взвешенных по степени риска за минусом специальных резервов на покрытие потенциальных потерь и убытков.</w:t>
      </w:r>
    </w:p>
    <w:p>
      <w:pPr>
        <w:spacing w:after="120"/>
        <w:jc w:val="both"/>
      </w:pPr>
      <w:r>
        <w:rPr>
          <w:rFonts w:ascii="Arial" w:cs="Arial" w:eastAsia="Arial" w:hAnsi="Arial"/>
          <w:sz w:val="24"/>
          <w:szCs w:val="24"/>
        </w:rPr>
        <w:t xml:space="preserve">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w:t>
      </w:r>
    </w:p>
    <w:p>
      <w:pPr>
        <w:spacing w:after="120"/>
        <w:jc w:val="both"/>
      </w:pPr>
      <w:r>
        <w:rPr>
          <w:rFonts w:ascii="Arial" w:cs="Arial" w:eastAsia="Arial" w:hAnsi="Arial"/>
          <w:sz w:val="24"/>
          <w:szCs w:val="24"/>
        </w:rPr>
        <w:t xml:space="preserve">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утвержденным постановлением Правления Национального банка Кыргызской Республики.</w:t>
      </w:r>
    </w:p>
    <w:p>
      <w:pPr>
        <w:spacing w:after="120"/>
        <w:jc w:val="both"/>
      </w:pPr>
      <w:r>
        <w:rPr>
          <w:rFonts w:ascii="Arial" w:cs="Arial" w:eastAsia="Arial" w:hAnsi="Arial"/>
          <w:sz w:val="24"/>
          <w:szCs w:val="24"/>
        </w:rPr>
        <w:t xml:space="preserve">б) коэффициент достаточности (адекватности) капитала первого уровня (К2.2)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К2.2 = (КПУ / (ЧРА - ЧРАм))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КПУ - капитал первого уровня, который определяется согласно пункту 15 настоящей инструкции.</w:t>
      </w:r>
    </w:p>
    <w:p>
      <w:pPr>
        <w:spacing w:after="120"/>
        <w:jc w:val="both"/>
      </w:pPr>
      <w:r>
        <w:rPr>
          <w:rFonts w:ascii="Arial" w:cs="Arial" w:eastAsia="Arial" w:hAnsi="Arial"/>
          <w:sz w:val="24"/>
          <w:szCs w:val="24"/>
        </w:rPr>
        <w:t xml:space="preserve">в) коэффициент достаточности (адекватности) Базового капитала первого уровня (К2.3)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К2.3 = (БКПУ / (ЧРА - ЧРАм))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БКПУ - Базовый капитал первого уровня.</w:t>
      </w:r>
    </w:p>
    <w:p>
      <w:pPr>
        <w:spacing w:after="120"/>
        <w:jc w:val="both"/>
      </w:pPr>
      <w:r>
        <w:rPr>
          <w:rFonts w:ascii="Arial" w:cs="Arial" w:eastAsia="Arial" w:hAnsi="Arial"/>
          <w:sz w:val="24"/>
          <w:szCs w:val="24"/>
        </w:rPr>
        <w:t xml:space="preserve">Национальный банк на основе оценки рисков и системной значимости банков вправе увеличить минимальный размер коэффициентов адекватности капитала.";</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Левераж (К2.4)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К2.4 = (КПУ / (СА + ЗО))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СА - суммарные активы банка за минусом нематериальных активов и специальных резервов на покрытие потенциальных потерь и убытков;</w:t>
      </w:r>
    </w:p>
    <w:p>
      <w:pPr>
        <w:spacing w:after="120"/>
        <w:jc w:val="both"/>
      </w:pPr>
      <w:r>
        <w:rPr>
          <w:rFonts w:ascii="Arial" w:cs="Arial" w:eastAsia="Arial" w:hAnsi="Arial"/>
          <w:sz w:val="24"/>
          <w:szCs w:val="24"/>
        </w:rPr>
        <w:t xml:space="preserve">ЗО - забалансовые обязательства с учетом факторов кредитной конверсии, определенных настоящей Инструкцией, а также те обязательства, по которым банк имеет право безусловного отзыва/аннулирования в любое время без предварительного уведомления клиента, и к которым может быть применен фактор кредитной конверсии в размере 10% от общей суммы таких забалансовых обязательств. При этом сумма резервов на покрытие потенциальных потерь и убытков вычитается из забалансовых обязательств (после применения факторов кредитной конверсии) в пределах суммы взвешенных забалансовых обязательств.";</w:t>
      </w:r>
    </w:p>
    <w:p>
      <w:pPr>
        <w:spacing w:after="120"/>
        <w:jc w:val="both"/>
      </w:pPr>
      <w:r>
        <w:rPr>
          <w:rFonts w:ascii="Arial" w:cs="Arial" w:eastAsia="Arial" w:hAnsi="Arial"/>
          <w:sz w:val="24"/>
          <w:szCs w:val="24"/>
        </w:rPr>
        <w:t xml:space="preserve">- пункт 9-1 изложить в следующей редакции:</w:t>
      </w:r>
    </w:p>
    <w:p>
      <w:pPr>
        <w:spacing w:after="120"/>
        <w:jc w:val="both"/>
      </w:pPr>
      <w:r>
        <w:rPr>
          <w:rFonts w:ascii="Arial" w:cs="Arial" w:eastAsia="Arial" w:hAnsi="Arial"/>
          <w:sz w:val="24"/>
          <w:szCs w:val="24"/>
        </w:rPr>
        <w:t xml:space="preserve">"9.1.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 капитала" определяется как отношение чистого Суммарного капитала к сумме балансовых активов и забалансовых обязательств, финансируемых за счет средств, привлеченных по договору ограниченная мудараба, взвешенных по степени риска за минусом специальных резервов на покрытие потенциальных потерь и убытков. Значение индекса "буфер капитала" банков устанавливается Комитетом по надзору Национального банка.";</w:t>
      </w:r>
    </w:p>
    <w:p>
      <w:pPr>
        <w:spacing w:after="120"/>
        <w:jc w:val="both"/>
      </w:pPr>
      <w:r>
        <w:rPr>
          <w:rFonts w:ascii="Arial" w:cs="Arial" w:eastAsia="Arial" w:hAnsi="Arial"/>
          <w:sz w:val="24"/>
          <w:szCs w:val="24"/>
        </w:rPr>
        <w:t xml:space="preserve">- пункт 19.1 изложить в следующей редакции:</w:t>
      </w:r>
    </w:p>
    <w:p>
      <w:pPr>
        <w:spacing w:after="120"/>
        <w:jc w:val="both"/>
      </w:pPr>
      <w:r>
        <w:rPr>
          <w:rFonts w:ascii="Arial" w:cs="Arial" w:eastAsia="Arial" w:hAnsi="Arial"/>
          <w:sz w:val="24"/>
          <w:szCs w:val="24"/>
        </w:rPr>
        <w:t xml:space="preserve">"19.1. До расчета коэффициентов достаточности (адекватности) чистого суммарного капитала, достаточности (адекватности) капитала первого уровня, базового капитала первого уровня и коэффициента "левеража" из Базового капитала первого уровня вычитаются следующие элементы:</w:t>
      </w:r>
    </w:p>
    <w:p>
      <w:pPr>
        <w:spacing w:after="120"/>
        <w:jc w:val="both"/>
      </w:pPr>
      <w:r>
        <w:rPr>
          <w:rFonts w:ascii="Arial" w:cs="Arial" w:eastAsia="Arial" w:hAnsi="Arial"/>
          <w:sz w:val="24"/>
          <w:szCs w:val="24"/>
        </w:rPr>
        <w:t xml:space="preserve">1) убытки за текущий год;</w:t>
      </w:r>
    </w:p>
    <w:p>
      <w:pPr>
        <w:spacing w:after="120"/>
        <w:jc w:val="both"/>
      </w:pPr>
      <w:r>
        <w:rPr>
          <w:rFonts w:ascii="Arial" w:cs="Arial" w:eastAsia="Arial" w:hAnsi="Arial"/>
          <w:sz w:val="24"/>
          <w:szCs w:val="24"/>
        </w:rPr>
        <w:t xml:space="preserve">2) нематериальные активы, за исключением активов, связанных с техническими и программными продуктами (например, для биометрической идентификации, смарт контракты и др.), направленными на увеличение количества клиентов и охвата услуг, которые соответствуют следующим требованиям:</w:t>
      </w:r>
    </w:p>
    <w:p>
      <w:pPr>
        <w:spacing w:after="120"/>
        <w:jc w:val="both"/>
      </w:pPr>
      <w:r>
        <w:rPr>
          <w:rFonts w:ascii="Arial" w:cs="Arial" w:eastAsia="Arial" w:hAnsi="Arial"/>
          <w:sz w:val="24"/>
          <w:szCs w:val="24"/>
        </w:rPr>
        <w:t xml:space="preserve">- решение должно быть новым или значительно отличаться от существующих предложений рынка, либо предлагать новые возможности использования существующих технологий, что подтверждается исследованиями рынка и сравнением ключевых характеристик технологии;</w:t>
      </w:r>
    </w:p>
    <w:p>
      <w:pPr>
        <w:spacing w:after="120"/>
        <w:jc w:val="both"/>
      </w:pPr>
      <w:r>
        <w:rPr>
          <w:rFonts w:ascii="Arial" w:cs="Arial" w:eastAsia="Arial" w:hAnsi="Arial"/>
          <w:sz w:val="24"/>
          <w:szCs w:val="24"/>
        </w:rPr>
        <w:t xml:space="preserve">- решение должно предлагать клиентам очевидные прямые или косвенные выгоды (например, техническое задание, показывающее повышенную безопасность, качество обслуживания, эффективность, качество продукции, более низкие цены, сочетание любого из перечисленных) и подкрепляться сравнительным анализом банка с количественными оценками при необходимости.</w:t>
      </w:r>
    </w:p>
    <w:p>
      <w:pPr>
        <w:spacing w:after="120"/>
        <w:jc w:val="both"/>
      </w:pPr>
      <w:r>
        <w:rPr>
          <w:rFonts w:ascii="Arial" w:cs="Arial" w:eastAsia="Arial" w:hAnsi="Arial"/>
          <w:sz w:val="24"/>
          <w:szCs w:val="24"/>
        </w:rPr>
        <w:t xml:space="preserve">В случае наличия результатов технического тестирования они должны быть доступны Национальному банку. В качестве альтернативы возможно предоставление подтверждения технической надежности данного решения от независимой третьей стороны.</w:t>
      </w:r>
    </w:p>
    <w:p>
      <w:pPr>
        <w:spacing w:after="120"/>
        <w:jc w:val="both"/>
      </w:pPr>
      <w:r>
        <w:rPr>
          <w:rFonts w:ascii="Arial" w:cs="Arial" w:eastAsia="Arial" w:hAnsi="Arial"/>
          <w:sz w:val="24"/>
          <w:szCs w:val="24"/>
        </w:rPr>
        <w:t xml:space="preserve">Данные технические и программные продукты должны учитываться банком по балансовой стоимости;</w:t>
      </w:r>
    </w:p>
    <w:p>
      <w:pPr>
        <w:spacing w:after="120"/>
        <w:jc w:val="both"/>
      </w:pPr>
      <w:r>
        <w:rPr>
          <w:rFonts w:ascii="Arial" w:cs="Arial" w:eastAsia="Arial" w:hAnsi="Arial"/>
          <w:sz w:val="24"/>
          <w:szCs w:val="24"/>
        </w:rPr>
        <w:t xml:space="preserve">3) инвестиции (в виде акций или долевого участия в капитале) в другие неконсолидированные банки и финансово-кредитные организации, а также нефинансовые организации, за исключением инвестиций (в виде акций или долевого участия в капитале), осуществленных по договорам партнерства шарика/мушарака. Если банк инвестирует в эти организации дополнительный капитал первого уровня или капитал второго уровня, эти инвестиции должны вычитаться из соответствующего капитала;</w:t>
      </w:r>
    </w:p>
    <w:p>
      <w:pPr>
        <w:spacing w:after="120"/>
        <w:jc w:val="both"/>
      </w:pPr>
      <w:r>
        <w:rPr>
          <w:rFonts w:ascii="Arial" w:cs="Arial" w:eastAsia="Arial" w:hAnsi="Arial"/>
          <w:sz w:val="24"/>
          <w:szCs w:val="24"/>
        </w:rPr>
        <w:t xml:space="preserve">4) все отсроченные налоговые активы, которые зависят от будущей доходности, рассчитанные на основе Международных стандартов финансовой отчетности (МСФО) 12, за исключением отсроченных налоговых активов, связанных с временными разницами. Отсроченные налоговые активы могут быть зачтены с отсроченными налоговыми обязательствами, если выполнены условия МСФО 12;</w:t>
      </w:r>
    </w:p>
    <w:p>
      <w:pPr>
        <w:spacing w:after="120"/>
        <w:jc w:val="both"/>
      </w:pPr>
      <w:r>
        <w:rPr>
          <w:rFonts w:ascii="Arial" w:cs="Arial" w:eastAsia="Arial" w:hAnsi="Arial"/>
          <w:sz w:val="24"/>
          <w:szCs w:val="24"/>
        </w:rPr>
        <w:t xml:space="preserve">5) прямые или косвенные инвестиции в собственные акции. Банк имеет право выкупать собственные акции только для последующей их продажи по более высокой цене при условии, что банком заключен предварительный договор продажи акций для их реализации после выкупа и деятельность банка является безубыточной в течение предыдущих 5 (пяти) лет до дня принятия решения о выкупе собственных акций. Банк будет вычитать эти акции до тех пор, пока они не будут проданы.</w:t>
      </w:r>
    </w:p>
    <w:p>
      <w:pPr>
        <w:spacing w:after="120"/>
        <w:jc w:val="both"/>
      </w:pPr>
      <w:r>
        <w:rPr>
          <w:rFonts w:ascii="Arial" w:cs="Arial" w:eastAsia="Arial" w:hAnsi="Arial"/>
          <w:sz w:val="24"/>
          <w:szCs w:val="24"/>
        </w:rPr>
        <w:t xml:space="preserve">Используя идентичный подход, банки должны вычесть инвестиции в свой собственный дополнительный капитал первого уровня при расчете дополнительного капитала первого уровня и инвестиции в их собственный капитал второго уровня при расчете своего капитала второго уровня.</w:t>
      </w:r>
    </w:p>
    <w:p>
      <w:pPr>
        <w:spacing w:after="120"/>
        <w:jc w:val="both"/>
      </w:pPr>
      <w:r>
        <w:rPr>
          <w:rFonts w:ascii="Arial" w:cs="Arial" w:eastAsia="Arial" w:hAnsi="Arial"/>
          <w:sz w:val="24"/>
          <w:szCs w:val="24"/>
        </w:rPr>
        <w:t xml:space="preserve">Взаимные перекрестные владения капиталом, которые приводят к искусственному увеличению капитальной позиции банка, должны быть вычтены в полном объеме. Банки должны применять соответствующий подход к вычету для таких инвестиций в капитал других банков, других финансовых и страховых организаций. Это означает, что вычет должен применяться к тому же компоненту капитала, для которого капитал будет квалифицироваться также как, если бы он был выпущен самим банком.";</w:t>
      </w:r>
    </w:p>
    <w:p>
      <w:pPr>
        <w:spacing w:after="120"/>
        <w:jc w:val="both"/>
      </w:pPr>
      <w:r>
        <w:rPr>
          <w:rFonts w:ascii="Arial" w:cs="Arial" w:eastAsia="Arial" w:hAnsi="Arial"/>
          <w:sz w:val="24"/>
          <w:szCs w:val="24"/>
        </w:rPr>
        <w:t xml:space="preserve">- пункт 20 изложить в следующей редакции:</w:t>
      </w:r>
    </w:p>
    <w:p>
      <w:pPr>
        <w:spacing w:after="120"/>
        <w:jc w:val="both"/>
      </w:pPr>
      <w:r>
        <w:rPr>
          <w:rFonts w:ascii="Arial" w:cs="Arial" w:eastAsia="Arial" w:hAnsi="Arial"/>
          <w:sz w:val="24"/>
          <w:szCs w:val="24"/>
        </w:rPr>
        <w:t xml:space="preserve">"20. Оценка достаточности (адекватности) капитала в рамках настоящей Инструкции проводится в отношении кредитного риска, т.е. риска, относящегося к различным видам активов и заключающегося в невозможности обеспечения клиентом полного или частичного возврата актива, а также операционного риска в части расчета коэффициента адекватности суммарного капитала в соответствии с подпунктом "а" пункта 6 настоящей Инструкции.";</w:t>
      </w:r>
    </w:p>
    <w:p>
      <w:pPr>
        <w:spacing w:after="120"/>
        <w:jc w:val="both"/>
      </w:pPr>
      <w:r>
        <w:rPr>
          <w:rFonts w:ascii="Arial" w:cs="Arial" w:eastAsia="Arial" w:hAnsi="Arial"/>
          <w:sz w:val="24"/>
          <w:szCs w:val="24"/>
        </w:rPr>
        <w:t xml:space="preserve">- в пункте 29:</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"Фактор кредитной конверсии 10%:";</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забалансовые обязательства, по которым банк имеет право безусловного отзыва/аннулирования в любое время без предварительного уведомления клиента.";</w:t>
      </w:r>
    </w:p>
    <w:p>
      <w:pPr>
        <w:spacing w:after="120"/>
        <w:jc w:val="both"/>
      </w:pPr>
      <w:r>
        <w:rPr>
          <w:rFonts w:ascii="Arial" w:cs="Arial" w:eastAsia="Arial" w:hAnsi="Arial"/>
          <w:sz w:val="24"/>
          <w:szCs w:val="24"/>
        </w:rPr>
        <w:t xml:space="preserve">- </w:t>
      </w:r>
      <w:hyperlink w:history="1" r:id="rIdutlegyy2x57q-vokfsyrt">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дополнить пунктом 44 следующего содержания:</w:t>
      </w:r>
    </w:p>
    <w:p>
      <w:pPr>
        <w:spacing w:after="120"/>
        <w:jc w:val="both"/>
      </w:pPr>
      <w:r>
        <w:rPr>
          <w:rFonts w:ascii="Arial" w:cs="Arial" w:eastAsia="Arial" w:hAnsi="Arial"/>
          <w:sz w:val="24"/>
          <w:szCs w:val="24"/>
        </w:rPr>
        <w:t xml:space="preserve">"44. Сведения о выполнении стандартов достаточности (адекватности) капитала и их расчет представляются банками ежемесячно в составе периодического регулятивного банковского отчета банков, осуществляющих операции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4. Внести в </w:t>
      </w:r>
      <w:hyperlink w:history="1" r:id="rIdqm7-javimtub1nngv4s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7evqjtphxig2yvlkvcnf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 следующие изменения:</w:t>
      </w:r>
    </w:p>
    <w:p>
      <w:pPr>
        <w:spacing w:after="120"/>
        <w:jc w:val="both"/>
      </w:pPr>
      <w:r>
        <w:rPr>
          <w:rFonts w:ascii="Arial" w:cs="Arial" w:eastAsia="Arial" w:hAnsi="Arial"/>
          <w:sz w:val="24"/>
          <w:szCs w:val="24"/>
        </w:rPr>
        <w:t xml:space="preserve">в </w:t>
      </w:r>
      <w:hyperlink w:history="1" r:id="rId6bly6pizrhae0c9xi_v1-">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утвержденном вышеуказанным </w:t>
      </w:r>
      <w:hyperlink w:history="1" r:id="rId8eqk3tjzpxncbxj0xppy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jo01nevhm6b3fclr6ccdw">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подраздел Б раздела 14 "Б. Отчет о соблюдении экономических нормативов достаточности (адекватности) капитала и норматива (показателя) ликвидности и требования о поддержке дополнительного запаса капитала банка (индекс "буфер капитала")" изложить в следующей редакции:</w:t>
      </w:r>
    </w:p>
    <w:p>
      <w:pPr>
        <w:spacing w:after="120"/>
        <w:jc w:val="both"/>
      </w:pPr>
      <w:r>
        <w:rPr>
          <w:rFonts w:ascii="Arial" w:cs="Arial" w:eastAsia="Arial" w:hAnsi="Arial"/>
          <w:sz w:val="24"/>
          <w:szCs w:val="24"/>
        </w:rPr>
        <w:t xml:space="preserve">"Б. Отчет о соблюдении экономических нормативов достаточности (адекватности) капитала и норматива (показателя) ликвидности и требования о поддержке дополнительного запаса капитала банка (индекс "буфер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7"/>
        <w:gridCol w:w="1071"/>
        <w:gridCol w:w="2048"/>
        <w:gridCol w:w="1168"/>
        <w:gridCol w:w="1559"/>
        <w:gridCol w:w="1315"/>
      </w:tblGrid>
      <w:tr>
        <w:tc>
          <w:tcPr>
            <w:tcW w:type="dxa" w:w="30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экономических нормативов и требования о поддержке дополнительного запаса капитала банка (индекс "буфер капитала")</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Обозначение</w:t>
            </w:r>
          </w:p>
        </w:tc>
        <w:tc>
          <w:tcPr>
            <w:tcW w:type="dxa" w:w="2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Расчет норматива</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Фактическое значение норматива</w:t>
            </w:r>
          </w:p>
        </w:tc>
        <w:tc>
          <w:tcPr>
            <w:tcW w:type="dxa" w:w="15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Установленное значение норматива</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Отклонение от установленного значения</w:t>
            </w:r>
          </w:p>
        </w:tc>
      </w:tr>
      <w:tr>
        <w:tc>
          <w:tcPr>
            <w:tcW w:type="dxa" w:w="301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достаточности (адекватности) капитала</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К2.1</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 - ЧРАм) + П * Кор</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 / 14%**</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К2.2</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  -----  -----  ЧРА - ЧРАм</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7,5% / 9,5%**</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К2.3</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БКПУ  -----  -----  ЧРА - ЧРАм</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 8%**</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К2.4</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  -----  -----  СА + ЗО</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(показатель) ликвидности</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К3.1</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  -----  -----  ОБ</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запас капитала банка (индекс "буфер капитала")</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 - ЧРАм</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___% (указать значение)</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 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утвержденным постановлением Правления Национального банка от 27 декабря 2019 года № 2019-П-12/68-1-(НПА); КПУ - Капитал первого уровня; БКПУ - Базовый капитал первого уровня; ** - значение для системно значимых банков</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2"/>
        <w:gridCol w:w="2886"/>
        <w:gridCol w:w="780"/>
        <w:gridCol w:w="780"/>
        <w:gridCol w:w="780"/>
        <w:gridCol w:w="780"/>
        <w:gridCol w:w="780"/>
        <w:gridCol w:w="780"/>
        <w:gridCol w:w="562"/>
      </w:tblGrid>
      <w:tr>
        <w:tc>
          <w:tcPr>
            <w:tcW w:type="dxa" w:w="20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Средние значения за отчетный период</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 неделя</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 неделя</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 неделя</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 неделя</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5 неделя</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6 неделя</w:t>
            </w:r>
          </w:p>
        </w:tc>
        <w:tc>
          <w:tcPr>
            <w:tcW w:type="dxa" w:w="5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 - Обязательства банка</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К3 = ЛА / ОБ</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 _______________________ фамилия: __________________________ подпись: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капитала, резервируемого для покрытия операционных рисков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20"/>
        <w:gridCol w:w="2058"/>
      </w:tblGrid>
      <w:tr>
        <w:tc>
          <w:tcPr>
            <w:tcW w:type="dxa" w:w="81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доход за год 1</w:t>
            </w:r>
          </w:p>
        </w:tc>
        <w:tc>
          <w:tcPr>
            <w:tcW w:type="dxa" w:w="20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r>
        <w:tc>
          <w:tcPr>
            <w:tcW w:type="dxa" w:w="8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доход за год 2</w:t>
            </w:r>
          </w:p>
        </w:tc>
        <w:tc>
          <w:tcPr>
            <w:tcW w:type="dxa" w:w="20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r>
        <w:tc>
          <w:tcPr>
            <w:tcW w:type="dxa" w:w="8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доход за год 3</w:t>
            </w:r>
          </w:p>
        </w:tc>
        <w:tc>
          <w:tcPr>
            <w:tcW w:type="dxa" w:w="20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r>
        <w:tc>
          <w:tcPr>
            <w:tcW w:type="dxa" w:w="8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20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w:t>
            </w:r>
          </w:p>
        </w:tc>
      </w:tr>
      <w:tr>
        <w:tc>
          <w:tcPr>
            <w:tcW w:type="dxa" w:w="8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раздел 15.5 "Забалансовые обязательства" изложить в следующей редакции:</w:t>
      </w:r>
    </w:p>
    <w:p>
      <w:pPr>
        <w:spacing w:after="12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5"/>
        <w:gridCol w:w="4723"/>
        <w:gridCol w:w="735"/>
        <w:gridCol w:w="1364"/>
        <w:gridCol w:w="1154"/>
        <w:gridCol w:w="1258"/>
      </w:tblGrid>
      <w:tr>
        <w:tc>
          <w:tcPr>
            <w:tcW w:type="dxa" w:w="9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47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Статьи</w:t>
            </w:r>
          </w:p>
        </w:tc>
        <w:tc>
          <w:tcPr>
            <w:tcW w:type="dxa" w:w="7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 балансу</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Фактор кредитной конверсии, %</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Кредитный риск, %</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Взвешенное значение</w:t>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на предоставление финансирования</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530.4</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530.5</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530.6</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530.7</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гарантии по финансированию, резервные аккредитивы и гарантии по акцептованию</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540.4</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540.5</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540.6</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540.7</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конкретными сделками</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550.4</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550.5</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550.6</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550.7</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торговыми сделками</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560.4</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560.5</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560.6</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560.7</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Соглашения о продаже с последующим выкупом</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570.4</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570.5</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570.6</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570.7</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Аккредитив на основе договора Мурабаха, где обеспечением выступает застрахованный залог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580.4</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580.5</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580.6</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Валютные операции</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w:t>
            </w:r>
          </w:p>
        </w:tc>
        <w:tc>
          <w:tcPr>
            <w:tcW w:type="dxa" w:w="4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w:t>
            </w:r>
          </w:p>
        </w:tc>
        <w:tc>
          <w:tcPr>
            <w:tcW w:type="dxa" w:w="4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года до 2 лет</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w:t>
            </w:r>
          </w:p>
        </w:tc>
        <w:tc>
          <w:tcPr>
            <w:tcW w:type="dxa" w:w="4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забалансовые обязательства</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забалансовых обязательств (сумма ст. 530 - 610)</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специальных резервов на покрытие потенциальных и лизинговых потерь и убытков (далее - специальные резервы на покрытие убытков)</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резерв на покрытие убытков по балансовым активам</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резерв на покрытие убытков по забалансовым обязательствам</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балансовых активов и забалансовых обязательств взвешенных по степени риска за минусом специальных резервов на покрытие убытков (ст.450 плюс ст.620 минус 630)</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cbjjorr5wnpmbytp36bj">
      <w:r>
        <w:rPr>
          <w:rFonts w:ascii="Arial" w:cs="Arial" w:eastAsia="Arial" w:hAnsi="Arial"/>
          <w:color w:val="132D3F"/>
          <w:sz w:val="16"/>
          <w:szCs w:val="16"/>
          <w:u w:val="single"/>
        </w:rPr>
        <w:t xml:space="preserve">dalil.kg/document/880805</w:t>
      </w:r>
    </w:hyperlink>
  </w:p>
  <w:p>
    <w:pPr>
      <w:spacing w:after="0" w:before="40"/>
      <w:jc w:val="center"/>
    </w:pPr>
    <w:hyperlink w:history="1" r:id="rIdjplqsgzilyj45spqn23k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elepsjy87dyczna8o_43" Type="http://schemas.openxmlformats.org/officeDocument/2006/relationships/hyperlink" Target="https://dalil.kg/document/111486#st_20" TargetMode="External"/><Relationship Id="rId_rgosbgctlxuai4hpzqli" Type="http://schemas.openxmlformats.org/officeDocument/2006/relationships/hyperlink" Target="https://dalil.kg/document/111486#st_68" TargetMode="External"/><Relationship Id="rIdaqxpwoswmqf99v1agtkep" Type="http://schemas.openxmlformats.org/officeDocument/2006/relationships/hyperlink" Target="https://dalil.kg/document/313770" TargetMode="External"/><Relationship Id="rIdvfov5dqnrydu1mq5vfvuf" Type="http://schemas.openxmlformats.org/officeDocument/2006/relationships/hyperlink" Target="https://dalil.kg/document/313769" TargetMode="External"/><Relationship Id="rIdzlr62yb8yeus4qskpebsk" Type="http://schemas.openxmlformats.org/officeDocument/2006/relationships/hyperlink" Target="https://dalil.kg/document/300273" TargetMode="External"/><Relationship Id="rIduhpxigig4hydwnkwliz79" Type="http://schemas.openxmlformats.org/officeDocument/2006/relationships/hyperlink" Target="https://dalil.kg/document/302285" TargetMode="External"/><Relationship Id="rIdj1mcq8r1e_iuhpldbt-ec" Type="http://schemas.openxmlformats.org/officeDocument/2006/relationships/hyperlink" Target="https://dalil.kg/document/301267" TargetMode="External"/><Relationship Id="rIdcslcarcfb2jpblqn3edmf" Type="http://schemas.openxmlformats.org/officeDocument/2006/relationships/hyperlink" Target="https://dalil.kg/document/302408" TargetMode="External"/><Relationship Id="rId7vwbuyvbnaekci4ts84rb" Type="http://schemas.openxmlformats.org/officeDocument/2006/relationships/hyperlink" Target="https://dalil.kg/document/302407" TargetMode="External"/><Relationship Id="rIdz6kiqtkwuev56a51kl8cu" Type="http://schemas.openxmlformats.org/officeDocument/2006/relationships/hyperlink" Target="https://dalil.kg/document/302285" TargetMode="External"/><Relationship Id="rId3orbgbaonk_tfbbo04cpi" Type="http://schemas.openxmlformats.org/officeDocument/2006/relationships/hyperlink" Target="https://dalil.kg/document/302285" TargetMode="External"/><Relationship Id="rIdnd6qwfhk3libcuwhwivjx" Type="http://schemas.openxmlformats.org/officeDocument/2006/relationships/hyperlink" Target="https://dalil.kg/document/302285" TargetMode="External"/><Relationship Id="rIdamd9cvfhv5u5n1scaaij3" Type="http://schemas.openxmlformats.org/officeDocument/2006/relationships/hyperlink" Target="https://dalil.kg/document/313169" TargetMode="External"/><Relationship Id="rId7j_r2yffyexpaxkoez5m-" Type="http://schemas.openxmlformats.org/officeDocument/2006/relationships/hyperlink" Target="https://dalil.kg/document/313770" TargetMode="External"/><Relationship Id="rIdy3ig__1xixp0rzsin_xpw" Type="http://schemas.openxmlformats.org/officeDocument/2006/relationships/hyperlink" Target="https://dalil.kg/document/313770" TargetMode="External"/><Relationship Id="rIddpv82usbtox0uvg4zqgx9" Type="http://schemas.openxmlformats.org/officeDocument/2006/relationships/hyperlink" Target="https://dalil.kg/document/313769" TargetMode="External"/><Relationship Id="rIdmvjt0ybjpq8-2tk-8xkju" Type="http://schemas.openxmlformats.org/officeDocument/2006/relationships/hyperlink" Target="https://dalil.kg/document/313770#pr1" TargetMode="External"/><Relationship Id="rIdkzcfo2szvbcjwm4fqefdf" Type="http://schemas.openxmlformats.org/officeDocument/2006/relationships/hyperlink" Target="https://dalil.kg/document/300273" TargetMode="External"/><Relationship Id="rIdejh5kcje2xbd2e-9vsk0y" Type="http://schemas.openxmlformats.org/officeDocument/2006/relationships/hyperlink" Target="https://dalil.kg/document/300274" TargetMode="External"/><Relationship Id="rIdzbottouxkhmhjjvh0qn3x" Type="http://schemas.openxmlformats.org/officeDocument/2006/relationships/hyperlink" Target="https://dalil.kg/document/300273" TargetMode="External"/><Relationship Id="rIdu2o-xdnrn3urnyoinjg3p" Type="http://schemas.openxmlformats.org/officeDocument/2006/relationships/hyperlink" Target="https://dalil.kg/document/300274#pr2" TargetMode="External"/><Relationship Id="rId2edhpuccfsd2n8tln7mcr" Type="http://schemas.openxmlformats.org/officeDocument/2006/relationships/hyperlink" Target="https://dalil.kg/document/301267" TargetMode="External"/><Relationship Id="rIdpcbugzmsxyulgqyyxsu6e" Type="http://schemas.openxmlformats.org/officeDocument/2006/relationships/hyperlink" Target="https://dalil.kg/document/302285" TargetMode="External"/><Relationship Id="rIdwhenft2t2ykbxgj5jhvlj" Type="http://schemas.openxmlformats.org/officeDocument/2006/relationships/hyperlink" Target="https://dalil.kg/document/302285" TargetMode="External"/><Relationship Id="rIdnqhmfhn8ln3auespp_xjr" Type="http://schemas.openxmlformats.org/officeDocument/2006/relationships/hyperlink" Target="https://dalil.kg/document/301267" TargetMode="External"/><Relationship Id="rIdutlegyy2x57q-vokfsyrt" Type="http://schemas.openxmlformats.org/officeDocument/2006/relationships/hyperlink" Target="https://dalil.kg/document/302285" TargetMode="External"/><Relationship Id="rIdqm7-javimtub1nngv4shz" Type="http://schemas.openxmlformats.org/officeDocument/2006/relationships/hyperlink" Target="https://dalil.kg/document/302407" TargetMode="External"/><Relationship Id="rId7evqjtphxig2yvlkvcnf2" Type="http://schemas.openxmlformats.org/officeDocument/2006/relationships/hyperlink" Target="https://dalil.kg/document/302408" TargetMode="External"/><Relationship Id="rId6bly6pizrhae0c9xi_v1-" Type="http://schemas.openxmlformats.org/officeDocument/2006/relationships/hyperlink" Target="https://dalil.kg/document/302408" TargetMode="External"/><Relationship Id="rId8eqk3tjzpxncbxj0xppya" Type="http://schemas.openxmlformats.org/officeDocument/2006/relationships/hyperlink" Target="https://dalil.kg/document/302407" TargetMode="External"/><Relationship Id="rIdjo01nevhm6b3fclr6ccdw" Type="http://schemas.openxmlformats.org/officeDocument/2006/relationships/hyperlink" Target="https://dalil.kg/document/302408#pr2"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cbjjorr5wnpmbytp36bj" Type="http://schemas.openxmlformats.org/officeDocument/2006/relationships/hyperlink" Target="https://dalil.kg/document/880805" TargetMode="External"/><Relationship Id="rIdjplqsgzilyj45spqn23k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2026-09-24T05:29:23.826Z</dcterms:created>
  <dcterms:modified xsi:type="dcterms:W3CDTF">2026-09-24T05:29:23.826Z</dcterms:modified>
</cp:coreProperties>
</file>

<file path=docProps/custom.xml><?xml version="1.0" encoding="utf-8"?>
<Properties xmlns="http://schemas.openxmlformats.org/officeDocument/2006/custom-properties" xmlns:vt="http://schemas.openxmlformats.org/officeDocument/2006/docPropsVTypes"/>
</file>