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2021 года № 4471-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7"/>
          <w:szCs w:val="27"/>
        </w:rPr>
        <w:t xml:space="preserve">О принятии Закона Кыргызской Республики "Об основах профилактики правонарушений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основах профилактики правонарушений", инициированный Правительством Кыргызской Республики (</w:t>
      </w:r>
      <w:hyperlink w:history="1" r:id="rIddzjnk3dbbhmp5ru9ynp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июня 2020 года № 344).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uuavyahy4pw-rzofa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dalil.kg/document/88179</w:t>
      </w:r>
    </w:hyperlink>
  </w:p>
  <w:p>
    <w:pPr>
      <w:spacing w:after="0" w:before="40"/>
      <w:jc w:val="center"/>
    </w:pPr>
    <w:hyperlink w:history="1" r:id="rIdopmzrxa2afvknajc2v8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jnk3dbbhmp5ru9ynplx" Type="http://schemas.openxmlformats.org/officeDocument/2006/relationships/hyperlink" Target="https://dalil.kg/document/1576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uuavyahy4pw-rzofax4" Type="http://schemas.openxmlformats.org/officeDocument/2006/relationships/hyperlink" Target="https://dalil.kg/document/88179" TargetMode="External"/><Relationship Id="rIdopmzrxa2afvknajc2v8_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2026-09-29T19:35:34.779Z</dcterms:created>
  <dcterms:modified xsi:type="dcterms:W3CDTF">2026-09-29T19:35:34.779Z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