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ЖОГОРКУ КЕНЕШ КЫРГЫЗСКОЙ РЕСПУБЛИКИ</w:t>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5 ноября 2020 года № 4158-VI</w:t>
      </w:r>
    </w:p>
    <w:p>
      <w:pPr>
        <w:spacing w:after="120" w:before="200"/>
        <w:jc w:val="center"/>
      </w:pPr>
      <w:r>
        <w:rPr>
          <w:rFonts w:ascii="Arial" w:cs="Arial" w:eastAsia="Arial" w:hAnsi="Arial"/>
          <w:b/>
          <w:bCs/>
          <w:sz w:val="28"/>
          <w:szCs w:val="28"/>
        </w:rPr>
        <w:t xml:space="preserve">О работе Правительства Кыргызской Республики по подготовке отраслей экономики и населения Кыргызской Республики к осенне-зимнему периоду 2020-2021 года</w:t>
      </w:r>
    </w:p>
    <w:p>
      <w:pPr>
        <w:spacing w:after="120"/>
        <w:jc w:val="both"/>
      </w:pPr>
      <w:r>
        <w:rPr>
          <w:rFonts w:ascii="Arial" w:cs="Arial" w:eastAsia="Arial" w:hAnsi="Arial"/>
          <w:sz w:val="24"/>
          <w:szCs w:val="24"/>
        </w:rPr>
        <w:t xml:space="preserve">Заслушав и обсудив информацию Правительства Кыргызской Республики по подготовке отраслей экономики и населения Кыргызской Республики к осенне-зимнему периоду 2020-2021 года, Жогорку Кенеш Кыргызской Республики отмечает следующее.</w:t>
      </w:r>
    </w:p>
    <w:p>
      <w:pPr>
        <w:spacing w:after="120"/>
        <w:ind w:firstLine="397"/>
        <w:jc w:val="both"/>
      </w:pPr>
      <w:r>
        <w:rPr>
          <w:rFonts w:ascii="Arial" w:cs="Arial" w:eastAsia="Arial" w:hAnsi="Arial"/>
          <w:sz w:val="24"/>
          <w:szCs w:val="24"/>
        </w:rPr>
        <w:t xml:space="preserve">Правительство Кыргызской Республики в соответствии с </w:t>
      </w:r>
      <w:hyperlink w:history="1" r:id="rIdsabeynvcy2rv3cfbxo6x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от 30 апреля 2020 года № 228 "О подготовке отраслей экономики и населения Кыргызской Республики к осенне-зимнему периоду 2020-2021 года" приняло план мероприятий для предприятий топливно-энергетического комплекса, министерств, административных ведомств, государственных комитетов, мэрий городов Бишкек, Ош и других органов исполнительной власти.</w:t>
      </w:r>
    </w:p>
    <w:p>
      <w:pPr>
        <w:spacing w:after="120"/>
        <w:ind w:firstLine="397"/>
        <w:jc w:val="both"/>
      </w:pPr>
      <w:r>
        <w:rPr>
          <w:rFonts w:ascii="Arial" w:cs="Arial" w:eastAsia="Arial" w:hAnsi="Arial"/>
          <w:sz w:val="24"/>
          <w:szCs w:val="24"/>
        </w:rPr>
        <w:t xml:space="preserve">По состоянию на 10 октября 2020 года в целом по республике заготовлено 607,348 тыс. тонн угля, в том числе населением - 463,480 тыс. тонн угля при текущем плане 520,775 тыс. тонн, что составляет 89,0%; бюджетными учреждениями - 143,868 тыс. тонн угля при текущем плане 142,67 тыс. тонн или 100,84%.</w:t>
      </w:r>
    </w:p>
    <w:p>
      <w:pPr>
        <w:spacing w:after="120"/>
        <w:ind w:firstLine="397"/>
        <w:jc w:val="both"/>
      </w:pPr>
      <w:r>
        <w:rPr>
          <w:rFonts w:ascii="Arial" w:cs="Arial" w:eastAsia="Arial" w:hAnsi="Arial"/>
          <w:sz w:val="24"/>
          <w:szCs w:val="24"/>
        </w:rPr>
        <w:t xml:space="preserve">На ТЭЦ города Бишкек по состоянию на 14 октября 2020 года поставлено 243,94 тыс. тонн угля, из них: местного Кара-Кечинского - 224,479 тыс. тонн, Таш-Кумырского - 6,649 тыс. тонн, импортного - 12,812 тыс. тонн.</w:t>
      </w:r>
    </w:p>
    <w:p>
      <w:pPr>
        <w:spacing w:after="120"/>
        <w:ind w:firstLine="397"/>
        <w:jc w:val="both"/>
      </w:pPr>
      <w:r>
        <w:rPr>
          <w:rFonts w:ascii="Arial" w:cs="Arial" w:eastAsia="Arial" w:hAnsi="Arial"/>
          <w:sz w:val="24"/>
          <w:szCs w:val="24"/>
        </w:rPr>
        <w:t xml:space="preserve">На ТЭЦ города Ош по состоянию на 13 октября 2020 года поставлено топочного мазута в объеме 19,986 тыс. тонн или с учетом остатка прошлогоднего осенне-зимнего периода в объеме 23,042 тыс. тонн.</w:t>
      </w:r>
    </w:p>
    <w:p>
      <w:pPr>
        <w:spacing w:after="120"/>
        <w:ind w:firstLine="397"/>
        <w:jc w:val="both"/>
      </w:pPr>
      <w:r>
        <w:rPr>
          <w:rFonts w:ascii="Arial" w:cs="Arial" w:eastAsia="Arial" w:hAnsi="Arial"/>
          <w:sz w:val="24"/>
          <w:szCs w:val="24"/>
        </w:rPr>
        <w:t xml:space="preserve">В сети ОАО "Бишкектеплосеть" по состоянию на 1 октября 2020 года поступило 1186,73 тыс. Гкал тепловой энергии. Дебиторская задолженность потребителей тепловой энергии по состоянию на 1 октября 2020 года составила 230,64 млн. сомов и по сравнению с началом года уменьшилась на 165,34 млн. сом. Сбор платежей составил 1307,4 млн. сом, что составляет 112,06% от реализованной товарной продукции.</w:t>
      </w:r>
    </w:p>
    <w:p>
      <w:pPr>
        <w:spacing w:after="120"/>
        <w:ind w:firstLine="397"/>
        <w:jc w:val="both"/>
      </w:pPr>
      <w:r>
        <w:rPr>
          <w:rFonts w:ascii="Arial" w:cs="Arial" w:eastAsia="Arial" w:hAnsi="Arial"/>
          <w:sz w:val="24"/>
          <w:szCs w:val="24"/>
        </w:rPr>
        <w:t xml:space="preserve">Выработка КП "Бишкектеплоэнерго" тепловой энергии при плане 140,41 тыс. Гкал фактически составила 117,63 тыс. Гкал, что на 22,78 тыс. Гкал меньше плана. Дебиторская задолженность по состоянию на 1 октября 2020 года составила 42,14 млн. сомов. На 1 октября 2020 года заготовлено 1,520 тыс. тонн угля.</w:t>
      </w:r>
    </w:p>
    <w:p>
      <w:pPr>
        <w:spacing w:after="120"/>
        <w:ind w:firstLine="397"/>
        <w:jc w:val="both"/>
      </w:pPr>
      <w:r>
        <w:rPr>
          <w:rFonts w:ascii="Arial" w:cs="Arial" w:eastAsia="Arial" w:hAnsi="Arial"/>
          <w:sz w:val="24"/>
          <w:szCs w:val="24"/>
        </w:rPr>
        <w:t xml:space="preserve">ГП "Кыргызтеплоэнерго" на 10 октября 2020 года заготовлено угля 28,842 тыс. тонн, топочного мазута по состоянию на 1 октября 2020 года заготовлено 15,4 тыс. тонн, из предусмотренных средств на ремонтные работы котельных и тепловых сетей по состоянию на 1 октября 2020 года освоено 91,336 млн. сом. За 9 месяцев 2020 года выработка тепловой энергии составила 273,0 тыс. Гкал.</w:t>
      </w:r>
    </w:p>
    <w:p>
      <w:pPr>
        <w:spacing w:after="120"/>
        <w:ind w:firstLine="397"/>
        <w:jc w:val="both"/>
      </w:pPr>
      <w:r>
        <w:rPr>
          <w:rFonts w:ascii="Arial" w:cs="Arial" w:eastAsia="Arial" w:hAnsi="Arial"/>
          <w:sz w:val="24"/>
          <w:szCs w:val="24"/>
        </w:rPr>
        <w:t xml:space="preserve">В ОсОО "Газпром Кыргызстан" за 9 месяцев 2020 года поступило для реализации 198 млн. м</w:t>
      </w:r>
      <w:r>
        <w:rPr>
          <w:rFonts w:ascii="Arial" w:cs="Arial" w:eastAsia="Arial" w:hAnsi="Arial"/>
          <w:sz w:val="24"/>
          <w:szCs w:val="24"/>
        </w:rPr>
        <w:t xml:space="preserve">3</w:t>
      </w:r>
      <w:r>
        <w:rPr>
          <w:rFonts w:ascii="Arial" w:cs="Arial" w:eastAsia="Arial" w:hAnsi="Arial"/>
          <w:sz w:val="24"/>
          <w:szCs w:val="24"/>
        </w:rPr>
        <w:t xml:space="preserve"> природного газа. Инвестиционная программа ОсОО "Газпром Кыргызстан" на 2020 год включает 4 инвестиционных проекта.</w:t>
      </w:r>
    </w:p>
    <w:p>
      <w:pPr>
        <w:spacing w:after="120"/>
        <w:ind w:firstLine="397"/>
        <w:jc w:val="both"/>
      </w:pPr>
      <w:r>
        <w:rPr>
          <w:rFonts w:ascii="Arial" w:cs="Arial" w:eastAsia="Arial" w:hAnsi="Arial"/>
          <w:sz w:val="24"/>
          <w:szCs w:val="24"/>
        </w:rPr>
        <w:t xml:space="preserve">По угледобывающей отрасли за январь-август 2020 года объем промышленной продукции составил 1426,23 млн. сомов, при этом добыто 1000,6 тыс. тонн угля. По северному региону добыча составила 350,267 тыс. тонн, по южному региону - 650,33 тыс. тонн.</w:t>
      </w:r>
    </w:p>
    <w:p>
      <w:pPr>
        <w:spacing w:after="120"/>
        <w:ind w:firstLine="397"/>
        <w:jc w:val="both"/>
      </w:pPr>
      <w:r>
        <w:rPr>
          <w:rFonts w:ascii="Arial" w:cs="Arial" w:eastAsia="Arial" w:hAnsi="Arial"/>
          <w:sz w:val="24"/>
          <w:szCs w:val="24"/>
        </w:rPr>
        <w:t xml:space="preserve">По состоянию на 14 октября 2020 года объем воды Токтогульского водохранилища составил 15099 млн. м</w:t>
      </w:r>
      <w:r>
        <w:rPr>
          <w:rFonts w:ascii="Arial" w:cs="Arial" w:eastAsia="Arial" w:hAnsi="Arial"/>
          <w:sz w:val="24"/>
          <w:szCs w:val="24"/>
        </w:rPr>
        <w:t xml:space="preserve">3</w:t>
      </w:r>
      <w:r>
        <w:rPr>
          <w:rFonts w:ascii="Arial" w:cs="Arial" w:eastAsia="Arial" w:hAnsi="Arial"/>
          <w:sz w:val="24"/>
          <w:szCs w:val="24"/>
        </w:rPr>
        <w:t xml:space="preserve">, что меньше на 2157 млн. м</w:t>
      </w:r>
      <w:r>
        <w:rPr>
          <w:rFonts w:ascii="Arial" w:cs="Arial" w:eastAsia="Arial" w:hAnsi="Arial"/>
          <w:sz w:val="24"/>
          <w:szCs w:val="24"/>
        </w:rPr>
        <w:t xml:space="preserve">3</w:t>
      </w:r>
      <w:r>
        <w:rPr>
          <w:rFonts w:ascii="Arial" w:cs="Arial" w:eastAsia="Arial" w:hAnsi="Arial"/>
          <w:sz w:val="24"/>
          <w:szCs w:val="24"/>
        </w:rPr>
        <w:t xml:space="preserve"> по сравнению с аналогичной датой 2019 года (17256 млн. м</w:t>
      </w:r>
      <w:r>
        <w:rPr>
          <w:rFonts w:ascii="Arial" w:cs="Arial" w:eastAsia="Arial" w:hAnsi="Arial"/>
          <w:sz w:val="24"/>
          <w:szCs w:val="24"/>
        </w:rPr>
        <w:t xml:space="preserve">3</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Выработка электроэнергии ОАО "Электрические станции" за 9 месяцев 2020 года составила 10412,0 млн. кВтч, что на 135,4 млн. кВтч меньше показателя за аналогичный период 2019 года (10547,4 млн. кВтч), в том числе:</w:t>
      </w:r>
    </w:p>
    <w:p>
      <w:pPr>
        <w:spacing w:after="120"/>
        <w:ind w:firstLine="397"/>
        <w:jc w:val="both"/>
      </w:pPr>
      <w:r>
        <w:rPr>
          <w:rFonts w:ascii="Arial" w:cs="Arial" w:eastAsia="Arial" w:hAnsi="Arial"/>
          <w:sz w:val="24"/>
          <w:szCs w:val="24"/>
        </w:rPr>
        <w:t xml:space="preserve">- на ГЭС объем выработки электроэнергии составил 9565,2 млн. кВтч, что на 224,0 млн. кВтч меньше показателя 2019 года (9,789,2 млн. кВтч);</w:t>
      </w:r>
    </w:p>
    <w:p>
      <w:pPr>
        <w:spacing w:after="120"/>
        <w:ind w:firstLine="397"/>
        <w:jc w:val="both"/>
      </w:pPr>
      <w:r>
        <w:rPr>
          <w:rFonts w:ascii="Arial" w:cs="Arial" w:eastAsia="Arial" w:hAnsi="Arial"/>
          <w:sz w:val="24"/>
          <w:szCs w:val="24"/>
        </w:rPr>
        <w:t xml:space="preserve">- на ТЭЦ объем выработки электроэнергии составил 846,8 млн. кВтч, что на 88,6 млн. кВтч больше показателя 2019 года (758,2 млн. кВтч).</w:t>
      </w:r>
    </w:p>
    <w:p>
      <w:pPr>
        <w:spacing w:after="120"/>
        <w:ind w:firstLine="397"/>
        <w:jc w:val="both"/>
      </w:pPr>
      <w:r>
        <w:rPr>
          <w:rFonts w:ascii="Arial" w:cs="Arial" w:eastAsia="Arial" w:hAnsi="Arial"/>
          <w:sz w:val="24"/>
          <w:szCs w:val="24"/>
        </w:rPr>
        <w:t xml:space="preserve">Выработка тепловой энергии составила 1293,3 тыс. Гкал, что на 147,7 тыс. Гкал больше показателя за аналогичный период 2019 года (1145,6 тыс. Гкал).</w:t>
      </w:r>
    </w:p>
    <w:p>
      <w:pPr>
        <w:spacing w:after="120"/>
        <w:ind w:firstLine="397"/>
        <w:jc w:val="both"/>
      </w:pPr>
      <w:r>
        <w:rPr>
          <w:rFonts w:ascii="Arial" w:cs="Arial" w:eastAsia="Arial" w:hAnsi="Arial"/>
          <w:sz w:val="24"/>
          <w:szCs w:val="24"/>
        </w:rPr>
        <w:t xml:space="preserve">Выработка электроэнергии ОАО "Чакан ГЭС" за 9 месяцев 2020 года составила 111,96 млн. кВтч, что на 11,58 млн. кВтч меньше показателя за аналогичный период 2019 года (123,54 млн. кВтч).</w:t>
      </w:r>
    </w:p>
    <w:p>
      <w:pPr>
        <w:spacing w:after="120"/>
        <w:ind w:firstLine="397"/>
        <w:jc w:val="both"/>
      </w:pPr>
      <w:r>
        <w:rPr>
          <w:rFonts w:ascii="Arial" w:cs="Arial" w:eastAsia="Arial" w:hAnsi="Arial"/>
          <w:sz w:val="24"/>
          <w:szCs w:val="24"/>
        </w:rPr>
        <w:t xml:space="preserve">Потери электроэнергии в сетях распределительных энергокомпаний (далее - РЭК) за 9 месяцев 2020 года составили 10,8% или 912,0 млн. кВтч, что на 0,3% меньше норматива (11,1%).</w:t>
      </w:r>
    </w:p>
    <w:p>
      <w:pPr>
        <w:spacing w:after="120"/>
        <w:ind w:firstLine="397"/>
        <w:jc w:val="both"/>
      </w:pPr>
      <w:r>
        <w:rPr>
          <w:rFonts w:ascii="Arial" w:cs="Arial" w:eastAsia="Arial" w:hAnsi="Arial"/>
          <w:sz w:val="24"/>
          <w:szCs w:val="24"/>
        </w:rPr>
        <w:t xml:space="preserve">За 9 месяцев 2020 года в сети РЭК поступило 8434,5 млн. кВтч электроэнергии, потребителям полезно отпущено 7476,8 млн. кВтч электроэнергии. Товарная продукция составила 9917,5 млн. сом, сбор денежных средств за отпущенную электроэнергию по РЭК составил 10072,9 млн. сом.</w:t>
      </w:r>
    </w:p>
    <w:p>
      <w:pPr>
        <w:spacing w:after="120"/>
        <w:ind w:firstLine="397"/>
        <w:jc w:val="both"/>
      </w:pPr>
      <w:r>
        <w:rPr>
          <w:rFonts w:ascii="Arial" w:cs="Arial" w:eastAsia="Arial" w:hAnsi="Arial"/>
          <w:sz w:val="24"/>
          <w:szCs w:val="24"/>
        </w:rPr>
        <w:t xml:space="preserve">Дебиторская задолженность потребителей на 1 октября 2020 года перед РЭК составляет 1135,0 млн. сом (на 1 января 2020 года - 1349,0 млн. сом) и уменьшилась за январь-сентябрь 2020 года на 214,0 млн. сом или на 15,9%. При этом дебиторская задолженность населения за январь-сентябрь 2020 года уменьшилась на 234,4 млн. сом или на 32,5% и по состоянию на 1 октября 2020 года составила 487,9 млн. сом.</w:t>
      </w:r>
    </w:p>
    <w:p>
      <w:pPr>
        <w:spacing w:after="120"/>
        <w:ind w:firstLine="397"/>
        <w:jc w:val="both"/>
      </w:pPr>
      <w:r>
        <w:rPr>
          <w:rFonts w:ascii="Arial" w:cs="Arial" w:eastAsia="Arial" w:hAnsi="Arial"/>
          <w:sz w:val="24"/>
          <w:szCs w:val="24"/>
        </w:rPr>
        <w:t xml:space="preserve">За 9 месяцев 2020 года технические потери электроэнергии составили в электрических сетях ОАО "НЭС Кыргызстана" 559,38 млн. кВтч или 5,52% от поступления в сеть 10141,03 млн. кВтч электроэнергии.</w:t>
      </w:r>
    </w:p>
    <w:p>
      <w:pPr>
        <w:spacing w:after="120"/>
        <w:ind w:firstLine="397"/>
        <w:jc w:val="both"/>
      </w:pPr>
      <w:r>
        <w:rPr>
          <w:rFonts w:ascii="Arial" w:cs="Arial" w:eastAsia="Arial" w:hAnsi="Arial"/>
          <w:sz w:val="24"/>
          <w:szCs w:val="24"/>
        </w:rPr>
        <w:t xml:space="preserve">Количество аварийных отключений за январь-сентябрь 2020 г. в сетях РЭК составило 3803 отключений и по сравнению с аналогичным периодом 2019 года увеличилось на 384 или на 11,2%.</w:t>
      </w:r>
    </w:p>
    <w:p>
      <w:pPr>
        <w:spacing w:after="120"/>
        <w:ind w:firstLine="397"/>
        <w:jc w:val="both"/>
      </w:pPr>
      <w:r>
        <w:rPr>
          <w:rFonts w:ascii="Arial" w:cs="Arial" w:eastAsia="Arial" w:hAnsi="Arial"/>
          <w:sz w:val="24"/>
          <w:szCs w:val="24"/>
        </w:rPr>
        <w:t xml:space="preserve">Учитывая информацию Правительства Кыргызской Республики о готовности отраслей экономики и населения Кыргызской Республики к осенне-зимнему периоду 2020-2021 года, а также в целях надежного функционирования топливно-энергетического комплекса республики Жогорку Кенеш Кыргызской Республики постановляет:</w:t>
      </w:r>
    </w:p>
    <w:p>
      <w:pPr>
        <w:spacing w:after="120"/>
        <w:ind w:firstLine="397"/>
        <w:jc w:val="both"/>
      </w:pPr>
      <w:r>
        <w:rPr>
          <w:rFonts w:ascii="Arial" w:cs="Arial" w:eastAsia="Arial" w:hAnsi="Arial"/>
          <w:sz w:val="24"/>
          <w:szCs w:val="24"/>
        </w:rPr>
        <w:t xml:space="preserve">1. Информацию Правительства Кыргызской Республики о готовности отраслей экономики и населения Кыргызской Республики к осенне-зимнему периоду 2020-2021 года принять к сведению.</w:t>
      </w:r>
    </w:p>
    <w:p>
      <w:pPr>
        <w:spacing w:after="120"/>
        <w:ind w:firstLine="397"/>
        <w:jc w:val="both"/>
      </w:pPr>
      <w:r>
        <w:rPr>
          <w:rFonts w:ascii="Arial" w:cs="Arial" w:eastAsia="Arial" w:hAnsi="Arial"/>
          <w:sz w:val="24"/>
          <w:szCs w:val="24"/>
        </w:rPr>
        <w:t xml:space="preserve">2. Правительству Кыргызской Республики рекомендовать:</w:t>
      </w:r>
    </w:p>
    <w:p>
      <w:pPr>
        <w:spacing w:after="120"/>
        <w:ind w:firstLine="397"/>
        <w:jc w:val="both"/>
      </w:pPr>
      <w:r>
        <w:rPr>
          <w:rFonts w:ascii="Arial" w:cs="Arial" w:eastAsia="Arial" w:hAnsi="Arial"/>
          <w:sz w:val="24"/>
          <w:szCs w:val="24"/>
        </w:rPr>
        <w:t xml:space="preserve">- министерствам и ведомствам, аппаратам полномочных представителей Правительства Кыргызской Республики в областях, органам местного самоуправления, мэриям городов Бишкек и Ош обеспечить выполнение графика заготовки топлива, соблюдение установленных лимитов потребления электрической энергии и мощности, своевременное погашение задолженности за потребленные электрическую, тепловую энергию, топочный мазут и природный газ;</w:t>
      </w:r>
    </w:p>
    <w:p>
      <w:pPr>
        <w:spacing w:after="120"/>
        <w:ind w:firstLine="397"/>
        <w:jc w:val="both"/>
      </w:pPr>
      <w:r>
        <w:rPr>
          <w:rFonts w:ascii="Arial" w:cs="Arial" w:eastAsia="Arial" w:hAnsi="Arial"/>
          <w:sz w:val="24"/>
          <w:szCs w:val="24"/>
        </w:rPr>
        <w:t xml:space="preserve">- в полном объеме осуществлять выделение финансовых средств, предусмотренных </w:t>
      </w:r>
      <w:hyperlink w:history="1" r:id="rIds6pxkc4_21thf6l1bst0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Кыргызской Республики на 2020 год и прогнозе на 2021-2022 годы", на оплату коммунальных услуг в соответствии с ежемесячным финансовым планом ресурсов, доходов и бюджетных расходов;</w:t>
      </w:r>
    </w:p>
    <w:p>
      <w:pPr>
        <w:spacing w:after="120"/>
        <w:ind w:firstLine="397"/>
        <w:jc w:val="both"/>
      </w:pPr>
      <w:r>
        <w:rPr>
          <w:rFonts w:ascii="Arial" w:cs="Arial" w:eastAsia="Arial" w:hAnsi="Arial"/>
          <w:sz w:val="24"/>
          <w:szCs w:val="24"/>
        </w:rPr>
        <w:t xml:space="preserve">- не допускать образование дебиторской задолженности бюджетных учреждений за потребленные электрическую, тепловую энергию и природный газ;</w:t>
      </w:r>
    </w:p>
    <w:p>
      <w:pPr>
        <w:spacing w:after="120"/>
        <w:ind w:firstLine="397"/>
        <w:jc w:val="both"/>
      </w:pPr>
      <w:r>
        <w:rPr>
          <w:rFonts w:ascii="Arial" w:cs="Arial" w:eastAsia="Arial" w:hAnsi="Arial"/>
          <w:sz w:val="24"/>
          <w:szCs w:val="24"/>
        </w:rPr>
        <w:t xml:space="preserve">- рассмотреть вопрос о выделении финансовых средств для ремонта автодороги к угольному месторождению Кара-Кече;</w:t>
      </w:r>
    </w:p>
    <w:p>
      <w:pPr>
        <w:spacing w:after="120"/>
        <w:ind w:firstLine="397"/>
        <w:jc w:val="both"/>
      </w:pPr>
      <w:r>
        <w:rPr>
          <w:rFonts w:ascii="Arial" w:cs="Arial" w:eastAsia="Arial" w:hAnsi="Arial"/>
          <w:sz w:val="24"/>
          <w:szCs w:val="24"/>
        </w:rPr>
        <w:t xml:space="preserve">- обеспечить устойчивую работу энергосистемы и бесперебойное обеспечение экономики и населения республики электрической, тепловой энергией и природным газом в осенне-зимний период 2020-2021 года;</w:t>
      </w:r>
    </w:p>
    <w:p>
      <w:pPr>
        <w:spacing w:after="120"/>
        <w:ind w:firstLine="397"/>
        <w:jc w:val="both"/>
      </w:pPr>
      <w:r>
        <w:rPr>
          <w:rFonts w:ascii="Arial" w:cs="Arial" w:eastAsia="Arial" w:hAnsi="Arial"/>
          <w:sz w:val="24"/>
          <w:szCs w:val="24"/>
        </w:rPr>
        <w:t xml:space="preserve">- обеспечить поставки топлива предприятиями топливно-энергетического комплекса в соответствии с </w:t>
      </w:r>
      <w:hyperlink w:history="1" r:id="rId9ru9thvee4hqvzr9wyfe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апреля 2020 года № 228;</w:t>
      </w:r>
    </w:p>
    <w:p>
      <w:pPr>
        <w:spacing w:after="120"/>
        <w:ind w:firstLine="397"/>
        <w:jc w:val="both"/>
      </w:pPr>
      <w:r>
        <w:rPr>
          <w:rFonts w:ascii="Arial" w:cs="Arial" w:eastAsia="Arial" w:hAnsi="Arial"/>
          <w:sz w:val="24"/>
          <w:szCs w:val="24"/>
        </w:rPr>
        <w:t xml:space="preserve">- усилить работу в части разработки и утверждения нормативных правовых актов и нормативно-технической документации в топливно-энергетическом секторе;</w:t>
      </w:r>
    </w:p>
    <w:p>
      <w:pPr>
        <w:spacing w:after="120"/>
        <w:ind w:firstLine="397"/>
        <w:jc w:val="both"/>
      </w:pPr>
      <w:r>
        <w:rPr>
          <w:rFonts w:ascii="Arial" w:cs="Arial" w:eastAsia="Arial" w:hAnsi="Arial"/>
          <w:sz w:val="24"/>
          <w:szCs w:val="24"/>
        </w:rPr>
        <w:t xml:space="preserve">- обеспечить устойчивую параллельную работу энергосистемы республики в составе объединенной энергетической системы Центральной Азии;</w:t>
      </w:r>
    </w:p>
    <w:p>
      <w:pPr>
        <w:spacing w:after="120"/>
        <w:ind w:firstLine="397"/>
        <w:jc w:val="both"/>
      </w:pPr>
      <w:r>
        <w:rPr>
          <w:rFonts w:ascii="Arial" w:cs="Arial" w:eastAsia="Arial" w:hAnsi="Arial"/>
          <w:sz w:val="24"/>
          <w:szCs w:val="24"/>
        </w:rPr>
        <w:t xml:space="preserve">- принять необходимые меры по недопущению аварийных отключений потребителей электрической и тепловой энергии;</w:t>
      </w:r>
    </w:p>
    <w:p>
      <w:pPr>
        <w:spacing w:after="120"/>
        <w:ind w:firstLine="397"/>
        <w:jc w:val="both"/>
      </w:pPr>
      <w:r>
        <w:rPr>
          <w:rFonts w:ascii="Arial" w:cs="Arial" w:eastAsia="Arial" w:hAnsi="Arial"/>
          <w:sz w:val="24"/>
          <w:szCs w:val="24"/>
        </w:rPr>
        <w:t xml:space="preserve">- обеспечить в полном объеме оплату за потребленную электрическую и тепловую энергию бюджетными организациями и населением;</w:t>
      </w:r>
    </w:p>
    <w:p>
      <w:pPr>
        <w:spacing w:after="120"/>
        <w:ind w:firstLine="397"/>
        <w:jc w:val="both"/>
      </w:pPr>
      <w:r>
        <w:rPr>
          <w:rFonts w:ascii="Arial" w:cs="Arial" w:eastAsia="Arial" w:hAnsi="Arial"/>
          <w:sz w:val="24"/>
          <w:szCs w:val="24"/>
        </w:rPr>
        <w:t xml:space="preserve">- рассмотреть неудовлетворительную работу Нацэнергохолдинга в части внедрения АСКУЭ в РЭКах.</w:t>
      </w:r>
    </w:p>
    <w:p>
      <w:pPr>
        <w:spacing w:after="120"/>
        <w:ind w:firstLine="397"/>
        <w:jc w:val="both"/>
      </w:pPr>
      <w:r>
        <w:rPr>
          <w:rFonts w:ascii="Arial" w:cs="Arial" w:eastAsia="Arial" w:hAnsi="Arial"/>
          <w:sz w:val="24"/>
          <w:szCs w:val="24"/>
        </w:rPr>
        <w:t xml:space="preserve">3. Контроль за исполнением настоящего постановления возложить на Комитет Жогорку Кенеша Кыргызской Республики по топливно-энергетическому комплексу и недропользованию.</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T.Мамытов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2ca2xdxbatu4cs4iwv0">
      <w:r>
        <w:rPr>
          <w:rFonts w:ascii="Arial" w:cs="Arial" w:eastAsia="Arial" w:hAnsi="Arial"/>
          <w:color w:val="132D3F"/>
          <w:sz w:val="16"/>
          <w:szCs w:val="16"/>
          <w:u w:val="single"/>
        </w:rPr>
        <w:t xml:space="preserve">dalil.kg/document/88454</w:t>
      </w:r>
    </w:hyperlink>
  </w:p>
  <w:p>
    <w:pPr>
      <w:spacing w:after="0" w:before="40"/>
      <w:jc w:val="center"/>
    </w:pPr>
    <w:hyperlink w:history="1" r:id="rIdogw10qvolsmmlgfely6z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beynvcy2rv3cfbxo6xd" Type="http://schemas.openxmlformats.org/officeDocument/2006/relationships/hyperlink" Target="https://dalil.kg/document/157780" TargetMode="External"/><Relationship Id="rIds6pxkc4_21thf6l1bst0c" Type="http://schemas.openxmlformats.org/officeDocument/2006/relationships/hyperlink" Target="https://dalil.kg/document/112001" TargetMode="External"/><Relationship Id="rId9ru9thvee4hqvzr9wyfen" Type="http://schemas.openxmlformats.org/officeDocument/2006/relationships/hyperlink" Target="https://dalil.kg/document/15778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2ca2xdxbatu4cs4iwv0" Type="http://schemas.openxmlformats.org/officeDocument/2006/relationships/hyperlink" Target="https://dalil.kg/document/88454" TargetMode="External"/><Relationship Id="rIdogw10qvolsmmlgfely6z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2026-09-30T08:59:06.989Z</dcterms:created>
  <dcterms:modified xsi:type="dcterms:W3CDTF">2026-09-30T08:59:06.989Z</dcterms:modified>
</cp:coreProperties>
</file>

<file path=docProps/custom.xml><?xml version="1.0" encoding="utf-8"?>
<Properties xmlns="http://schemas.openxmlformats.org/officeDocument/2006/custom-properties" xmlns:vt="http://schemas.openxmlformats.org/officeDocument/2006/docPropsVTypes"/>
</file>