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июну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306</w:t>
      </w:r>
      <w:r>
        <w:rPr>
          <w:rFonts w:ascii="Arial" w:cs="Arial" w:eastAsia="Arial" w:hAnsi="Arial"/>
          <w:sz w:val="24"/>
          <w:szCs w:val="24"/>
        </w:rPr>
        <w:t xml:space="preserve">-VI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докладе Акыйкатчы (Омбудсмена) Кыргызской Республики «О соблюдении прав и свобод человека и гражданина в Кыргызской Республике в 20</w:t>
      </w:r>
      <w:r>
        <w:rPr>
          <w:rFonts w:ascii="Arial" w:cs="Arial" w:eastAsia="Arial" w:hAnsi="Arial"/>
          <w:sz w:val="28"/>
          <w:szCs w:val="28"/>
        </w:rPr>
        <w:t xml:space="preserve">20</w:t>
      </w:r>
      <w:r>
        <w:rPr>
          <w:rFonts w:ascii="Arial" w:cs="Arial" w:eastAsia="Arial" w:hAnsi="Arial"/>
          <w:sz w:val="28"/>
          <w:szCs w:val="28"/>
        </w:rPr>
        <w:t xml:space="preserve"> году»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пунктом 2 части 5 </w:t>
      </w:r>
      <w:hyperlink w:history="1" r:id="rIdlrj_akgaaej9y3qmfkj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доклад Акыйкатчы (Омбудсмена) Кыргызской Республики «О соблюдении прав и свобод человека и гражданина в Кыргызской Республике в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году», Жогорку Кенеш Кыргызской Республики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300" w:before="3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сведению доклад Акыйкатчы (Омбудсмена) Кыргызской Республики «О соблюдении прав и свобод человека и гражданина в Кыргызской Республике в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году».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um_-3osafjw14yaah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dalil.kg/document/89118</w:t>
      </w:r>
    </w:hyperlink>
  </w:p>
  <w:p>
    <w:pPr>
      <w:spacing w:after="0" w:before="40"/>
      <w:jc w:val="center"/>
    </w:pPr>
    <w:hyperlink w:history="1" r:id="rIdcmx8cop-ajs6lw_gw4k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j_akgaaej9y3qmfkj8m" Type="http://schemas.openxmlformats.org/officeDocument/2006/relationships/hyperlink" Target="https://dalil.kg/document/112213#st_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um_-3osafjw14yaahlt" Type="http://schemas.openxmlformats.org/officeDocument/2006/relationships/hyperlink" Target="https://dalil.kg/document/89118" TargetMode="External"/><Relationship Id="rIdcmx8cop-ajs6lw_gw4k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2026-09-29T04:34:24.059Z</dcterms:created>
  <dcterms:modified xsi:type="dcterms:W3CDTF">2026-09-29T04:34:24.059Z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