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21</w:t>
      </w:r>
      <w:r>
        <w:rPr>
          <w:rFonts w:ascii="Arial" w:cs="Arial" w:eastAsia="Arial" w:hAnsi="Arial"/>
          <w:sz w:val="22"/>
          <w:szCs w:val="22"/>
        </w:rPr>
        <w:t xml:space="preserve"> декабря 2022 года № 767-VII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evaomvytwmsj_ucqx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Д.Д.Бекешевым, Э.Ж.Сурабалдиевой, С.А.Атамбаевым,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kpfnk5bud6movppi-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dalil.kg/document/89569</w:t>
      </w:r>
    </w:hyperlink>
  </w:p>
  <w:p>
    <w:pPr>
      <w:spacing w:after="0" w:before="40"/>
      <w:jc w:val="center"/>
    </w:pPr>
    <w:hyperlink w:history="1" r:id="rId4wdlpvtrdhrv2gp9ae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vaomvytwmsj_ucqxvf5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kpfnk5bud6movppi-kr" Type="http://schemas.openxmlformats.org/officeDocument/2006/relationships/hyperlink" Target="https://dalil.kg/document/89569" TargetMode="External"/><Relationship Id="rId4wdlpvtrdhrv2gp9aeg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2026-09-28T22:03:41.700Z</dcterms:created>
  <dcterms:modified xsi:type="dcterms:W3CDTF">2026-09-28T22:03:41.700Z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