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2 февраля</w:t>
      </w:r>
      <w:r>
        <w:rPr>
          <w:rFonts w:ascii="Arial" w:cs="Arial" w:eastAsia="Arial" w:hAnsi="Arial"/>
          <w:sz w:val="22"/>
          <w:szCs w:val="22"/>
        </w:rPr>
        <w:t xml:space="preserve"> 202</w:t>
      </w:r>
      <w:r>
        <w:rPr>
          <w:rFonts w:ascii="Arial" w:cs="Arial" w:eastAsia="Arial" w:hAnsi="Arial"/>
          <w:sz w:val="22"/>
          <w:szCs w:val="22"/>
        </w:rPr>
        <w:t xml:space="preserve">3</w:t>
      </w:r>
      <w:r>
        <w:rPr>
          <w:rFonts w:ascii="Arial" w:cs="Arial" w:eastAsia="Arial" w:hAnsi="Arial"/>
          <w:sz w:val="22"/>
          <w:szCs w:val="22"/>
        </w:rPr>
        <w:t xml:space="preserve"> года № 9</w:t>
      </w:r>
      <w:r>
        <w:rPr>
          <w:rFonts w:ascii="Arial" w:cs="Arial" w:eastAsia="Arial" w:hAnsi="Arial"/>
          <w:sz w:val="22"/>
          <w:szCs w:val="22"/>
        </w:rPr>
        <w:t xml:space="preserve">26</w:t>
      </w:r>
      <w:r>
        <w:rPr>
          <w:rFonts w:ascii="Arial" w:cs="Arial" w:eastAsia="Arial" w:hAnsi="Arial"/>
          <w:sz w:val="22"/>
          <w:szCs w:val="22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«Об актах гражданского состояния»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rp3y3i36pzyig8jki65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состояния», инициированный Председателем Кабинета Министров Кыргызской Республики (исх. № 26-21686 от 24 августа 2022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1bqef83bhbm3vyhdq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dalil.kg/document/89593</w:t>
      </w:r>
    </w:hyperlink>
  </w:p>
  <w:p>
    <w:pPr>
      <w:spacing w:after="0" w:before="40"/>
      <w:jc w:val="center"/>
    </w:pPr>
    <w:hyperlink w:history="1" r:id="rId7ag2z-b91mxptma3c5c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3y3i36pzyig8jki65oj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1bqef83bhbm3vyhdqch" Type="http://schemas.openxmlformats.org/officeDocument/2006/relationships/hyperlink" Target="https://dalil.kg/document/89593" TargetMode="External"/><Relationship Id="rId7ag2z-b91mxptma3c5c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2026-09-28T19:12:37.224Z</dcterms:created>
  <dcterms:modified xsi:type="dcterms:W3CDTF">2026-09-28T19:12:37.224Z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