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мая</w:t>
      </w:r>
      <w:r>
        <w:rPr>
          <w:rFonts w:ascii="Arial" w:cs="Arial" w:eastAsia="Arial" w:hAnsi="Arial"/>
          <w:sz w:val="24"/>
          <w:szCs w:val="24"/>
        </w:rPr>
        <w:t xml:space="preserve"> 2023 года № 1</w:t>
      </w:r>
      <w:r>
        <w:rPr>
          <w:rFonts w:ascii="Arial" w:cs="Arial" w:eastAsia="Arial" w:hAnsi="Arial"/>
          <w:sz w:val="24"/>
          <w:szCs w:val="24"/>
        </w:rPr>
        <w:t xml:space="preserve">196</w:t>
      </w:r>
      <w:r>
        <w:rPr>
          <w:rFonts w:ascii="Arial" w:cs="Arial" w:eastAsia="Arial" w:hAnsi="Arial"/>
          <w:sz w:val="24"/>
          <w:szCs w:val="24"/>
        </w:rPr>
        <w:t xml:space="preserve">-V</w:t>
      </w:r>
      <w:r>
        <w:rPr>
          <w:rFonts w:ascii="Arial" w:cs="Arial" w:eastAsia="Arial" w:hAnsi="Arial"/>
          <w:sz w:val="24"/>
          <w:szCs w:val="24"/>
        </w:rPr>
        <w:t xml:space="preserve">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конституционного Закона Кыргызской Республики "О государственном языке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t3ezpv0kr6bij_3azdx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Республики", инициированный Председателем Кабинета Министров Кыргызской Республики (исх. № 24-4940 от 28 сентября 2022 года).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qqa-9xoqlsp762xge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dalil.kg/document/89992</w:t>
      </w:r>
    </w:hyperlink>
  </w:p>
  <w:p>
    <w:pPr>
      <w:spacing w:after="0" w:before="40"/>
      <w:jc w:val="center"/>
    </w:pPr>
    <w:hyperlink w:history="1" r:id="rIdyrzvxtawgudkwmcpbs_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3ezpv0kr6bij_3azdxrq" Type="http://schemas.openxmlformats.org/officeDocument/2006/relationships/hyperlink" Target="https://dalil.kg/document/1126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qqa-9xoqlsp762xge3x" Type="http://schemas.openxmlformats.org/officeDocument/2006/relationships/hyperlink" Target="https://dalil.kg/document/89992" TargetMode="External"/><Relationship Id="rIdyrzvxtawgudkwmcpbs_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2026-09-28T12:59:52.546Z</dcterms:created>
  <dcterms:modified xsi:type="dcterms:W3CDTF">2026-09-28T12:59:52.546Z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