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rieh1hathnlvzkq9nwb2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15 мая 2024 года № 248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2009 года № 534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мер по усилению правоприменения и управления в лесном секторе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Стратегией</w:t>
      </w:r>
      <w:r>
        <w:rPr>
          <w:rFonts w:ascii="Arial" w:cs="Arial" w:eastAsia="Arial" w:hAnsi="Arial"/>
          <w:sz w:val="24"/>
          <w:szCs w:val="24"/>
        </w:rPr>
        <w:t xml:space="preserve"> развития страны на 2007-2010 годы, утвержденной </w:t>
      </w:r>
      <w:hyperlink w:history="1" r:id="rIdozdsekinncwpsxjwyc3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стратегии развития страны на 2007-2010 годы» от 16 мая 2007 года, </w:t>
      </w:r>
      <w:hyperlink w:history="1" r:id="rId9qd10knjyyci3xjc0gj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Национальным планом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развитию лесной отрасли Кыргызской Республики на 2006-2010 годы, утвержденным </w:t>
      </w:r>
      <w:hyperlink w:history="1" r:id="rIdlaomncdwypxu47ijsil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сентября 2006 года № 693 «Об утверждении Национального плана действий по развитию лесной отрасли Кыргызской Республики на период 2006-2010 годы»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q5cnpbewe6knu_jwqya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</w:t>
        </w:r>
      </w:hyperlink>
      <w:r>
        <w:rPr>
          <w:rFonts w:ascii="Arial" w:cs="Arial" w:eastAsia="Arial" w:hAnsi="Arial"/>
          <w:sz w:val="24"/>
          <w:szCs w:val="24"/>
        </w:rPr>
        <w:t xml:space="preserve"> по усилению правоприменения и управления в лесном секторе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охране окружающей среды и лесному хозяйству при Правительстве Кыргызской Республики совместно с министерствами, государственными комитетами, административными ведомствами и органами местного самоуправления принять меры по выполнению мероприятий, предусмотренных Планом мер по усилению правоприменения и управления в лесном секторе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a8powo73gssxyfqoukv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августа 2009 года
 № 534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
  по усилению правоприменения и управления в лесном секторе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как и многие страны мира, осознает всю серьезность проблем и последствий, порождаемых незаконной лесозаготовительной деятельностью, торговлей лесной продукцией незаконного происхождения и коррупцией в лесном секторе. Одним из путей решения данных проблем является совершенствование законодательной базы и практики правоприменения в системе лесоуправления, лесопользования и торговли древесными и недревесными продуктами леса.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механизмов для совершенствования национальной законодательной базы и усиления межгосударственного взаимодействия стало Международное движение «Forest Law Enforcement, Governance (FLEG)», обозначающее политическую инициативу ряда стран по укреплению процессов правоприменения и управления лесом. Основанием для формирования и инициирования движения FLEG стал значительный рост коррупции и криминала, связанного с проникновением в мировую лесную торговлю нелегитимной древесины. Участники данного движения стремятся создать на национальном и региональном уровнях политическое пространство, которое будет способствовать координации усилий по решению этих комплексных проблем совместно с основными заинтересованными действующими силами со стороны гражданского общества и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началу 2004 года движение, изначально инициированное Евросоюзом, имело несколько региональных ветвей - FLEG стран Юго-Восточной Азии, FLEG стран Африки, FLEG стран бассейна Амазонки и FLEG стран Европейского союза. В мае 2004 года на IV сессии Лесного форума ООН, признавая свою глобальную ответственность за сохранение ценностей лесов, Россия заявила о своей заинтересованности инициировать межправительственный процесс в Европе и Северной Азии (ЕСА).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июне 2005 года в Москве состоялась встреча представителей стран Европы и Северной Азии, ознаменовавшая официальное начало реализации европейско-североазиатского министерского переговорного процесса по проблемам правоприменения и управления в лесном секторе (ЕСА FLEG). Представители государственной власти стран, участвующих в этом мероприятии, вместе с представителями гражданского общества подтвердили намерение правительств своих стран усилить борьбу с незаконной деятельностью в лесном секторе.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 присоединился к процессу ENA FLEG в 2005 году на Международной министерской конференции, которая прошла 21-25 ноября 2005 года в Санкт-Петербурге. В ее работе участвовали официальные делегации 45 стран. В результате были утверждены два Международных документа - Министерская декларация и Индикативный план действий, в качестве официальных документов, отражающих межгосударственные договоренности на высоком политическом уровне. На основании этих документов страны-участницы должны разработать свою систему борьбы с нарушениями в лесном секторе. Подписав два документа, Кыргызстан принял на себя обязательства работать в этом направлении и принять собственный национальный план мер по управлению лесным сектором.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 по управлению лесным сектором Кыргызской Республики подготовлен во исполнение Кыргызской Республикой международных обязательств в рамках процесса ENA FLEG, Стратегии развития страны на 2007-2010 годы, Национального плана действий по развитию лесного хозяйства на 2006-2010 годы и Государственной стратегии борьбы с коррупцией в Кыргызской Республике рабочей группой, в составе представителей Государственного агентства по охране окружающей среды и лесному хозяйству при Правительстве Кыргызской Республики, Национального агентства Кыргызской Республики по делам местного самоуправления, НПО, независимых юристов.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 подготовлен на базе анализа и оценки мнений, полученных от всех заинтересованных лиц из регионов республики о причинах лесных правонарушений и возможных путях их преодоления, носит комплексный и системный характер, определяет основные цели, задачи и ожидаемые результаты по борьбе с незаконными действиями в лесном секторе. Под каждым результатом определены каждое намечаемое мероприятие, определен срок проведения, ответственные исполнители, партнеры, что способствует системной их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План мер является постоянно обновляемым документом, содержание которого будет изменяться и дополняться, в зависимости от реализации мероприятий и дальнейшего развития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Успешное выполнение Плана мер возможно только при полной открытости процесса, участии в выработке решений и возможности контроля выполнения решений со стороны всех заинтересованных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Незаконная деятельность в лесном секторе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Лесные экосистемы являются одним из компонентов экологической безопасности сохранения природных систем и поддержания соответствующего качества окружающей среды в устойчивом развитии страны. Анализ развития лесных экосистем показывает, что в последнее время наблюдаются процесс обезлесевания, деградация лесов, разрушение местообитания диких животных и растений, сокращение лесного биоразнообразия. Этому в большей степени способствует незаконная деятельность в лесном секторе.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Незаконная деятельность в лесном секторе выражается в противозаконных действиях, имеющих отношение к лесным экосистемам и лесному биоразнообразию. Диапазон правонарушений очень широк: незаконная рубка леса, торговля лесной продукцией незаконного происхождения и особо ценными древесными породами, незаконное присвоение (захват) лесных земель, браконьерство растительного и животного мира, несоблюдение требований природоохранного законодательства при осуществлении хозяйственной и иной деятельности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причинами правонарушений в лесном секторе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привлекательность лесозаготовок для криминального бизнеса, поскольку подобная деятельность практически не влечет за собой уголовного преследования и дает высокий доход при минимальном риске;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несовершенство системы управления лесным фондом и охотничьими хозяйствами;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существование рынков незаконной продукции и их доступность для нелегально заготовленной древесной и недревесной продукции леса;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эффективного учета, контроля и охраны за использованием лесных и охотничьих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основная угроза лесам исходит от давления местного населения на природные ресурсы, вызванного негативными экономическими условиями и демографическим ростом. По данным дистанционного зондирования, полученного в результате обработки космических снимков, около 1,2 млн. человек проживает на расстоянии до 5 км от леса и пользуется его ресурсами. Около 200 тыс. человек живут внутри леса и полностью зависят от лесных ресурсов. Потребности населения в дровах и строительном лесе в селах, расположенных вокруг и внутри леса, растут каждый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Кыргызско-Швейцарской Программы поддержки лесного хозяйства проведено социологическое исследование, на основании которого выявлено, что одна семья в год использует для отопления и приготовления пищи около 5-10 кубометров 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официальным данным, средний годовой объем топливной древесины за последние пять лет составил 21 тыс. кубических метров. Следовательно, сельское население лесной зоны обеспечивается топливной древесиной законным путем с территории государственного лесного фонда (далее - ГЛФ) только на 5 процентов. По данным публикации «Кыргызстан: окружающая среда и природные ресурсы для устойчивого развития» (2007 г.), 53 процента приходятся на долю незаконных рубок топливной древесины. Остальные 42 процента приходятся на долю объема топливной древесины, полученной с территорий населенных пунктов (сады, огороды и др.), лесного фонда государственных администраций соответствующих районов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Официальный объем ежегодной заготовки деловой древесины, полученной с территории ГЛФ, колеблется в пределах от 27-45 тыс. куб.м. Соответственно, такой объем деловой древесины не может удовлетворить потребность страны, которая превышает заготовку приблизительно в 10 раз. Поэтому потребность обеспечивается в основном за счет импорта из России и незаконной рубки леса.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последнее время участились случаи торговли особо ценными древесными породами (древесины арчи и ореха грецкого, орехового капа) контрабандным путем. Особым спросом пользуется ореховая древесина, незаконно заготавливаемая в лесах Джалал-Абадской области и Узгенского района Ошской области, которая реализуется в Ошской, Джалал-Абадской и Баткенской областях, в городе Бишкек, а также вывозится в Казахстан, Таджикистан, Узбекистан, Турцию, Германию, Италию и другие страны. Ореховая древесина в основном используется для изготовления мебели и отделки дорогостоящих особняков (полы, лестницы, двери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местах, где произрастают орехоплодовые леса, также осуществляется незаконная заготовка и вывоз за границу орехового капа. Ореховый кап пользуется большим спросом на мировом рынке. За период с начала 2006 года выявлен 461 случай незаконной заготовки орехового капа. Это только официальные данные, фактические объемы превышают эти цифры.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годы в стране наблюдается определенный экономический рост. Данная положительная тенденция привела к росту правонарушений в лесном секторе, связанных с осуществлением хозяйственной и иной деятельности при проведении масштабных гидромелиоративных работ, прокладке и эксплуатации дорог, проведении разведки и разработке месторождений полезных ископаемых, строительстве горнодобывающих предприятий, расширении урбанизированных территорий и образовании поселений на неосвоенных ранее землях, строительстве жилья и объектов инфраструктуры туризма, строительстве трасс высоковольтных электропередач, газопроводов и т.п. Осуществляя экономическую деятельность, хозяйствующие субъекты зачастую не соблюдают природоохранное законодательство, выполняют работы без проведения экологической экспертизы и соответствующих разрешительных документов на природопользование. При этом вырубаются значительные площади лесных насаждений.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Вышеперечисленная незаконная деятельность в лесном секторе привела к тому, что запасы лесов ГЛФ в эксплуатационной зоне почти исчерпаны, и они имеются в основном в неэксплуатационной зоне.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ГЛФ общий годовой прирост на лесопокрытых площадях лесоэксплуатационной зоны составляет 230 тыс. куб.м, неэксплуатационной зоны - 456 тыс. куб.м, в том числе ежегодный прирост хвойных пород составляет 445 тыс. куб.м, из них в доступных местах находится 133 тыс. куб.м, в недоступных местах - 312 тыс. куб.м (по материалам лесоустройства).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официально на основе материалов лесоустройства ежегодно выдается наряд на рубку леса в среднем 25 тыс. куб.м и по исследованию Всемирного банка (2004 г.) на долю незаконных рубок выпадает более 100 тыс. куб.м, то можно предположить, что по хвойным запасам в эксплуатационной зоне идет переруб.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Ежегодный прирост лиственных пород составляет 241 тыс. куб.м, из них в доступных местах находится 97 тыс. куб.м, а в недоступных - 144 тыс. куб.м (по материалам лесоустройства). Объем легальной рубки лиственных пород составляет в среднем 20 тыс. куб.м, по исследованию Всемирного банка (2004 г.) на долю незаконных рубок выпадает более 70 тыс. куб.м. В этом случае можно предположить, что запасы лиственных пород в эксплуатационной зоне находятся в пределах полного использования прироста.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со всеми нарушениями, происходящими в лесном секторе, такие нарушения, как браконьерство и нарушения, происходящие из-за неэффективного ведения охотничьего хозяйства, резко сократили численность ценных видов животных, рыб и растений из-за разрушения мест обитания и снижения численности популяций и естественных механизмов регуляции численности.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Только в 2005-2007 годы по усилению борьбы с браконьерством растительного и животного мира предъявлены следующие административные взыскания по браконьерству: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животного мира - штрафов - 1463, исков1431;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растительного мира - штрафов - 1926, исков - 2012;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рыбных промыслов - штрафов - 292, исков210.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Незаконная деятельность, происходящая в лесном секторе, обрела определенные масштабы и стала проблемой не только национального уровня, снижающая усилия по достижению устойчивого управления лесным фондом и охотничьими ресурсами, устранению бедности, достижению справедливости и улучшению общего качества окружающей среды, а, следовательно, и общего устойчивого развития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 и задачи Плана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- обеспечение устойчивого развития Кыргызской Республики, сохранение биологического разнообразия и искоренение коррупции в лесном секторе через создание системы организационных, правовых и иных мер по выявлению, предупреждению, пресечению незаконных действий в лесном секторе, совершенствованию системы лесоуправления при сотрудничестве и взаимодействии всех ветвей власти, гражданского и международного сообществ.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sls60h4jgteedtw80kd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Задача 1</w:t>
        </w:r>
      </w:hyperlink>
      <w:r>
        <w:rPr>
          <w:rFonts w:ascii="Arial" w:cs="Arial" w:eastAsia="Arial" w:hAnsi="Arial"/>
          <w:sz w:val="24"/>
          <w:szCs w:val="24"/>
        </w:rPr>
        <w:t xml:space="preserve">. Усиление природоохранного и иного законодательства.</w:t>
      </w:r>
    </w:p>
    <w:p>
      <w:pPr>
        <w:spacing w:after="120"/>
        <w:jc w:val="both"/>
      </w:pPr>
      <w:hyperlink w:history="1" r:id="rIdgs2l2entlp-szv0xnms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Задача 2</w:t>
        </w:r>
      </w:hyperlink>
      <w:r>
        <w:rPr>
          <w:rFonts w:ascii="Arial" w:cs="Arial" w:eastAsia="Arial" w:hAnsi="Arial"/>
          <w:sz w:val="24"/>
          <w:szCs w:val="24"/>
        </w:rPr>
        <w:t xml:space="preserve">. Усиление системы лесоуправления.</w:t>
      </w:r>
    </w:p>
    <w:p>
      <w:pPr>
        <w:spacing w:after="120"/>
        <w:jc w:val="both"/>
      </w:pPr>
      <w:hyperlink w:history="1" r:id="rIdufhfpnsa5dzpmti09g2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Задача 3</w:t>
        </w:r>
      </w:hyperlink>
      <w:r>
        <w:rPr>
          <w:rFonts w:ascii="Arial" w:cs="Arial" w:eastAsia="Arial" w:hAnsi="Arial"/>
          <w:sz w:val="24"/>
          <w:szCs w:val="24"/>
        </w:rPr>
        <w:t xml:space="preserve">. Совершенствование системы учетных работ.</w:t>
      </w:r>
    </w:p>
    <w:p>
      <w:pPr>
        <w:spacing w:after="120"/>
        <w:jc w:val="both"/>
      </w:pPr>
      <w:hyperlink w:history="1" r:id="rIdq3zc0pbcird_k47k9ro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Задача 4.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Совершенствование системы мониторинга.</w:t>
      </w:r>
    </w:p>
    <w:p>
      <w:pPr>
        <w:spacing w:after="120"/>
        <w:jc w:val="both"/>
      </w:pPr>
      <w:hyperlink w:history="1" r:id="rIdncdteu_w9xcnsh3jlgx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Задача 5</w:t>
        </w:r>
      </w:hyperlink>
      <w:r>
        <w:rPr>
          <w:rFonts w:ascii="Arial" w:cs="Arial" w:eastAsia="Arial" w:hAnsi="Arial"/>
          <w:sz w:val="24"/>
          <w:szCs w:val="24"/>
        </w:rPr>
        <w:t xml:space="preserve">. Содействие развитию альтернативных источников средств существования для населения лесной зоны.</w:t>
      </w:r>
    </w:p>
    <w:p>
      <w:pPr>
        <w:spacing w:after="120"/>
        <w:jc w:val="both"/>
      </w:pPr>
      <w:hyperlink w:history="1" r:id="rIdyqfbupjgywnsa1ynppi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Задача 6</w:t>
        </w:r>
      </w:hyperlink>
      <w:r>
        <w:rPr>
          <w:rFonts w:ascii="Arial" w:cs="Arial" w:eastAsia="Arial" w:hAnsi="Arial"/>
          <w:sz w:val="24"/>
          <w:szCs w:val="24"/>
        </w:rPr>
        <w:t xml:space="preserve">. Повышение уровня информированности общественности и заинтересованных сторон.</w:t>
      </w:r>
    </w:p>
    <w:p>
      <w:pPr>
        <w:spacing w:after="120"/>
        <w:jc w:val="both"/>
      </w:pPr>
      <w:hyperlink w:history="1" r:id="rIdlfth6jzgj54tc91b_it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Задача 7</w:t>
        </w:r>
      </w:hyperlink>
      <w:r>
        <w:rPr>
          <w:rFonts w:ascii="Arial" w:cs="Arial" w:eastAsia="Arial" w:hAnsi="Arial"/>
          <w:sz w:val="24"/>
          <w:szCs w:val="24"/>
        </w:rPr>
        <w:t xml:space="preserve">. Развитие международного сотрудничества.</w:t>
      </w:r>
    </w:p>
    <w:p>
      <w:pPr>
        <w:spacing w:after="120"/>
        <w:jc w:val="both"/>
      </w:pPr>
      <w:hyperlink w:history="1" r:id="rIdicyutsmxcb3cr2dp6qj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Задача 8.</w:t>
        </w:r>
      </w:hyperlink>
      <w:r>
        <w:rPr>
          <w:rFonts w:ascii="Arial" w:cs="Arial" w:eastAsia="Arial" w:hAnsi="Arial"/>
          <w:sz w:val="24"/>
          <w:szCs w:val="24"/>
        </w:rPr>
        <w:t xml:space="preserve"> Обеспечение эффективного мониторинга и оценки выполнения НПМ.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Ожидаемые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</w:t>
      </w:r>
      <w:r>
        <w:rPr>
          <w:rFonts w:ascii="Arial" w:cs="Arial" w:eastAsia="Arial" w:hAnsi="Arial"/>
          <w:sz w:val="24"/>
          <w:szCs w:val="24"/>
        </w:rPr>
        <w:t xml:space="preserve">. Усиление природоохранного и иного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Правоприменительная практика природоохранного и иного законодательства Кыргызской Республики показала противоречивость и несовершенство действующих природоохранного, уголовного, административного, таможенного, налогового законодательств, которые необходимо актуализировать в соответствии с принципами устойчивого развития, рыночной экономики, демократического управления, соблюдения прав человека с учетом национальных и международных требований для создания в лесном секторе страны сильной правоприменительной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55"/>
        <w:gridCol w:w="2722"/>
        <w:gridCol w:w="2331"/>
        <w:gridCol w:w="2571"/>
      </w:tblGrid>
      <w:tr>
        <w:tc>
          <w:tcPr>
            <w:tcW w:type="dxa" w:w="25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</w:t>
            </w:r>
          </w:p>
        </w:tc>
        <w:tc>
          <w:tcPr>
            <w:tcW w:type="dxa" w:w="27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2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показателя</w:t>
            </w:r>
          </w:p>
        </w:tc>
        <w:tc>
          <w:tcPr>
            <w:tcW w:type="dxa" w:w="25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Риски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1.1. Пересмотр и актуализация природоохранного законодательства</w:t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1.1. Природоохранное законодательство улучшено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Изменения и дополнения, внесенные в нормативные правовые акты природоохранного законодательства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нормативные правовые акты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квалифицированных кадров, механизма правоприменения</w:t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1.2. Иные законодательства улучшены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Изменения и дополнения, внесенные в нормативные правовые акты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нормативные правовые акты</w:t>
            </w:r>
          </w:p>
        </w:tc>
        <w:tc>
          <w:tcPr>
            <w:tcW w:type="dxa" w:w="2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квалифицированных кадров, механизма правоприменения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</w:t>
      </w:r>
      <w:r>
        <w:rPr>
          <w:rFonts w:ascii="Arial" w:cs="Arial" w:eastAsia="Arial" w:hAnsi="Arial"/>
          <w:sz w:val="24"/>
          <w:szCs w:val="24"/>
        </w:rPr>
        <w:t xml:space="preserve">. Усиление системы лесоуправления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системы лесоуправления является приоритетной задачей Национальной лесной политики, усиление которой должно осуществляться через политические, институциональные и экономические реформы, направленные на формирование и внедрение эффективных методов государственного и муниципального управления, регулирования, децентрализацию и оптимизацию структуры управления, создание эффективных механизмов охраны и контроля, межведомственного и межсекторального взаимодействия и повышение кадрового потенциала.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64"/>
        <w:gridCol w:w="2764"/>
        <w:gridCol w:w="2154"/>
        <w:gridCol w:w="2496"/>
      </w:tblGrid>
      <w:tr>
        <w:tc>
          <w:tcPr>
            <w:tcW w:type="dxa" w:w="27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Подзадачи и результаты</w:t>
            </w:r>
          </w:p>
        </w:tc>
        <w:tc>
          <w:tcPr>
            <w:tcW w:type="dxa" w:w="27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2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показателя</w:t>
            </w:r>
          </w:p>
        </w:tc>
        <w:tc>
          <w:tcPr>
            <w:tcW w:type="dxa" w:w="24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2.1. Реформирование системы выдачи природоохранных разрешений</w:t>
            </w:r>
          </w:p>
        </w:tc>
      </w:tr>
      <w:tr>
        <w:tc>
          <w:tcPr>
            <w:tcW w:type="dxa" w:w="27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2.1.1. Система выдачи природоохранных разрешений реформирована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 системы выдачи природоохранных разрешений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документы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квалифицирован- ного кадрового потенциала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2.2. Обеспечение прозрачности и конкуренции в процессе организации лесопользования, сдаче земель лесного фонда в аренду</w:t>
            </w:r>
          </w:p>
        </w:tc>
      </w:tr>
      <w:tr>
        <w:tc>
          <w:tcPr>
            <w:tcW w:type="dxa" w:w="27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2.2.1. Прозрачность и конкуренция в процессе организации лесопользования, сдаче земель лесного фонда в аренду обеспечено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Механизм сдачи земель лесного фонда в аренду на конкурсной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Комиссия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документы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поддержки министерств, ведомств, местного сообщества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2.3. Развитие межведомственного и межсекторального взаимодействия для усиления правоприменения и борьбы с коррупцией</w:t>
            </w:r>
          </w:p>
        </w:tc>
      </w:tr>
      <w:tr>
        <w:tc>
          <w:tcPr>
            <w:tcW w:type="dxa" w:w="27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2.3.1. Межведомственное и межсекторальное взаимодействие улучшено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Договоры о сотрудничестве с правоохранительными органами и местным сообществом;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2. Наблюдательный совет;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3. Механизм сотрудничества, План действий;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4. Рейды, посты</w:t>
            </w: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Документы, количество созданных советов</w:t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поддержки министерств, ведомств, местного сообщества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3. </w:t>
      </w:r>
      <w:r>
        <w:rPr>
          <w:rFonts w:ascii="Arial" w:cs="Arial" w:eastAsia="Arial" w:hAnsi="Arial"/>
          <w:sz w:val="24"/>
          <w:szCs w:val="24"/>
        </w:rPr>
        <w:t xml:space="preserve">Совершенствование системы учетных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Усиление потенциала системы учетных работ предполагает создание нового информационного поля не только в лесном секторе, но и межведомственного, межсекторального пространства путем создания единой системы информационного обеспечения по учету, использованию, обороту лесных ресурсов и лесопродукции, статистики правонарушений на базе инвентаризации и лесоохотоустройства с использованием дистанционного зондирования и геоинформационных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01"/>
        <w:gridCol w:w="2679"/>
        <w:gridCol w:w="2392"/>
        <w:gridCol w:w="2506"/>
      </w:tblGrid>
      <w:tr>
        <w:tc>
          <w:tcPr>
            <w:tcW w:type="dxa" w:w="26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Подзадачи и результаты</w:t>
            </w:r>
          </w:p>
        </w:tc>
        <w:tc>
          <w:tcPr>
            <w:tcW w:type="dxa" w:w="2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2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показателя</w:t>
            </w:r>
          </w:p>
        </w:tc>
        <w:tc>
          <w:tcPr>
            <w:tcW w:type="dxa" w:w="2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3.1. Проведение лесоучетных работ в муниципальных лесах</w:t>
            </w:r>
          </w:p>
        </w:tc>
      </w:tr>
      <w:tr>
        <w:tc>
          <w:tcPr>
            <w:tcW w:type="dxa" w:w="2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3.1.1. Лесоустроительные работы муниципальных лесов проведены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Лесоустройство муниципальных лесов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Лесохозяйственные планы управления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Несвоевременное проведение лесоустройства, недостаточность данных, кадрового персонала, финансовых средств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3.2. Проведение учетных работ по животному миру</w:t>
            </w:r>
          </w:p>
        </w:tc>
      </w:tr>
      <w:tr>
        <w:tc>
          <w:tcPr>
            <w:tcW w:type="dxa" w:w="2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3.2.1. Охотоустроительные работы охотничьих угодий проведены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Охотустройство охотничьих угодий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Охотхозяйственные планы управления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Несвоевременное проведение охотустройства, недостаточность данных, кадрового персонала, финансовых средств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3.3. Проведение учетных работ по лекарственным растениям</w:t>
            </w:r>
          </w:p>
        </w:tc>
      </w:tr>
      <w:tr>
        <w:tc>
          <w:tcPr>
            <w:tcW w:type="dxa" w:w="2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3.3.1. Методология проведения инвентаризации лекарственных растений разработана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по проведению инвентаризации лекарственных растений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документ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квалифицированных кадров, финансовых средств</w:t>
            </w:r>
          </w:p>
        </w:tc>
      </w:tr>
      <w:tr>
        <w:tc>
          <w:tcPr>
            <w:tcW w:type="dxa" w:w="2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3.3.2. Инвентаризация лекарственных растений проведена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лекарственных растений</w:t>
            </w:r>
          </w:p>
        </w:tc>
        <w:tc>
          <w:tcPr>
            <w:tcW w:type="dxa" w:w="2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Отчет, база данных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квалифицированных кадров, финансовых средств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4. </w:t>
      </w:r>
      <w:r>
        <w:rPr>
          <w:rFonts w:ascii="Arial" w:cs="Arial" w:eastAsia="Arial" w:hAnsi="Arial"/>
          <w:sz w:val="24"/>
          <w:szCs w:val="24"/>
        </w:rPr>
        <w:t xml:space="preserve">Совершенствование системы мониторинга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является одним из ключевых элементов управления, обеспечивающим наличие и качество информации его составляющих. Необходимость организации системы мониторинга обусловлена сложившейся потребностью в восстановлении и повышении устойчивости и экологических функций биологического разнообразия лесов в усложнившейся ситуации с незаконными действиями в лесном секторе. Это должна быть постоянно действующая система отслеживания и оперативного контроля за происходящими изменениями и нарушениями их устойчивости, а также система слежения за динамикой этих процессов, обеспечивающая оценку и прогноз ситуации для обоснования и принятия своевременных законодательных, управленческих и других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69"/>
        <w:gridCol w:w="2174"/>
        <w:gridCol w:w="2748"/>
        <w:gridCol w:w="2587"/>
      </w:tblGrid>
      <w:tr>
        <w:tc>
          <w:tcPr>
            <w:tcW w:type="dxa" w:w="26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Подзадачи и результаты</w:t>
            </w:r>
          </w:p>
        </w:tc>
        <w:tc>
          <w:tcPr>
            <w:tcW w:type="dxa" w:w="2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2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показателя</w:t>
            </w:r>
          </w:p>
        </w:tc>
        <w:tc>
          <w:tcPr>
            <w:tcW w:type="dxa" w:w="25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4.1. Создание системы мониторинга растительного и животного мира</w:t>
            </w:r>
          </w:p>
        </w:tc>
      </w:tr>
      <w:tr>
        <w:tc>
          <w:tcPr>
            <w:tcW w:type="dxa" w:w="2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4.1.1. Система мониторинга животного мира и его генетических ресурсов разработана(2)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База данных</w:t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Разработанный документ 2. Функционирующая база данных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кадрового потенциала, программного обеспечения. Несвоевременное проведение мониторинга, сбор и предоставление информации</w:t>
            </w:r>
          </w:p>
        </w:tc>
      </w:tr>
      <w:tr>
        <w:tc>
          <w:tcPr>
            <w:tcW w:type="dxa" w:w="2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4.1.2. Система мониторинга растительного мира и его генетических ресурсов разработана(2)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База данных</w:t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Разработанный документ 2. Функционирующая база данных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кадрового потенциала, программного обеспечения. Несвоевременное проведение мониторинга, сбор и предоставление информации</w:t>
            </w:r>
          </w:p>
        </w:tc>
      </w:tr>
      <w:tr>
        <w:tc>
          <w:tcPr>
            <w:tcW w:type="dxa" w:w="2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4.1.3. Система мониторинга по незаконным рубкам леса разработана(2)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Приказ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Инструкция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База данных</w:t>
            </w:r>
          </w:p>
        </w:tc>
        <w:tc>
          <w:tcPr>
            <w:tcW w:type="dxa" w:w="2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Утвержденные документы 2. Функционирующая база данных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кадрового потенциала, программного обеспечения. Несвоевременное проведение мониторинга, сбор и предоставление информации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Мероприятия, запланированные в Стратегии и Плане действий по созданию электронных информационных ресурсов в лесном секторе Кыргызской Республики, утвержденном приказом Госагентства по охране окружающей среды и лесному хозяйству от 06.08.2007 г. № 01-13/180.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5</w:t>
      </w:r>
      <w:r>
        <w:rPr>
          <w:rFonts w:ascii="Arial" w:cs="Arial" w:eastAsia="Arial" w:hAnsi="Arial"/>
          <w:sz w:val="24"/>
          <w:szCs w:val="24"/>
        </w:rPr>
        <w:t xml:space="preserve">. Содействие развитию альтернативных источников средств существования для населения лесной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сокращения масштабов незаконной лесной деятельности и снижения нагрузки на лесные экосистемы, вызванные нехваткой альтернативных источников энергии для домашних потребностей и общей проблемой бедности населения, ведущие к неопределенности развития лесов и управления ими, необходимо создание расширенных альтернативных экономических возможностей (занятость, источники доходов) и развитие альтернативных источников энергии для населения, проживающего на территории или вблизи лесных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34"/>
        <w:gridCol w:w="2775"/>
        <w:gridCol w:w="2559"/>
        <w:gridCol w:w="2011"/>
      </w:tblGrid>
      <w:tr>
        <w:tc>
          <w:tcPr>
            <w:tcW w:type="dxa" w:w="28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Подзадачи и результаты</w:t>
            </w:r>
          </w:p>
        </w:tc>
        <w:tc>
          <w:tcPr>
            <w:tcW w:type="dxa" w:w="2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2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показателя</w:t>
            </w:r>
          </w:p>
        </w:tc>
        <w:tc>
          <w:tcPr>
            <w:tcW w:type="dxa" w:w="2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Риски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5.1. Продвижение альтернативных экономических возможностей в сообществах, зависимых от леса</w:t>
            </w:r>
          </w:p>
        </w:tc>
      </w:tr>
      <w:tr>
        <w:tc>
          <w:tcPr>
            <w:tcW w:type="dxa" w:w="2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5.1.1. Доходоприносящие возможности местного населения расширены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Экологический туризм 2. Минипроизводство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Программа 2. Рабочие места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технологий, финансов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5.2. Развитие альтернативных источников энергии</w:t>
            </w:r>
          </w:p>
        </w:tc>
      </w:tr>
      <w:tr>
        <w:tc>
          <w:tcPr>
            <w:tcW w:type="dxa" w:w="2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5.2.1. Промышленные плантации созданы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 плантации, лесные культуры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создании промышленных плантаций и лесных культур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технологии посадки леса, отсутствие финансов</w:t>
            </w:r>
          </w:p>
        </w:tc>
      </w:tr>
      <w:tr>
        <w:tc>
          <w:tcPr>
            <w:tcW w:type="dxa" w:w="2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5.2.2. Другие альтернативные источники энергии использованы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Микро-ГЭС, солнечная энергия, биогаз и.д.</w:t>
            </w:r>
          </w:p>
        </w:tc>
        <w:tc>
          <w:tcPr>
            <w:tcW w:type="dxa" w:w="2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установок по производству альтернативной энергии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технологий, финансов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6</w:t>
      </w:r>
      <w:r>
        <w:rPr>
          <w:rFonts w:ascii="Arial" w:cs="Arial" w:eastAsia="Arial" w:hAnsi="Arial"/>
          <w:sz w:val="24"/>
          <w:szCs w:val="24"/>
        </w:rPr>
        <w:t xml:space="preserve">. Повышение уровня информированности общественности и заинтересованных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стратегических направлений Национальной лесной политики является повышение информированности о развитии лесного сектора, направленное на распространение информации на принципах прозрачности, достоверности сведений, предоставление общественности права на доступ к лесной информации и участие в процессе принятия решений. На основании этого в Национальном плане действий развития лесного хозяйства Кыргызской Республики на 2006-2010 годы, утвержденном </w:t>
      </w:r>
      <w:hyperlink w:history="1" r:id="rIdgqsx_zhm6z_mcotkn4e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сентября 2006 года № 693, разработан комплекс мероприятий по повышению уровня информированности общественности и заинтересованных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7</w:t>
      </w:r>
      <w:r>
        <w:rPr>
          <w:rFonts w:ascii="Arial" w:cs="Arial" w:eastAsia="Arial" w:hAnsi="Arial"/>
          <w:sz w:val="24"/>
          <w:szCs w:val="24"/>
        </w:rPr>
        <w:t xml:space="preserve">. Развитие международного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международного сотрудничества в области укрепления системы правоприменения и управления в лесном секторе способствуют созданию благоприятных, взаимовыгодных, многосторонних отношений между государствами, международными организациями, Конвенциями (КБР, СИТЕС), обеспечению своевременного обмена информацией и опытом между странами, обеспечению участия страны в международном переговорном процессе по вопросам правоприменения и управления в лесном секторе Европы и Северной Азии, и привлечению экспертной и донорской поддержки для реализации, мониторинга и оценки настоящего Плана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58"/>
        <w:gridCol w:w="3159"/>
        <w:gridCol w:w="2939"/>
        <w:gridCol w:w="1421"/>
      </w:tblGrid>
      <w:tr>
        <w:tc>
          <w:tcPr>
            <w:tcW w:type="dxa" w:w="26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Подзадачи и результаты</w:t>
            </w:r>
          </w:p>
        </w:tc>
        <w:tc>
          <w:tcPr>
            <w:tcW w:type="dxa" w:w="3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2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показателя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Риски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7.1. Развитие международного сотрудничества на глобальном уровне</w:t>
            </w:r>
          </w:p>
        </w:tc>
      </w:tr>
      <w:tr>
        <w:tc>
          <w:tcPr>
            <w:tcW w:type="dxa" w:w="2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7.1.1. Сотрудничество с международными организациями и конвенциями развивается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доклад</w:t>
            </w:r>
          </w:p>
        </w:tc>
        <w:tc>
          <w:tcPr>
            <w:tcW w:type="dxa" w:w="2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ходе выполнения международных обязательств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7.2. Развитие международного сотрудничества на региональном уровне</w:t>
            </w:r>
          </w:p>
        </w:tc>
      </w:tr>
      <w:tr>
        <w:tc>
          <w:tcPr>
            <w:tcW w:type="dxa" w:w="26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7.2.1. Сотрудничество в рамках СНГ развивается</w:t>
            </w:r>
          </w:p>
        </w:tc>
        <w:tc>
          <w:tcPr>
            <w:tcW w:type="dxa" w:w="3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Межгосударственные соглашения, дополнения и изменения в соглашения</w:t>
            </w:r>
          </w:p>
        </w:tc>
        <w:tc>
          <w:tcPr>
            <w:tcW w:type="dxa" w:w="2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Ратифицированный документ, информация о ходе выполнения обязательств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8</w:t>
      </w:r>
      <w:r>
        <w:rPr>
          <w:rFonts w:ascii="Arial" w:cs="Arial" w:eastAsia="Arial" w:hAnsi="Arial"/>
          <w:sz w:val="24"/>
          <w:szCs w:val="24"/>
        </w:rPr>
        <w:t xml:space="preserve">. Обеспечение эффективного мониторинга, оценки реализации Плана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достижения цели, выполнения поставленных задач Плана мер по усилению правоприменения и управления в лесном секторе Кыргызской Республики осуществляется через регулярное наблюдение и контроль за выполнением утвержденных мероприятий, достижением ожидаемых результатов, сроками реализации, полнотой финансирования, соответствием проводимых мероприятий запланированным, обеспечивающие оценку и прогноз состояния ситуации для выработки рекомендаций и дальнейшего принятия решений. Для этого разработаны критерии и индикаторы (показатель, источник показателя, риск и др.), которые будут объективно свидетельствовать о состоянии выполнения Плана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0"/>
        <w:gridCol w:w="2799"/>
        <w:gridCol w:w="2500"/>
        <w:gridCol w:w="2579"/>
      </w:tblGrid>
      <w:tr>
        <w:tc>
          <w:tcPr>
            <w:tcW w:type="dxa" w:w="23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Подзадачи и результаты</w:t>
            </w:r>
          </w:p>
        </w:tc>
        <w:tc>
          <w:tcPr>
            <w:tcW w:type="dxa" w:w="27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25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показателя</w:t>
            </w:r>
          </w:p>
        </w:tc>
        <w:tc>
          <w:tcPr>
            <w:tcW w:type="dxa" w:w="25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8.1. Обеспечение эффективного мониторинга, оценки и прозрачность процесса отчетности</w:t>
            </w:r>
          </w:p>
        </w:tc>
      </w:tr>
      <w:tr>
        <w:tc>
          <w:tcPr>
            <w:tcW w:type="dxa" w:w="23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8.1.1. Эффективный мониторинг, оценка и прозрачность процесса отчетности обеспечены</w:t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группа, информация о мониторинге и оценке реализации Плана мер, акты проверок</w:t>
            </w:r>
          </w:p>
        </w:tc>
        <w:tc>
          <w:tcPr>
            <w:tcW w:type="dxa" w:w="2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рабочей группы, разработанные и утвержденные отчеты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Отстранение или неучастие гражданского общества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ik96khlrya0altgq5mp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Плану мер</w:t>
        </w:r>
      </w:hyperlink>
      <w:r>
        <w:rPr>
          <w:rFonts w:ascii="Arial" w:cs="Arial" w:eastAsia="Arial" w:hAnsi="Arial"/>
          <w:sz w:val="24"/>
          <w:szCs w:val="24"/>
        </w:rPr>
        <w:t xml:space="preserve"> по усилению
 правоприменения
 и управления в лесном секторе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Система мероприятий по реализации Плана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8"/>
        <w:gridCol w:w="2665"/>
        <w:gridCol w:w="912"/>
        <w:gridCol w:w="1753"/>
        <w:gridCol w:w="2219"/>
        <w:gridCol w:w="1702"/>
      </w:tblGrid>
      <w:tr>
        <w:tc>
          <w:tcPr>
            <w:tcW w:type="dxa" w:w="9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№</w:t>
            </w:r>
          </w:p>
        </w:tc>
        <w:tc>
          <w:tcPr>
            <w:tcW w:type="dxa" w:w="26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</w:t>
            </w:r>
          </w:p>
        </w:tc>
        <w:tc>
          <w:tcPr>
            <w:tcW w:type="dxa" w:w="1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</w:p>
        </w:tc>
        <w:tc>
          <w:tcPr>
            <w:tcW w:type="dxa" w:w="1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Усиление природоохранного и иного законодательства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1.1. Пересмотр и актуализация природоохранного законодательства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1.1. Природоохранное законодательство улучшено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состояния природоохранного законодательства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год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международные проекты,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и рекомендации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статью в природоохранное законодательство о мерах по предотвращению правонарушений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международные проекты,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Лесной кодекс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Изменить условия введенного пятилетнего моратория на вырубку особо ценных древесных пород. Мораторий должен сохраниться только в отношении орехового капа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год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международные проекты,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статью в лесное законодательство о запрете строительства жилья на территории лесного фонда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международные проекты,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Лесной кодекс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в лесное законодательство нормы по муниципальным и частным лесным фондам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ОМСУ, международные проекты,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Лесной кодекс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1.1.6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статью в лесное законодательство об установлении ответственности органов местного самоуправления за муниципальные леса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ОМСУ, международные проекты,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Лесной кодекс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1.1.7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лесное законодательство по разделению контрольно-регулирующих и хозяйственных функций лесного сектора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международные проекты,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Лесной кодекс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1.1.8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утверждение в Правительство КР проект постановления «Порядок осуществления лесного контроля и надзора»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международные проекты,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1.1.9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утверждение в Правительство КР проект постановления «О создании экологической милиции»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Ген- прокуратура, международные проекты,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1.1.10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Положение ГАООСЛХ по разделению функций выдачи разрешений и проведения проверок; разделению контрольно-регулирующих и хозяйственных функций лесного сектора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международные проекты,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1.1.11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утверждение в Жогорку Кенеш Кыргызской Республики проект Закона Кыргызской Республики «Об охоте на территории Кыргызской Республики»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год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международные проекты,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1.1.12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утверждение в Правительство проект постановления «О порядке закрепления охотничьих угодий Кыргызской Республики за охотпользователями»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год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международные проекты,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1.1.13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дополнение и изменение в </w:t>
            </w:r>
            <w:hyperlink w:history="1" r:id="rIdy7kxgreoy-jt1ggrkvov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«О государственной лесной охране Кыргызской Республики», о поощрениях за сообщения о нарушениях в лесном секторе. Упростить систему поощрений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год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международные проекты,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1.1.14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и дополнения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«О материальной ответственности за ущерб, причиненный лесному хозяйству», по увеличению суммы возмещения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год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международные проекты,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1.1.15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Привести в соответствие с </w:t>
            </w:r>
            <w:hyperlink w:history="1" r:id="rIdbsdxyms0w4_05heruwal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Лесным 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подзаконные акты об аренде земель ГЛФ и пастбищ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год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международные проекты,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1.2. Иное законодательство улучшено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дополнения в </w:t>
            </w:r>
            <w:hyperlink w:history="1" r:id="rIdcs5obdhosqqaaajlwnuz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«О местном самоуправлении и местной государственной администрации» об установлении ответственности органов местного самоуправления за муниципальные леса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НАМСУ (по согласованию)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международные проекты,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и дополнения в </w:t>
            </w:r>
            <w:hyperlink w:history="1" r:id="rIdttcdedkncp0amtyyhzxx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Уголовный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aqxbotbt4icz47etyw8y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Административный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кодексы об усилении прав лесников и местных самоуправлений, ужесточить санкции по отношению к лесным правонарушителям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международные проекты,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утверждение в Правительство проект постановления «Об утверждении Положения о системе управления муниципальными лесами»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НАМСУ (по согласованию)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международные проекты,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Усиление системы лесоуправления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2.1. Реформирование системы выдачи природоохранных разрешений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2.1.1. Система выдачи природоохранных разрешений реформирована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2.1.1.1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системы выдачи природоохранных разрешений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международные проекты,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2.2. Обеспечение прозрачности и конкуренции в процессе организации лесопользования, сдаче земель лесного фонда в аренду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2.2.1. Прозрачность и конкуренция в процессе организации лесопользования, сдаче земель лесного фонда в аренду обеспечена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2.2.1.1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сдачи земель лесного фонда в аренду на конкурсной основе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ОМСУ (по согласованию)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международные проекты,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2.2.1.2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комиссию по сдаче земель лесного фонда в аренду на конкурсной основе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ОМСУ, местные сообщества (по согласованию)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международные проекты,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2.3. Развитие межведомственного и межсекторального взаимодействия для усиления правоприменения и борьбы с коррупцией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2.3.1. Межведомственные и межсекторальные взаимодействия улучшены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2.3.1.1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договоры о сотрудничестве по борьбе с правонарушениями в лесном секторе с правоохранительными органами и местными сообществами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МВД, Генпрокуратура, Нацагентство по предупреждению коррупции, ОМСУ (по согласованию)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Договоры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2.3.1.2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совместные комиссии с МСУ, Нацагентством по предупреждению коррупции, МВД по борьбе с правонарушениями в лесном секторе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ОМСУ (по согласованию)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Генпрокуратура,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Комиссия, штаб, утвержденный план действий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2.3.1.3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сотрудничества правоохранительных органов и лесной охраны, планы совместных действий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МВД, Генпрокуратура, Нацагентство по предупреждению коррупции (по согласованию)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Разработанный документ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2.3.1.4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совместные рейды и организовать посты государственных органов и местного населения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МВД, Генпрокуратура, Нацагентство по предупреждению коррупции, ОМСУ (по согласованию)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Рейды, посты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2.3.1.5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показательные суды над правонарушителями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Суды, ГАООСЛХ, ОМСУ (по согласованию)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Показа- тельный судебный процесс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2.3.1.6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наблюдательный совет на территориальном уровне по правоприменению и управлению в лесном секторе из депутатов местных кенешей и аксакалов, публично обсуждать случаи лесонарушений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местные кенеши, суды аксакалов (по согласованию)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Комиссия, публичные обсуждения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 Совершенствование системы учетных работ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3.1. Проведение лесоучетных работ в муниципальных лесах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3.1.1. Лесоустроительные работы муниципальных лесов проведены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3.1.1.1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лесоустроительные работы муниципальных лесов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Лесоустроительные материалы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3.2. Проведение учетных работ по животному миру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3.2.1. Охотоустроительные работы охотничьих угодий проведены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3.2.1.1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охотоустроительные работы на государственных охотничьих хозяйствах согласно Национальному плану действий развития лесного хозяйства на 2006-2010 гг.(*)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охотничьи хозяйства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Охотустроительные материалы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3.2.1.2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охотустроительные работы на частных охотничьих хозяйствах согласно Национальному плану действий развития лесного хозяйства на 2006-2010 гг.(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охотничьи хозяйства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Охотустроительные материалы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3.3. Проведение учетных работ по лекарственным растениям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3.3.1. Инвентаризация лекарственных растений проведена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3.3.1.1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лекарственных растений лесных экосистем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инвентаризации, база данных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4. Совершенствование системы мониторинга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4.1. Создание системы мониторинга растительного и животного мира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4.1.1. Система мониторинга животного мира и его генетических ресурсов разработана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4.1.1.1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инструкцию проведения мониторинга животного мира и его генетических ресурсов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проекты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4.1.1.2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информационный ресурс по животному миру и его генетическим ресурсам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проекты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4.1.2. Система мониторинга растительного мира и его генетических ресурсов разработана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4.1.2.1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инструкцию проведения мониторинга растительного мира и его генетических ресурсов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проекты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4.1.2.2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информационный ресурс по растительному миру и его генетическим ресурсам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проекты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4.1.3. Система мониторинга по незаконным рубкам леса разработана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4.1.3.1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нормы рубок хвойных и лиственных пород в эксплуатационной зоне лесов ГЛФ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год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международные проекты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ГАООСЛХ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4.1.3.2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инструкцию проведения мониторинга по незаконным рубкам леса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международные проекты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4.1.3.3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информационный ресурс по незаконным рубкам леса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проекты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5. Содействие развитию альтернативных источников средств существования для населения лесной зоны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5.1. Продвижение альтернативных экономических возможностей в сообществах, зависимых от леса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5.1.1. Доходоприносящие возможности местного населения расширены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5.1.1.1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 экологический и общинный туризм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Гостуризм, ОМСУ (по согласованию)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международные проекты, НПО, частный сектор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развития экологического туризма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5.1.1.2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 создание минипроизводств по переработке древесных и недревесных продуктов леса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МСВХПП, МЭРТ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предприятий, новые рабочие места, снижение нагрузки на лес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5.2. Развитие альтернативных источников энергии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5.2.1. Промышленные плантации созданы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5.2.1.1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промышленные плантации из быстрорастущих пород на территории ГЛФ(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ИЛО НАН, международные проекты, частный сектор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Промышлен- ные плантации, лесные культуры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5.2.1.2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посадки лесных культур вне территории ГЛФ(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ИЛО НАН, международные проекты, частный сектор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 плантации, лесные культуры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5.2.2. Другие альтернативные источники энергии использованы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5.2.2.1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пересмотр тарифов электроэнергии для населенных пунктов лесной зоны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ОМСУ (по согласованию)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администрации областей и районов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5.2.2.2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Внедрять использование альтернативных источников энергии (микро-ГЭС, солнечная энергия, биогаз, ветер и т.п.)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Минпромэнерго, ОМСУ (по согласованию)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международные проекты, НПО, частный сектор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установок по производству альтернативной энергии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6. Повышение уровня информированности общественности и заинтересованных сторон(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7. Развитие международного сотрудничества в области предотвращения правонарушений в лесном секторе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7.1. Развитие международного сотрудничества на глобальном уровне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7.1.1. Сотрудничество с международными организациями и конвенциями развивается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7.1.1.1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 сотрудничество в рамках Конвенции СИТЕС, КБР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2009- 2011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международные организации,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ходе выполнения международных обязательств, национальные доклады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7.1.1.2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 сотрудничество со странами-участниками процесса ЕСА ФЛЕГ по реализации, мониторингу и оценке национальных планов мер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2009- 2011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международные организации,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 обмену опытом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7.1.1.3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участие Кыргызстана в международном процессе ЕСА ФЛЕГ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2009- 2011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7.2. Развитие международного сотрудничества на региональном уровне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7.2.1. Сотрудничество в рамках СНГ развивается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7.2.1.1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межгосударственное соглашение о трансграничной ответственности в отношении незаконного вывоза древесной и недревесной продукции леса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Межгосударственная комиссия по устойчивому развитию ЦА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Межгосударственные соглашения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7.2.1.2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 сотрудничество по реализации межправительственного соглашения по лесопромышленному комплексу и лесному хозяйству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2009- 2011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международные организации,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ходе выполнения обязательств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7.2.1.3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 сотрудничество по реализации межправительственного соглашения (Казахстан, Кыргызстан, Узбекистан) по сохранению биоразнообразия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2009- 2011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международные организации,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ходе выполнения обязательств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8. Обеспечение эффективного мониторинга, оценки реализации ПМ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Подзадача 8.1. Обеспечение эффективного мониторинга, оценки и прозрачность процесса отчетности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8.1.1. Эффективный мониторинг, оценка и прозрачность процесса отчетности обеспечены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8.1.1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рабочую группу по мониторингу и оценке реализации НПМ с участием всех заинтересованных сторон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год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международные организации, НПО (по согласованию)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ОМСУ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8.1.2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мониторинг и оценку реализации НПМ и процессом участия всех групп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НПО, международные проекты, ОМСУ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8.1.3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мониторинг выделения и расходования финансовых средств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2009- 2010 годы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Счетная палата, Минфин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НПО (по согласованию)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проверок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 См. Национальный план действий развития лесного хозяйства на 2006-2010 годы, утвержденный </w:t>
            </w:r>
            <w:hyperlink w:history="1" r:id="rIdmxyl34pub3p7gacifxrr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27 сентября 2006 года № 693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qw_y00vrboo5ec2he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dalil.kg/document/90206</w:t>
      </w:r>
    </w:hyperlink>
  </w:p>
  <w:p>
    <w:pPr>
      <w:spacing w:after="0" w:before="40"/>
      <w:jc w:val="center"/>
    </w:pPr>
    <w:hyperlink w:history="1" r:id="rIdgmz-c5pfczfsqitjs_s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eh1hathnlvzkq9nwb2c" Type="http://schemas.openxmlformats.org/officeDocument/2006/relationships/hyperlink" Target="https://dalil.kg/document/230006801" TargetMode="External"/><Relationship Id="rIdozdsekinncwpsxjwyc3cz" Type="http://schemas.openxmlformats.org/officeDocument/2006/relationships/hyperlink" Target="https://dalil.kg/document/4610" TargetMode="External"/><Relationship Id="rId9qd10knjyyci3xjc0gje1" Type="http://schemas.openxmlformats.org/officeDocument/2006/relationships/hyperlink" Target="https://dalil.kg/document/57841" TargetMode="External"/><Relationship Id="rIdlaomncdwypxu47ijsillx" Type="http://schemas.openxmlformats.org/officeDocument/2006/relationships/hyperlink" Target="https://dalil.kg/document/57840" TargetMode="External"/><Relationship Id="rIdq5cnpbewe6knu_jwqyaqv" Type="http://schemas.openxmlformats.org/officeDocument/2006/relationships/hyperlink" Target="https://dalil.kg/document/90206#p1" TargetMode="External"/><Relationship Id="rIda8powo73gssxyfqoukvbj" Type="http://schemas.openxmlformats.org/officeDocument/2006/relationships/hyperlink" Target="https://dalil.kg/document/90206" TargetMode="External"/><Relationship Id="rIdsls60h4jgteedtw80kdiu" Type="http://schemas.openxmlformats.org/officeDocument/2006/relationships/hyperlink" Target="https://dalil.kg/document/90206#p2" TargetMode="External"/><Relationship Id="rIdgs2l2entlp-szv0xnmsje" Type="http://schemas.openxmlformats.org/officeDocument/2006/relationships/hyperlink" Target="https://dalil.kg/document/90206#p3" TargetMode="External"/><Relationship Id="rIdufhfpnsa5dzpmti09g2co" Type="http://schemas.openxmlformats.org/officeDocument/2006/relationships/hyperlink" Target="https://dalil.kg/document/90206#p4" TargetMode="External"/><Relationship Id="rIdq3zc0pbcird_k47k9rovp" Type="http://schemas.openxmlformats.org/officeDocument/2006/relationships/hyperlink" Target="https://dalil.kg/document/90206#p5" TargetMode="External"/><Relationship Id="rIdncdteu_w9xcnsh3jlgxc9" Type="http://schemas.openxmlformats.org/officeDocument/2006/relationships/hyperlink" Target="https://dalil.kg/document/90206#p6" TargetMode="External"/><Relationship Id="rIdyqfbupjgywnsa1ynppilj" Type="http://schemas.openxmlformats.org/officeDocument/2006/relationships/hyperlink" Target="https://dalil.kg/document/90206#p7" TargetMode="External"/><Relationship Id="rIdlfth6jzgj54tc91b_itpg" Type="http://schemas.openxmlformats.org/officeDocument/2006/relationships/hyperlink" Target="https://dalil.kg/document/90206#p8" TargetMode="External"/><Relationship Id="rIdicyutsmxcb3cr2dp6qjas" Type="http://schemas.openxmlformats.org/officeDocument/2006/relationships/hyperlink" Target="https://dalil.kg/document/90206#p9" TargetMode="External"/><Relationship Id="rIdgqsx_zhm6z_mcotkn4epd" Type="http://schemas.openxmlformats.org/officeDocument/2006/relationships/hyperlink" Target="https://dalil.kg/document/57840" TargetMode="External"/><Relationship Id="rIdik96khlrya0altgq5mpwr" Type="http://schemas.openxmlformats.org/officeDocument/2006/relationships/hyperlink" Target="https://dalil.kg/document/90206#p1" TargetMode="External"/><Relationship Id="rIdy7kxgreoy-jt1ggrkvovn" Type="http://schemas.openxmlformats.org/officeDocument/2006/relationships/hyperlink" Target="https://dalil.kg/document/34524" TargetMode="External"/><Relationship Id="rIdbsdxyms0w4_05heruwal0" Type="http://schemas.openxmlformats.org/officeDocument/2006/relationships/hyperlink" Target="https://dalil.kg/document/10" TargetMode="External"/><Relationship Id="rIdcs5obdhosqqaaajlwnuzp" Type="http://schemas.openxmlformats.org/officeDocument/2006/relationships/hyperlink" Target="https://dalil.kg/document/202310" TargetMode="External"/><Relationship Id="rIdttcdedkncp0amtyyhzxxz" Type="http://schemas.openxmlformats.org/officeDocument/2006/relationships/hyperlink" Target="https://dalil.kg/document/568" TargetMode="External"/><Relationship Id="rIdaqxbotbt4icz47etyw8yg" Type="http://schemas.openxmlformats.org/officeDocument/2006/relationships/hyperlink" Target="https://dalil.kg/document/6" TargetMode="External"/><Relationship Id="rIdmxyl34pub3p7gacifxrrw" Type="http://schemas.openxmlformats.org/officeDocument/2006/relationships/hyperlink" Target="https://dalil.kg/document/57840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qw_y00vrboo5ec2he3p" Type="http://schemas.openxmlformats.org/officeDocument/2006/relationships/hyperlink" Target="https://dalil.kg/document/90206" TargetMode="External"/><Relationship Id="rIdgmz-c5pfczfsqitjs_s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2026-09-24T06:16:22.265Z</dcterms:created>
  <dcterms:modified xsi:type="dcterms:W3CDTF">2026-09-24T06:16:22.265Z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