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f2orplkj_95alhdrz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января 2009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проведении оценки соответствия семян многолетних бобовых кормовых трав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c0xp1rhzm1nhcvwzeg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проведении оценки соответствия семян многолетних бобовых кормовых трав в Кыргызской Республике (далее - Положение) разработано в соответствии с </w:t>
      </w:r>
      <w:hyperlink w:history="1" r:id="rIdj990cdlgbnda2acqtjz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в целях обеспечения нормативной правовой базой производства всех категорий семян многолетних бобовых кормовых трав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Положения распространяется на семена, подлежащие оценке соответствия сортовых и посевных качеств (далее - оценка соответствия)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Оценке соответствия установленным требованиям настоящего Положения подлежат семена сортов и гибридов, включенных в Государственный реестр сортов и гибридов (далее - Государственный реестр), допущенные к использованию в Кыргызской Республике, а также выращиваемые на экспорт.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Документом, подтверждающим качество и безопасность семян для использования по назначению, являются Международный Оранжевый сертификат, Удостоверение о кондиционности семян и Сертификат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Оценку соответствия семян многолетних бобовых кормовых трав в Кыргызской Республике осуществляет уполномоченный орган в области сертификации семян, посадочного материала, испытания и регистрации сортов (далее - уполномоченный орган) в соответствии с </w:t>
      </w:r>
      <w:hyperlink w:history="1" r:id="rIdrao1pfmw_r3jednhzr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другими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zztbnip-zznuggqt-0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определения,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Семена многолетних бобовых кормовых трав</w:t>
      </w:r>
      <w:r>
        <w:rPr>
          <w:rFonts w:ascii="Arial" w:cs="Arial" w:eastAsia="Arial" w:hAnsi="Arial"/>
          <w:sz w:val="24"/>
          <w:szCs w:val="24"/>
        </w:rPr>
        <w:t xml:space="preserve"> - семена некоторых родов и видов, относящихся к семейству Мотыльковых (Leguminosae).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Оранжевый сертификат</w:t>
      </w:r>
      <w:r>
        <w:rPr>
          <w:rFonts w:ascii="Arial" w:cs="Arial" w:eastAsia="Arial" w:hAnsi="Arial"/>
          <w:sz w:val="24"/>
          <w:szCs w:val="24"/>
        </w:rPr>
        <w:t xml:space="preserve"> - сертификат, который выдается на экспортируемые семена.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посевные качества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Удостоверение о кондиционности семян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на партию семян, которые по своим показателям соответствует требованиям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Инспекция</w:t>
      </w:r>
      <w:r>
        <w:rPr>
          <w:rFonts w:ascii="Arial" w:cs="Arial" w:eastAsia="Arial" w:hAnsi="Arial"/>
          <w:sz w:val="24"/>
          <w:szCs w:val="24"/>
        </w:rPr>
        <w:t xml:space="preserve"> - определение сортовых качеств семян, проводимое с целью установления сортовой чистоты или типичности растений, засоренности, поражаемости болезнями, а также контроль за соблюдением технологических норм при выращивании гибридных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0qdqhz0a60h7nvmvpml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OECD</w:t>
      </w:r>
      <w:r>
        <w:rPr>
          <w:rFonts w:ascii="Arial" w:cs="Arial" w:eastAsia="Arial" w:hAnsi="Arial"/>
          <w:sz w:val="24"/>
          <w:szCs w:val="24"/>
        </w:rPr>
        <w:t xml:space="preserve"> - Организация стран экономического сотрудничества и развития, которая разработала схемы сертификации семян, принятые собранием стран членов ОЕСД 15 мая 1991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ISTA</w:t>
      </w:r>
      <w:r>
        <w:rPr>
          <w:rFonts w:ascii="Arial" w:cs="Arial" w:eastAsia="Arial" w:hAnsi="Arial"/>
          <w:sz w:val="24"/>
          <w:szCs w:val="24"/>
        </w:rPr>
        <w:t xml:space="preserve"> - Международная Ассоциация по тестированию семян, организованная Конгрессом семеноводов в 1924 году (Кембридж, Англия).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Сорт</w:t>
      </w:r>
      <w:r>
        <w:rPr>
          <w:rFonts w:ascii="Arial" w:cs="Arial" w:eastAsia="Arial" w:hAnsi="Arial"/>
          <w:sz w:val="24"/>
          <w:szCs w:val="24"/>
        </w:rPr>
        <w:t xml:space="preserve"> - ботаническое объединение культивируемых растений, рассматриваемых в качестве отдельных единиц и являющихся отличимыми от других сортов, однородными и стабильными.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Оригинатор</w:t>
      </w:r>
      <w:r>
        <w:rPr>
          <w:rFonts w:ascii="Arial" w:cs="Arial" w:eastAsia="Arial" w:hAnsi="Arial"/>
          <w:sz w:val="24"/>
          <w:szCs w:val="24"/>
        </w:rPr>
        <w:t xml:space="preserve"> - селекционер или селекционное учреждение (организации), создавшее сорт и получившее на него 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Оригинальные семена</w:t>
      </w:r>
      <w:r>
        <w:rPr>
          <w:rFonts w:ascii="Arial" w:cs="Arial" w:eastAsia="Arial" w:hAnsi="Arial"/>
          <w:sz w:val="24"/>
          <w:szCs w:val="24"/>
        </w:rPr>
        <w:t xml:space="preserve"> - семена первичных звеньев семеноводства каждого конкретного сорта, полученные селекционером или учреждением - оригинатором.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Семена суперэлиты</w:t>
      </w:r>
      <w:r>
        <w:rPr>
          <w:rFonts w:ascii="Arial" w:cs="Arial" w:eastAsia="Arial" w:hAnsi="Arial"/>
          <w:sz w:val="24"/>
          <w:szCs w:val="24"/>
        </w:rPr>
        <w:t xml:space="preserve"> - семена, полученные от оригинальных семян с использованием специальных селекционно-семеноводческих и агротехнических приемов и методов.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Семена элиты</w:t>
      </w:r>
      <w:r>
        <w:rPr>
          <w:rFonts w:ascii="Arial" w:cs="Arial" w:eastAsia="Arial" w:hAnsi="Arial"/>
          <w:sz w:val="24"/>
          <w:szCs w:val="24"/>
        </w:rPr>
        <w:t xml:space="preserve"> - семена, полученные от семян суперэлиты с использованием специальных агротехнических приемов и предназначенные для производства сертифицированных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Сортовые семена</w:t>
      </w:r>
      <w:r>
        <w:rPr>
          <w:rFonts w:ascii="Arial" w:cs="Arial" w:eastAsia="Arial" w:hAnsi="Arial"/>
          <w:sz w:val="24"/>
          <w:szCs w:val="24"/>
        </w:rPr>
        <w:t xml:space="preserve"> - семена сортов и гибридов, включенные в Государственный реестр и получившие соответствующие сертификаты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 сортов и гибридов, допущенных к использованию</w:t>
      </w:r>
      <w:r>
        <w:rPr>
          <w:rFonts w:ascii="Arial" w:cs="Arial" w:eastAsia="Arial" w:hAnsi="Arial"/>
          <w:sz w:val="24"/>
          <w:szCs w:val="24"/>
        </w:rPr>
        <w:t xml:space="preserve">, - перечень сортов, гибридов, которые после официальных испытаний допущены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Партия семян</w:t>
      </w:r>
      <w:r>
        <w:rPr>
          <w:rFonts w:ascii="Arial" w:cs="Arial" w:eastAsia="Arial" w:hAnsi="Arial"/>
          <w:sz w:val="24"/>
          <w:szCs w:val="24"/>
        </w:rPr>
        <w:t xml:space="preserve"> - определенное количество семян, удостоверенное одним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Посевные качества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свойств семян, характеризующих их пригодность.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Пробоотборщик</w:t>
      </w:r>
      <w:r>
        <w:rPr>
          <w:rFonts w:ascii="Arial" w:cs="Arial" w:eastAsia="Arial" w:hAnsi="Arial"/>
          <w:sz w:val="24"/>
          <w:szCs w:val="24"/>
        </w:rPr>
        <w:t xml:space="preserve"> - официальный представитель Государственной семенной инспекции, имеющей право проводить отбор проб из партии семян для контроля их качества.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Сорта, подлежащие оценке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Оценке соответствия подлежат сорта, прошедшие трехлетнее испытание в уполномоченном органе, выделившиеся по урожайности и качественным показателям в конкретных почвенно-климатических условиях. Они включаются в Государственный реестр сортов и гибридов растений, допущенных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4ndyhlu817lcn8v5bh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требования, предъявляемые к производству семян при их оценке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Семеноводческие посевы, подлежащие оценке соответствия, на второй год после посева, но не позднее 15 марта каждого года должны быть зарегистрированы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dbhlxvdgmjmv-i95vg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Инспекция проводится в целях определения сортовых признаков и определения пригодности посевов для семенных целей. Признаками, определяющими сортовую идентичность, являются признаки, которые приняты в качестве признаков сорта при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Минимальный интервал времени между посевами культур многолетних бобовых кормовых трав на одном и том же участке, во избежание нежелательной сортосмеси, падалицы других сортов и форм, должен составлять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определения подлинности сорта и сортовой чистоты, в соответствии со схемами сертификации OECD проводится закладка контрольного участка многолетних бобовых кормовых трав, засеянного семенами из пробы, отобранной от анализируемой партии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при выдаче сертификата на партию сортовых семян по схемам ОЕСД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сортовой документации на семенной материал;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обязательным соблюдением норм пространственной изоляции;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подлинности сорта и сортовой чистоты при выращивании, уборке, очистке и хранении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mbnpyeizjkl8ffav7r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Оценка соответствия посевного материала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Заявка на получение оценки соответствия для определенной партии семян подается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cfwne-mn9abha1n7s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получения заявки на выдачу документа об оценке соответствия уполномоченный орган проводит процедуру по исполнению полученной заявки в соответствии с требованиями настоящего Положения и выдает соответствующий документ на партию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o6sigscfstmjotol7q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Каждой отдельной партии семян присваивается условный номер, который обозначает только эту партию. Условные номера партий устанавливаются строго по форме, предусмотренной </w:t>
      </w:r>
      <w:r>
        <w:rPr>
          <w:rFonts w:ascii="Arial" w:cs="Arial" w:eastAsia="Arial" w:hAnsi="Arial"/>
          <w:sz w:val="24"/>
          <w:szCs w:val="24"/>
        </w:rPr>
        <w:t xml:space="preserve">разделом 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может отказать в выдаче документа о соответствии на представленную партию семян, если не соблюдались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посев или посевы, от которых получена данная партия семян, не были ранее зарегистрированы в соответствующий период в порядке, установленном пунктом 1 </w:t>
      </w:r>
      <w:r>
        <w:rPr>
          <w:rFonts w:ascii="Arial" w:cs="Arial" w:eastAsia="Arial" w:hAnsi="Arial"/>
          <w:sz w:val="24"/>
          <w:szCs w:val="24"/>
        </w:rPr>
        <w:t xml:space="preserve">раздела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инспекция посева, от которого получена партия семян, показала, что посевы не отвечают требованиям, установленным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официальная проверка пробы семян данной партии показала, что семена не соответствуют требованиям, предусмотренным в разделе 15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отбор пробы семян, представленных на официальную проверку для оценки соответствия, не соответствовал Международным Правилам ISTA;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имелись нарушения нормативных требований в отношении партии семян, на которую подается заявка о выдаче оценки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c9fhfb8hmbh76mmihb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имеет право на изъятие документа о соответствии семян как целой партии, так и ее части. Семена, на которые изымается документ об оценке соответствия, квалифицируются как не отвечающие оценке соответствия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выявления искажения информации, ранее представленной на получение документа об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выявления нарушения в процессе производства, очистки, хранения и реализации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wifqg4vidxtps6gsa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Документом об оценке соответствия партии семян в Кыргызской Республике является Удостоверение о кондиционности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Сведения, которые должны быть указаны в Удостоверении о кондиционности семян: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уполномоченного органа, выдавшего Удостоверение о кондиционности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и регистрационный номер производителя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условный номер партии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культура, название сорта, категория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вес нетто партии семян и число упаковок;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назначение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показатели качества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ldgnof_5mcr6_pq1f1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Сведения, которые должны быть указаны в Международном Оранжевом сертификате: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регистрационный номер производителя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вид, сорт, категория семян, вес партии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название лаборатории, проводившей тесты на оценку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название лаборатории, проводившей отбор проб;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партии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название лаборатории, проводившей опечатывание партии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количество контейнеров;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даты отбора пробы, дата поступления пробы в лабораторию, лабораторный номер пробы;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показатели качества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Сведения, которые должны быть указаны в Сертификате соответствия: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регистрационный N;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заявление о переупаковке;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количество контейнеров;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декларируемый вес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i7dw6t92x-mwomnapz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Пространственная изоляция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Посевы многолетних бобовых кормовых трав для культур перекрестно опыляющихся видов должны быть изолированы от опыления пыльцой других видов согласно установленным нормам: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(таблица 1)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8"/>
        <w:gridCol w:w="2822"/>
        <w:gridCol w:w="3148"/>
      </w:tblGrid>
      <w:tr>
        <w:tc>
          <w:tcPr>
            <w:tcW w:type="dxa" w:w="42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Семейство Мотыльковых (Бобовых) культур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полей площадью до 2 га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полей площадью более 2 га</w:t>
            </w:r>
          </w:p>
        </w:tc>
      </w:tr>
      <w:tr>
        <w:tc>
          <w:tcPr>
            <w:tcW w:type="dxa" w:w="420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Поля: 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последующего размножения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м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</w:t>
            </w:r>
          </w:p>
        </w:tc>
      </w:tr>
      <w:tr>
        <w:tc>
          <w:tcPr>
            <w:tcW w:type="dxa" w:w="4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кормовых и других целей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семян бобовых культур семейства Мотыльковых пространственную изоляцию можно уменьшить, если семена культуры с этого поля не будут использоваться для дальнейшего размножения. Пространственная изоляция может не соблюдаться, когда есть удовлетворительная защита от нежелательных источников пыльцы.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Инспекция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Инспекции предшествует проверка документов на посевной материал, выявление соответствия инспектируемой площади документальным данным и предварительный осмотр семенного травостоя. При проведении инспекции инспектор обходит поле,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 устанавливают принадлежность травостоя к определенному виду, разновидности, типу, группе и сорту;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правильность закладки семенных посевов и их состояние;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исключение, из сортовых травостоев, выделяют дополнительные площади на семенные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размер площадей каждой культуры, вида и сорта, наличие других видов трудноотделимых культурных и сорных растений, карантинных и наиболее вредных сорняков, поражение болезнями, повреждение вредителями.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осмотра посевов инспектор дает производителю семян рекомендации по проведению прополки, подкашиванию, борьбе с вредителями, внекормовой подкормки, сортовой прочистки, об усилении опыления в период цветения путем подвоза пасек к семенным посевам культур, опыляющихся пчелами.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Во всех случаях, когда инспектируемый семенной травостой находится рядом с семенным посевом другого сорта или вида (семена которого трудноотделимы от семян данного вида, типа или группы), инспектор указывает в акте апробации, какие меры необходимо принять для предупреждения механического смешения при уборке, обмолоте, очистке и хранении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Многолетние бобовые кормовые травы инспектируют осмотром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инспекции посевов производители семян должны предъявлять сортовые документы на высеянные семена, согласно которым инспектор определяет соответствие документов, подтверждающих описание сорта.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Инспектор обязан рекомендовать производителю семян мероприятия, осуществление которых обеспечит сохранность урожая и высокое качество семян (удаление сорняков, видовая прополка, сроки и способы уборки семенников, очистка, складирование и документация семян).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Сортовая и видовая чистота всех видов семейства Мотыльковых (Бобовых) подсчитывается в штуках стеблей на 1 квадратный метр.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Максимальное количество примесей при определении видовой чистоты для всех видов многолетних бобовых трав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(таблица 2)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17"/>
        <w:gridCol w:w="1503"/>
        <w:gridCol w:w="2058"/>
      </w:tblGrid>
      <w:tr>
        <w:tc>
          <w:tcPr>
            <w:tcW w:type="dxa" w:w="661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семейства Мотыльковых (Бобовых), исключая Pisum sativum, Vicia faba и Glycine max</w:t>
            </w:r>
          </w:p>
        </w:tc>
        <w:tc>
          <w:tcPr>
            <w:tcW w:type="dxa" w:w="1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Базисные семена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Сертифицированные семена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растение в 30 кв.м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растение в 10 кв.м</w:t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Минимальный процент видовой чистоты для определенных видов семейства Мотыльковых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(таблица 3) (в %)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6"/>
        <w:gridCol w:w="1111"/>
        <w:gridCol w:w="3039"/>
        <w:gridCol w:w="3022"/>
      </w:tblGrid>
      <w:tr>
        <w:tc>
          <w:tcPr>
            <w:tcW w:type="dxa" w:w="3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Базисные семена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Сертифицированные семена, первая репродукция</w:t>
            </w:r>
          </w:p>
        </w:tc>
        <w:tc>
          <w:tcPr>
            <w:tcW w:type="dxa" w:w="3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Сертифицированные семена, вторая репродукция</w:t>
            </w:r>
          </w:p>
        </w:tc>
      </w:tr>
      <w:tr>
        <w:tc>
          <w:tcPr>
            <w:tcW w:type="dxa" w:w="3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Pisum sativum (горох посевной), Vicia faba (бобы)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</w:tr>
      <w:tr>
        <w:tc>
          <w:tcPr>
            <w:tcW w:type="dxa" w:w="3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Glycine max (соя)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Максимальное количество примесей при определении сортовой чистоты для всех видов многолетних бобовых трав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(таблица 4)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7"/>
        <w:gridCol w:w="1862"/>
        <w:gridCol w:w="2549"/>
      </w:tblGrid>
      <w:tr>
        <w:tc>
          <w:tcPr>
            <w:tcW w:type="dxa" w:w="576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семейства Мотыльковых (Бобовых), исключая Lolium sp.</w:t>
            </w:r>
          </w:p>
        </w:tc>
        <w:tc>
          <w:tcPr>
            <w:tcW w:type="dxa" w:w="1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Базисные семена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Сертифицированные семена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растение в 30 кв.м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растение в 10 кв.м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Инспекция производства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проводит учет всех семенных посевов, а также партий подготовленных семян. При этом, упаковка семян должна быть опломбирована и маркирована в соответствии с требованиями, установленными в разделах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 Масса проб семян, отобранных для анализа, должна соответствовать требованиям, изложенным </w:t>
      </w:r>
      <w:r>
        <w:rPr>
          <w:rFonts w:ascii="Arial" w:cs="Arial" w:eastAsia="Arial" w:hAnsi="Arial"/>
          <w:sz w:val="24"/>
          <w:szCs w:val="24"/>
        </w:rPr>
        <w:t xml:space="preserve">раздела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q2jov1e5ssqwzcaja0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 каждой сформированной партии отбирается проба семян на проверку для прохождения оценки соответствия. Правила отбора и масса пробы семян, отобранных для анализа, должны соответствовать требованиям, изложенным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орган проводит проверку, касающуюся сортовой чистоты, и требует представления информации, необходимой для цели оценки соответствия по каждой партии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r1o4h_oyxhxytiwiza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выдает Международный Оранжевый сертификат и Удостоверение о кондиционности семян на каждую партию семян, получивших положительное заключение,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oqxcfwoaydcgzs7mmj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Допускается объединение двух или более партий семян, но при этом вновь составленная партия должна сохранить свою однородность.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чистоты закладки (высева) контрольных участков из проб партий семян, представляемых на оценку соответствия многолетних бобовых кормовых трав, отбираются следующие пробы: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семян, суперэлиты и элиты - из каждой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семян оценки соответствия - один из каждой четвертой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пробы семян должны выращиваться на контрольных участках во время следующего сезона, наступающего после получения проб.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Категория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Кыргызской Республике система оценки соответствия семян многолетних бобовых кормовых трав включает категории, которые соответствуют установленным схемам OECD: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(таблица 5)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71"/>
        <w:gridCol w:w="4607"/>
      </w:tblGrid>
      <w:tr>
        <w:tc>
          <w:tcPr>
            <w:tcW w:type="dxa" w:w="55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семян, определенные в Кыргызской Республике</w:t>
            </w:r>
          </w:p>
        </w:tc>
        <w:tc>
          <w:tcPr>
            <w:tcW w:type="dxa" w:w="4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семян, определенные схемами OECD</w:t>
            </w:r>
          </w:p>
        </w:tc>
      </w:tr>
      <w:tr>
        <w:tc>
          <w:tcPr>
            <w:tcW w:type="dxa" w:w="5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оригинальные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селекционера</w:t>
            </w:r>
          </w:p>
        </w:tc>
      </w:tr>
      <w:tr>
        <w:tc>
          <w:tcPr>
            <w:tcW w:type="dxa" w:w="5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суперэлиты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предбазовые</w:t>
            </w:r>
          </w:p>
        </w:tc>
      </w:tr>
      <w:tr>
        <w:tc>
          <w:tcPr>
            <w:tcW w:type="dxa" w:w="5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элиты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базовые</w:t>
            </w:r>
          </w:p>
        </w:tc>
      </w:tr>
      <w:tr>
        <w:tc>
          <w:tcPr>
            <w:tcW w:type="dxa" w:w="5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Семена, получившие оценку соответствия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сертифицированные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Производство оригинальных семян остается в ведении самих селекционеров и селекционных организаций - оригинаторов. Семена оригинальные могут быть оценены при подаче заявки на отбор пробы.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Семена суперэлиты и элиты производятся оригинатором или семеноводческим хозяйством, которое наделено правом на ведение первичного семеноводства.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Семена, отвечающие оценке соответствия - категория семян, предназначенные для семенных посевов и производственных целей. К ним относятся семена 1, 2 и 3 репродукций.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Партия семян и отбор проб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Партией семян считается определенное количество семян, однородных по происхождению, сортовым и посевным качествам, на которые выдан Международный Оранжевый сертификат или Удостоверение о кондиционности семян. Неоднородность семян в партии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 международными нормами стандартов ISTA установлена следующая максимальная масса партии для семян многолетних бобовых кормовых трав: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белый (Melilotus albus) - 10000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лекарственный (Melilotus officinalis) - 10000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Клевер луговой (Trifolium pratense) - 10000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Люцерна (Medicago L.) - 10000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Эспарцет посевной (Onobrychis viciifolia) - 10000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 допускаемое отклонение от массы партии составляет 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Если представленная масса семян достаточно большая, то ее необходимо разделить на контрольные единицы, размер которых не превышает максимальную массу партии. Каждую из них рассматривают как отдельную партию.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Представляемые партии семян должны быть упакованы в мешки, контейнеры и другую тару с этикеткой и маркировкой, наглядно определяющую партию.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Отбор проб семян для официальной проверки производится пробоотборщиком, по международной методике ISTA.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выявлено, что отбор проб семян производился не в соответствии с методикой ISTA, то такие пробы не подлежат официальной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Минимальная масса представляемой на анализ пробы семян: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белый (Melilotus albus)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лекарственный (Melilotus officinalis)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Клевер луговой (Trifolium pratense)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Люцерна (Medicago L.)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Эспарцет посевной (Onobrychis viciifolia) - 600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Проба для определения влажности семян отбирается во влагонепроницаемый контейнер, в который вкладывается этикетка установленного образца, остатки воздуха удаляются из контейнера. Минимальная масса пробы для определения влажности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белый (Melilotus albus)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лекарственный (Melilotus officinalis)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Клевер луговой (Trifolium pratense)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Люцерна (Medicago L.)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Эспарцет посевной (Onobrychis viciifolia) - 50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Одна часть каждой пробы используется для анализа, вторая часть остается на хранение на случай проведения повторного анализа.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Упаковка и пломбирование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Отобранные пробы должны быть упакованы таким образом, чтобы во время транспортировки семена не повреждались. Пробы для определения влажности семян упаковывают во влагонепроницаемые контейнеры.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Упаковка с семенами должна быть опломбирована в момент отбора проб, а содержимое упаковки маркирована пробоотборщиком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разделом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Упаковка с семенами, обработанными химическими и биологическими препаратами, должна иметь соответствующую подтверждающую надпись.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Если упаковка с семенами была опломбирована и затем вскрыта, то повторное пломбирование может выполнять только пробоотборщик.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семенам в мешках, насыпью в большегрузной таре и в закромах применяются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отборе проб из мешков мешки должны быть зашиты до отбора проб;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отборе проб от насыпи в большегрузной таре и в закромах они должны быть опечатаны немедленно после отбора проб.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Наиболее подходящими методами пломбирования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пломба с личным клеймом пробоотборщика;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использовании картонной пломбы, ставится личный номер свидетельства пробоотборщика.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Этикитирование (маркировка) упаковки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Этикетка с полной и достоверной информацией о качестве семенного материала наносится на упаковку или прикрепляется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качестве дополнения к внешней этикетке в каждую упаковку семян вкладывается этикетка того же содержания и цвета, что и внешняя.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Сведения и сопроводительная информация должны представляться в соответствии с настоящим Положением на кыргызском и русском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Во время реализации или в процессе подготовки семян к реализации, запрещается продавцу семян или другим лицам преднамеренно изготавливать, наносить или удалять, вносить изменения, искажать, повреждать, скрывать или любым другим способом использовать не по назначению этикетки или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Если маркировка со сведениями о семенах нанесена на наружную поверхность упаковки несмываемой краской, или если наружная наклеивающаяся этикетка изготовлена из достаточно прочного материала, то официальная внутренняя этикетка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Этикетки должны быть прямоугольной формы с минимальными размерами 100 мм х 67 мм. Этикетки, в зависимости от категории семян, имеют следующие цвета: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оригинальные - фиолетовый;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суперэлиты - белый, с фиолетовый полосой по диагонали;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элиты - белый;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семена, отвечающие оценке соответствия - голубой.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Информация на этикетке должна быть отпечатана печатным шрифтом черного цвета, быть отчетливой и свободно читаемой, иметь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Ондуруучу (Производитель);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Осумдук (Культура);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Репродукциясы (Репродукция);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Партиянын N (N партии);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Фракциясы (Фракция);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Тазалыгы (Чистота) в 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Онумдулугу (Всхожесть) в 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Салмагы (Вес) в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Салынган жылы жана айы (Месяц и год упаковки);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Ууланган (Протравлены);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перемаркировке (перепломбировании) упаковки.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Если сведения наносятся непосредственно на упаковку, то их расположение и форма должны быть как можно больше приближены к виду стандартной этикетки.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Условные номера посевов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Идентичность семян должна поддерживаться как в процессе их выращивания, так и после сбора, очистки и упаковки. Такую идентичность можно поддерживать и контролировать с помощью системы указательной нумерации посевов и системы условной нумерации партий семян, позволяющих проследить и установить родословную каждой, отдельно взятой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Указательные номера посевов.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отдельный посев (на поле) должен обладать легко распознаваемым уникальным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присвоения указательного номера берут: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последние две цифры года урожая;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 посева, присваиваемый производителем по своему усмотрению (под свою ответственность).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год урожая - 2006, регистрационный номер производителя - 008, порядковый номер посева - 06. Таким образом, указательный номер посева - 06/008/06.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Условные номера партий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Партия семян при реализации должна иметь легко распознаваемый уникальный условный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Устанавливаются следующие двузначные буквенные коды для обозначения категории семян: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оригинальные - 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суперэлиты - СЭ;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элиты - ЭЛ;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семена, получившие оценку соответствия - 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Нумерация партии семян осуществляется по следующей схеме: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последние две цифры - год урожая;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производителя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 партии семян, собранной данным производителем в указанный год урожая.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год урожая - 2006, категория - элита, регистрационный номер производителя - 007, порядковый номер партии семян - 05. Следовательно, номер данной партии семян должен выглядеть следующим образом - 06/ЭЛ/007/05.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g_c9qtd0dtjlah5dz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dalil.kg/document/90217</w:t>
      </w:r>
    </w:hyperlink>
  </w:p>
  <w:p>
    <w:pPr>
      <w:spacing w:after="0" w:before="40"/>
      <w:jc w:val="center"/>
    </w:pPr>
    <w:hyperlink w:history="1" r:id="rIdwoax7f4csijfajl5q71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2orplkj_95alhdrzkxa" Type="http://schemas.openxmlformats.org/officeDocument/2006/relationships/hyperlink" Target="https://dalil.kg/document/60068" TargetMode="External"/><Relationship Id="rIdbc0xp1rhzm1nhcvwzegk6" Type="http://schemas.openxmlformats.org/officeDocument/2006/relationships/hyperlink" Target="https://dalil.kg/document/230003842" TargetMode="External"/><Relationship Id="rIdj990cdlgbnda2acqtjz-f" Type="http://schemas.openxmlformats.org/officeDocument/2006/relationships/hyperlink" Target="https://dalil.kg/document/538" TargetMode="External"/><Relationship Id="rIdrao1pfmw_r3jednhzreyw" Type="http://schemas.openxmlformats.org/officeDocument/2006/relationships/hyperlink" Target="https://dalil.kg/document/538" TargetMode="External"/><Relationship Id="rIdkzztbnip-zznuggqt-0yi" Type="http://schemas.openxmlformats.org/officeDocument/2006/relationships/hyperlink" Target="https://dalil.kg/document/230003842" TargetMode="External"/><Relationship Id="rId0qdqhz0a60h7nvmvpmlmd" Type="http://schemas.openxmlformats.org/officeDocument/2006/relationships/hyperlink" Target="https://dalil.kg/document/230003842" TargetMode="External"/><Relationship Id="rIdw4ndyhlu817lcn8v5bhfb" Type="http://schemas.openxmlformats.org/officeDocument/2006/relationships/hyperlink" Target="https://dalil.kg/document/230003842" TargetMode="External"/><Relationship Id="rIdxdbhlxvdgmjmv-i95vgbi" Type="http://schemas.openxmlformats.org/officeDocument/2006/relationships/hyperlink" Target="https://dalil.kg/document/230003842" TargetMode="External"/><Relationship Id="rIdambnpyeizjkl8ffav7ryx" Type="http://schemas.openxmlformats.org/officeDocument/2006/relationships/hyperlink" Target="https://dalil.kg/document/230003842" TargetMode="External"/><Relationship Id="rIdxacfwne-mn9abha1n7stj" Type="http://schemas.openxmlformats.org/officeDocument/2006/relationships/hyperlink" Target="https://dalil.kg/document/230003842" TargetMode="External"/><Relationship Id="rIdno6sigscfstmjotol7qn6" Type="http://schemas.openxmlformats.org/officeDocument/2006/relationships/hyperlink" Target="https://dalil.kg/document/230003842" TargetMode="External"/><Relationship Id="rIdpc9fhfb8hmbh76mmihb0u" Type="http://schemas.openxmlformats.org/officeDocument/2006/relationships/hyperlink" Target="https://dalil.kg/document/230003842" TargetMode="External"/><Relationship Id="rIdcawifqg4vidxtps6gsap3" Type="http://schemas.openxmlformats.org/officeDocument/2006/relationships/hyperlink" Target="https://dalil.kg/document/230003842" TargetMode="External"/><Relationship Id="rIdcldgnof_5mcr6_pq1f1rf" Type="http://schemas.openxmlformats.org/officeDocument/2006/relationships/hyperlink" Target="https://dalil.kg/document/230003842" TargetMode="External"/><Relationship Id="rId-i7dw6t92x-mwomnapzto" Type="http://schemas.openxmlformats.org/officeDocument/2006/relationships/hyperlink" Target="https://dalil.kg/document/230003842" TargetMode="External"/><Relationship Id="rIdnq2jov1e5ssqwzcaja0cp" Type="http://schemas.openxmlformats.org/officeDocument/2006/relationships/hyperlink" Target="https://dalil.kg/document/230003842" TargetMode="External"/><Relationship Id="rIdir1o4h_oyxhxytiwizapv" Type="http://schemas.openxmlformats.org/officeDocument/2006/relationships/hyperlink" Target="https://dalil.kg/document/230003842" TargetMode="External"/><Relationship Id="rIdtoqxcfwoaydcgzs7mmj7w" Type="http://schemas.openxmlformats.org/officeDocument/2006/relationships/hyperlink" Target="https://dalil.kg/document/23000384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g_c9qtd0dtjlah5dz-l" Type="http://schemas.openxmlformats.org/officeDocument/2006/relationships/hyperlink" Target="https://dalil.kg/document/90217" TargetMode="External"/><Relationship Id="rIdwoax7f4csijfajl5q71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2026-09-23T16:40:12.664Z</dcterms:created>
  <dcterms:modified xsi:type="dcterms:W3CDTF">2026-09-23T16:40:12.664Z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