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3ubwj5nxko_bf7atqap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2009 года № 712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boqwt91ggyzvwvvn4po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rlhiln9wyfsaiwvwnnj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0zxv02ly48tfkdvxji6g_">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депутатами Жогорку Кенеша Кыргызской Республики Сидоренко Р.В., Кенжебаевой А.А., Жакыповым Ж.С.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fmfzmpeegmso4u-u0dq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депутатами Жогорку Кенеша Кыргызской Республики Сидоренко В.В., Кенжебаевой А.А., Жакыповым Ж.С., руководствуясь статьей 65 Конституции Кыргызской Республики, статьей 34 конституционного Закона Кыргызской Республики "О Правительстве Кыргызской Республики", считает возможным его принятие с учетом следующих замечаний.</w:t>
      </w:r>
    </w:p>
    <w:p>
      <w:pPr>
        <w:spacing w:after="120"/>
        <w:jc w:val="both"/>
      </w:pPr>
      <w:r>
        <w:rPr>
          <w:rFonts w:ascii="Arial" w:cs="Arial" w:eastAsia="Arial" w:hAnsi="Arial"/>
          <w:sz w:val="24"/>
          <w:szCs w:val="24"/>
        </w:rPr>
        <w:t xml:space="preserve">В статье 1:</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В подпункте в) пункта 1 статьи 131 слова "и пастбищ" исключить.".</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В статье 337 столбец 7 "из них присельные пастбища" исключить.".</w:t>
      </w:r>
    </w:p>
    <w:p>
      <w:pPr>
        <w:spacing w:after="120"/>
        <w:jc w:val="both"/>
      </w:pPr>
      <w:r>
        <w:rPr>
          <w:rFonts w:ascii="Arial" w:cs="Arial" w:eastAsia="Arial" w:hAnsi="Arial"/>
          <w:sz w:val="24"/>
          <w:szCs w:val="24"/>
        </w:rPr>
        <w:t xml:space="preserve">Статью 2 исключить.</w:t>
      </w:r>
    </w:p>
    <w:p>
      <w:pPr>
        <w:spacing w:after="120"/>
        <w:jc w:val="both"/>
      </w:pPr>
      <w:r>
        <w:rPr>
          <w:rFonts w:ascii="Arial" w:cs="Arial" w:eastAsia="Arial" w:hAnsi="Arial"/>
          <w:sz w:val="24"/>
          <w:szCs w:val="24"/>
        </w:rPr>
        <w:t xml:space="preserve">В соответствии с бюджетным законодательством доходы и поступления органов государственной власти и местного самоуправления направляются в Консолидированный фонд, образуемый Казначейством Министерства финансов Кыргызской Республики. Все расчетные операции республиканских и местных организаций осуществляются из данного фонда.</w:t>
      </w:r>
    </w:p>
    <w:p>
      <w:pPr>
        <w:spacing w:after="120"/>
        <w:jc w:val="both"/>
      </w:pPr>
      <w:r>
        <w:rPr>
          <w:rFonts w:ascii="Arial" w:cs="Arial" w:eastAsia="Arial" w:hAnsi="Arial"/>
          <w:sz w:val="24"/>
          <w:szCs w:val="24"/>
        </w:rPr>
        <w:t xml:space="preserve">Поступления доходов в республиканский бюджет в соответствии с Законом Кыргызской Республики "О республиканском бюджете Кыргызской Республики на 2009 год и прогнозе на 2010-2011 годы" должны быть отражены единообразно. Так, распределение поступающих доходов прежде всего производится по соответствующим бюджетам (республиканский, местный) и только после этого распределяются по статьям расходов.</w:t>
      </w:r>
    </w:p>
    <w:p>
      <w:pPr>
        <w:spacing w:after="120"/>
        <w:jc w:val="both"/>
      </w:pPr>
      <w:r>
        <w:rPr>
          <w:rFonts w:ascii="Arial" w:cs="Arial" w:eastAsia="Arial" w:hAnsi="Arial"/>
          <w:sz w:val="24"/>
          <w:szCs w:val="24"/>
        </w:rPr>
        <w:t xml:space="preserve">Таким образом, в отраслевом законодательстве нормы зачисления средств должны определять существующие законодательством фонды образования денежных средств, а вопросы дальнейшего перераспределения средств внутри бюджета по различным счетам, в том числе направление их использования, регламентировать соответствующими нормативными актами.</w:t>
      </w:r>
    </w:p>
    <w:p>
      <w:pPr>
        <w:spacing w:after="120"/>
        <w:jc w:val="both"/>
      </w:pPr>
      <w:r>
        <w:rPr>
          <w:rFonts w:ascii="Arial" w:cs="Arial" w:eastAsia="Arial" w:hAnsi="Arial"/>
          <w:sz w:val="24"/>
          <w:szCs w:val="24"/>
        </w:rPr>
        <w:t xml:space="preserve">Внесение предлагаемых поправок в Закон Кыргызской Республики "О республиканском бюджете Кыргызской Республики на 2009 год и прогнозе на 2010-2011 годы" приведет к нарушению установленного порядка межбюджетных отношений.</w:t>
      </w:r>
    </w:p>
    <w:p>
      <w:pPr>
        <w:spacing w:after="120"/>
        <w:jc w:val="both"/>
      </w:pPr>
      <w:r>
        <w:rPr>
          <w:rFonts w:ascii="Arial" w:cs="Arial" w:eastAsia="Arial" w:hAnsi="Arial"/>
          <w:sz w:val="24"/>
          <w:szCs w:val="24"/>
        </w:rPr>
        <w:t xml:space="preserve">Учитывая, что улучшение и развитие пастбищной инфраструктуры, содержание жайыт комитетов и объединений пастбищапользователей подлежат финансированию из бюджета айыл окмоту, норму по зачислению поступлений за использование пастбищ в бюджете айыл окмоту необходимо законодательно закрепить в процессе рассмотрения бюджета на последующие годы.</w:t>
      </w:r>
    </w:p>
    <w:p>
      <w:pPr>
        <w:spacing w:after="120"/>
        <w:jc w:val="both"/>
      </w:pPr>
      <w:r>
        <w:rPr>
          <w:rFonts w:ascii="Arial" w:cs="Arial" w:eastAsia="Arial" w:hAnsi="Arial"/>
          <w:sz w:val="24"/>
          <w:szCs w:val="24"/>
        </w:rPr>
        <w:t xml:space="preserve">Статью 4 дополнить словами ", за исключением статьи 1 вступающей в силу с 1 января 2010 года".</w:t>
      </w:r>
    </w:p>
    <w:p>
      <w:pPr>
        <w:spacing w:after="120"/>
        <w:jc w:val="both"/>
      </w:pPr>
      <w:r>
        <w:rPr>
          <w:rFonts w:ascii="Arial" w:cs="Arial" w:eastAsia="Arial" w:hAnsi="Arial"/>
          <w:sz w:val="24"/>
          <w:szCs w:val="24"/>
        </w:rPr>
        <w:t xml:space="preserve">В соответствии со статьей 14 Налогового кодекса Кыргызской Республики законы Кыргызской Республики, вносящие изменения в настоящий Кодекс, в части установления новых налогов, повышения ставок налогов, вступают в силу с первого числа следующего налогового периода, не ранее 2 месяцев после их официального опубликования.</w:t>
      </w:r>
    </w:p>
    <w:p>
      <w:pPr>
        <w:spacing w:after="120"/>
        <w:jc w:val="both"/>
      </w:pPr>
      <w:r>
        <w:rPr>
          <w:rFonts w:ascii="Arial" w:cs="Arial" w:eastAsia="Arial" w:hAnsi="Arial"/>
          <w:sz w:val="24"/>
          <w:szCs w:val="24"/>
        </w:rPr>
        <w:t xml:space="preserve">Вносимые изменения в Налоговый кодекс Кыргызской Республики вносят частичные изменения в налоговые правоотношения налоговых органов с исполнительными органами местного самоуправления и к возникновению налоговых обязательств у пастбищапользователей.</w:t>
      </w:r>
    </w:p>
    <w:p>
      <w:pPr>
        <w:spacing w:after="120"/>
        <w:jc w:val="both"/>
      </w:pPr>
      <w:r>
        <w:rPr>
          <w:rFonts w:ascii="Arial" w:cs="Arial" w:eastAsia="Arial" w:hAnsi="Arial"/>
          <w:sz w:val="24"/>
          <w:szCs w:val="24"/>
        </w:rPr>
        <w:t xml:space="preserve">Кроме того, предлагаемое дополнение позволит завершить текущий финансовый год без внесения изменений в республиканский бюджет в связи с выпадением доходов (земельный налог по присельным пастбищам).</w:t>
      </w:r>
    </w:p>
    <w:p>
      <w:pPr>
        <w:spacing w:after="120"/>
        <w:jc w:val="both"/>
      </w:pPr>
      <w:r>
        <w:rPr>
          <w:rFonts w:ascii="Arial" w:cs="Arial" w:eastAsia="Arial" w:hAnsi="Arial"/>
          <w:sz w:val="24"/>
          <w:szCs w:val="24"/>
        </w:rPr>
        <w:t xml:space="preserve">Одновременно отмечаем необходимость доработки структуры законопроекта с учетом требований главы 3 "Нормотворческая техника. Требования к оформлению нормативного правового акта"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3ubwj5nxko_bf7atqapw" Type="http://schemas.openxmlformats.org/officeDocument/2006/relationships/hyperlink" Target="http://kodeks.duckdns.org/document/159126" TargetMode="External"/><Relationship Id="rIdboqwt91ggyzvwvvn4polf" Type="http://schemas.openxmlformats.org/officeDocument/2006/relationships/hyperlink" Target="http://kodeks.duckdns.org/document/1" TargetMode="External"/><Relationship Id="rIdrlhiln9wyfsaiwvwnnjid" Type="http://schemas.openxmlformats.org/officeDocument/2006/relationships/hyperlink" Target="http://kodeks.duckdns.org/document/1754" TargetMode="External"/><Relationship Id="rId0zxv02ly48tfkdvxji6g_" Type="http://schemas.openxmlformats.org/officeDocument/2006/relationships/hyperlink" Target="http://kodeks.duckdns.org/document/90351#p" TargetMode="External"/><Relationship Id="rIdfmfzmpeegmso4u-u0dq9f" Type="http://schemas.openxmlformats.org/officeDocument/2006/relationships/hyperlink" Target="http://kodeks.duckdns.org/document/9035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2026-09-23T02:37:03.304Z</dcterms:created>
  <dcterms:modified xsi:type="dcterms:W3CDTF">2026-09-23T02:37:03.304Z</dcterms:modified>
</cp:coreProperties>
</file>

<file path=docProps/custom.xml><?xml version="1.0" encoding="utf-8"?>
<Properties xmlns="http://schemas.openxmlformats.org/officeDocument/2006/custom-properties" xmlns:vt="http://schemas.openxmlformats.org/officeDocument/2006/docPropsVTypes"/>
</file>