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meuou7cji-kj9_evmlc_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января 2020 года № 25</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hyperlink w:history="1" r:id="rId4hnxvi5w1wbbvzhctjop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Кыргызской Республики
 от 19 марта 2010 года № 163</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
 заполнения и представления информационного расчета по налогу на имущество</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1oddjuwghyiprapuol9jh">
        <w:r>
          <w:rPr>
            <w:rFonts w:ascii="Arial" w:cs="Arial" w:eastAsia="Arial" w:hAnsi="Arial"/>
            <w:i/>
            <w:iCs/>
            <w:color w:val="1D4ED8"/>
            <w:sz w:val="24"/>
            <w:szCs w:val="24"/>
            <w:u w:val="single"/>
          </w:rPr>
          <w:t xml:space="preserve">11 июня 2012 года № 393</w:t>
        </w:r>
      </w:hyperlink>
      <w:r>
        <w:rPr>
          <w:rFonts w:ascii="Arial" w:cs="Arial" w:eastAsia="Arial" w:hAnsi="Arial"/>
          <w:i/>
          <w:iCs/>
          <w:sz w:val="24"/>
          <w:szCs w:val="24"/>
        </w:rPr>
        <w:t xml:space="preserve">, </w:t>
      </w:r>
      <w:hyperlink w:history="1" r:id="rIdxxadry3kmdli_ojq2qxcl">
        <w:r>
          <w:rPr>
            <w:rFonts w:ascii="Arial" w:cs="Arial" w:eastAsia="Arial" w:hAnsi="Arial"/>
            <w:i/>
            <w:iCs/>
            <w:color w:val="1D4ED8"/>
            <w:sz w:val="24"/>
            <w:szCs w:val="24"/>
            <w:u w:val="single"/>
          </w:rPr>
          <w:t xml:space="preserve">2 июля 2014 года № 365</w:t>
        </w:r>
      </w:hyperlink>
      <w:r>
        <w:rPr>
          <w:rFonts w:ascii="Arial" w:cs="Arial" w:eastAsia="Arial" w:hAnsi="Arial"/>
          <w:i/>
          <w:iCs/>
          <w:sz w:val="24"/>
          <w:szCs w:val="24"/>
        </w:rPr>
        <w:t xml:space="preserve">, </w:t>
      </w:r>
      <w:hyperlink w:history="1" r:id="rIdulrd4gkpeggp9chq2a_6o">
        <w:r>
          <w:rPr>
            <w:rFonts w:ascii="Arial" w:cs="Arial" w:eastAsia="Arial" w:hAnsi="Arial"/>
            <w:i/>
            <w:iCs/>
            <w:color w:val="1D4ED8"/>
            <w:sz w:val="24"/>
            <w:szCs w:val="24"/>
            <w:u w:val="single"/>
          </w:rPr>
          <w:t xml:space="preserve">12 декабря 2018 года № 580</w:t>
        </w:r>
        <w:r>
          <w:rPr>
            <w:rFonts w:ascii="Arial" w:cs="Arial" w:eastAsia="Arial" w:hAnsi="Arial"/>
            <w:i/>
            <w:iCs/>
            <w:color w:val="1D4ED8"/>
            <w:sz w:val="24"/>
            <w:szCs w:val="24"/>
            <w:u w:val="single"/>
          </w:rPr>
          <w:t xml:space="preserve">)</w:t>
        </w:r>
      </w:hyperlink>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Информационный расчет по налогу на имущество (далее - расчет) состоит из:</w:t>
      </w:r>
    </w:p>
    <w:p>
      <w:pPr>
        <w:spacing w:after="120"/>
        <w:ind w:firstLine="567"/>
        <w:jc w:val="both"/>
      </w:pPr>
      <w:r>
        <w:rPr>
          <w:rFonts w:ascii="Arial" w:cs="Arial" w:eastAsia="Arial" w:hAnsi="Arial"/>
          <w:sz w:val="24"/>
          <w:szCs w:val="24"/>
        </w:rPr>
        <w:t xml:space="preserve">1) информационного расчета по налогу на имущество по объектам имущества 1 группы (FORM STI-086);</w:t>
      </w:r>
    </w:p>
    <w:p>
      <w:pPr>
        <w:spacing w:after="120"/>
        <w:ind w:firstLine="567"/>
        <w:jc w:val="both"/>
      </w:pPr>
      <w:r>
        <w:rPr>
          <w:rFonts w:ascii="Arial" w:cs="Arial" w:eastAsia="Arial" w:hAnsi="Arial"/>
          <w:sz w:val="24"/>
          <w:szCs w:val="24"/>
        </w:rPr>
        <w:t xml:space="preserve">2) информационного расчета по налогу на имущество по объектам имущества 2 группы (FORM STI-087);</w:t>
      </w:r>
    </w:p>
    <w:p>
      <w:pPr>
        <w:spacing w:after="120"/>
        <w:ind w:firstLine="567"/>
        <w:jc w:val="both"/>
      </w:pPr>
      <w:r>
        <w:rPr>
          <w:rFonts w:ascii="Arial" w:cs="Arial" w:eastAsia="Arial" w:hAnsi="Arial"/>
          <w:sz w:val="24"/>
          <w:szCs w:val="24"/>
        </w:rPr>
        <w:t xml:space="preserve">3) информационного расчета по налогу на имущество по объектам имущества 3 группы (FORM STI-088);</w:t>
      </w:r>
    </w:p>
    <w:p>
      <w:pPr>
        <w:spacing w:after="120"/>
        <w:ind w:firstLine="567"/>
        <w:jc w:val="both"/>
      </w:pPr>
      <w:r>
        <w:rPr>
          <w:rFonts w:ascii="Arial" w:cs="Arial" w:eastAsia="Arial" w:hAnsi="Arial"/>
          <w:sz w:val="24"/>
          <w:szCs w:val="24"/>
        </w:rPr>
        <w:t xml:space="preserve">4) информационного расчета по налогу на имущество по объектам имущества 4 группы организаций (FORM STI-089);</w:t>
      </w:r>
    </w:p>
    <w:p>
      <w:pPr>
        <w:spacing w:after="120"/>
        <w:ind w:firstLine="567"/>
        <w:jc w:val="both"/>
      </w:pPr>
      <w:r>
        <w:rPr>
          <w:rFonts w:ascii="Arial" w:cs="Arial" w:eastAsia="Arial" w:hAnsi="Arial"/>
          <w:sz w:val="24"/>
          <w:szCs w:val="24"/>
        </w:rPr>
        <w:t xml:space="preserve">5) информационного расчета по налогу на имущество по объектам имущества 4 группы физических лиц (FORM STI-090).</w:t>
      </w:r>
    </w:p>
    <w:p>
      <w:pPr>
        <w:spacing w:after="120"/>
        <w:ind w:firstLine="567"/>
        <w:jc w:val="both"/>
      </w:pPr>
      <w:r>
        <w:rPr>
          <w:rFonts w:ascii="Arial" w:cs="Arial" w:eastAsia="Arial" w:hAnsi="Arial"/>
          <w:sz w:val="24"/>
          <w:szCs w:val="24"/>
        </w:rPr>
        <w:t xml:space="preserve">2. Налогоплательщик (собственник или пользователь имущества) представляет расчеты по налогу на имущество по объектам имущества 1, 2 и 3 групп (FORM STI - 086, 087, 088) по месту учетной регистрации объекта имущества, а в пределах гор. Бишкек - по месту налоговой регистрации налогоплательщика. По объектам имущества 4 группы (FORM STI - 089, 090) представляется расчет по месту регистрации объекта в уполномоченном государственном органе, осуществляющим регистрацию автомототранспортных средств.</w:t>
      </w:r>
    </w:p>
    <w:p>
      <w:pPr>
        <w:spacing w:after="120"/>
        <w:ind w:firstLine="567"/>
        <w:jc w:val="both"/>
      </w:pPr>
      <w:r>
        <w:rPr>
          <w:rFonts w:ascii="Arial" w:cs="Arial" w:eastAsia="Arial" w:hAnsi="Arial"/>
          <w:sz w:val="24"/>
          <w:szCs w:val="24"/>
        </w:rPr>
        <w:t xml:space="preserve">3. Налогоплательщик при представлении информационного расчета (FORM STI - 086, 087, 088, 089, 090):</w:t>
      </w:r>
    </w:p>
    <w:p>
      <w:pPr>
        <w:spacing w:after="120"/>
        <w:ind w:firstLine="567"/>
        <w:jc w:val="both"/>
      </w:pPr>
      <w:r>
        <w:rPr>
          <w:rFonts w:ascii="Arial" w:cs="Arial" w:eastAsia="Arial" w:hAnsi="Arial"/>
          <w:sz w:val="24"/>
          <w:szCs w:val="24"/>
        </w:rPr>
        <w:t xml:space="preserve">1) в ячейке 001 указывает вид отчетности отметкой знаком "X":</w:t>
      </w:r>
    </w:p>
    <w:p>
      <w:pPr>
        <w:spacing w:after="120"/>
        <w:ind w:firstLine="567"/>
        <w:jc w:val="both"/>
      </w:pPr>
      <w:r>
        <w:rPr>
          <w:rFonts w:ascii="Arial" w:cs="Arial" w:eastAsia="Arial" w:hAnsi="Arial"/>
          <w:sz w:val="24"/>
          <w:szCs w:val="24"/>
        </w:rPr>
        <w:t xml:space="preserve">- "первоначальный" - указывается, когда отчетность сдается впервые;</w:t>
      </w:r>
    </w:p>
    <w:p>
      <w:pPr>
        <w:spacing w:after="120"/>
        <w:ind w:firstLine="567"/>
        <w:jc w:val="both"/>
      </w:pPr>
      <w:r>
        <w:rPr>
          <w:rFonts w:ascii="Arial" w:cs="Arial" w:eastAsia="Arial" w:hAnsi="Arial"/>
          <w:sz w:val="24"/>
          <w:szCs w:val="24"/>
        </w:rPr>
        <w:t xml:space="preserve">- "уточненный" - представляется в случае, если налогоплательщик вносит изменения в ранее предоставленный расчет. Например, предоставляется уточненный расчет, связанный с изменением налогового обязательства в результате: арифметической ошибки; изменения зонального или отраслевого коэффициента;</w:t>
      </w:r>
    </w:p>
    <w:p>
      <w:pPr>
        <w:spacing w:after="120"/>
        <w:ind w:firstLine="567"/>
        <w:jc w:val="both"/>
      </w:pPr>
      <w:r>
        <w:rPr>
          <w:rFonts w:ascii="Arial" w:cs="Arial" w:eastAsia="Arial" w:hAnsi="Arial"/>
          <w:sz w:val="24"/>
          <w:szCs w:val="24"/>
        </w:rPr>
        <w:t xml:space="preserve">- "дополнительный" - представляется при возникновении налогового обязательства по вновь приобретенному объекту имущества или уменьшению налогового обязательства по проданному объекту имущества в течение года. Например, предоставляется дополнительный расчет при покупке или продаже объекта имущества;</w:t>
      </w:r>
    </w:p>
    <w:p>
      <w:pPr>
        <w:spacing w:after="120"/>
        <w:ind w:firstLine="567"/>
        <w:jc w:val="both"/>
      </w:pPr>
      <w:r>
        <w:rPr>
          <w:rFonts w:ascii="Arial" w:cs="Arial" w:eastAsia="Arial" w:hAnsi="Arial"/>
          <w:sz w:val="24"/>
          <w:szCs w:val="24"/>
        </w:rPr>
        <w:t xml:space="preserve">2) в ячейке 201 указывает год, на который предоставляется информационный расчет по налогу на имущество.</w:t>
      </w:r>
    </w:p>
    <w:p>
      <w:pPr>
        <w:spacing w:after="120"/>
        <w:ind w:firstLine="567"/>
        <w:jc w:val="both"/>
      </w:pPr>
      <w:r>
        <w:rPr>
          <w:rFonts w:ascii="Arial" w:cs="Arial" w:eastAsia="Arial" w:hAnsi="Arial"/>
          <w:sz w:val="24"/>
          <w:szCs w:val="24"/>
        </w:rPr>
        <w:t xml:space="preserve">4. Ячейки с 102 по 111, 901 и 902 заполняются в соответствии с Положением о порядке заполнения и представления форм налоговой отчетности, утверждаемым Правительством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Информационный расчет по налогу на имущество по объектам имущества 1 группы (FORM STI-086)</w:t>
      </w:r>
    </w:p>
    <w:p>
      <w:pPr>
        <w:spacing w:after="120"/>
        <w:jc w:val="center"/>
      </w:pPr>
      <w:r>
        <w:rPr>
          <w:rFonts w:ascii="Arial" w:cs="Arial" w:eastAsia="Arial" w:hAnsi="Arial"/>
          <w:i/>
          <w:iCs/>
          <w:sz w:val="24"/>
          <w:szCs w:val="24"/>
        </w:rPr>
        <w:t xml:space="preserve">(Раздел в редакции постановления Правительства КР от </w:t>
      </w:r>
      <w:hyperlink w:history="1" r:id="rId64xpvzchros5ltx1khbt_">
        <w:r>
          <w:rPr>
            <w:rFonts w:ascii="Arial" w:cs="Arial" w:eastAsia="Arial" w:hAnsi="Arial"/>
            <w:i/>
            <w:iCs/>
            <w:color w:val="1D4ED8"/>
            <w:sz w:val="24"/>
            <w:szCs w:val="24"/>
            <w:u w:val="single"/>
          </w:rPr>
          <w:t xml:space="preserve">2 июля 2014 года № 365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В ячейках 300, 317, 334, 351, 368, 385, 402, 419, 436 графы 1 указывается наименование видов имущества в соответствии с кодом имущества, отраженным в таблице 1.</w:t>
      </w:r>
    </w:p>
    <w:p>
      <w:pPr>
        <w:spacing w:after="120" w:before="12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82"/>
        <w:gridCol w:w="6296"/>
      </w:tblGrid>
      <w:tr>
        <w:tc>
          <w:tcPr>
            <w:tcW w:type="dxa" w:w="38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 имущества</w:t>
            </w:r>
          </w:p>
        </w:tc>
        <w:tc>
          <w:tcPr>
            <w:tcW w:type="dxa" w:w="62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имущества</w:t>
            </w:r>
          </w:p>
        </w:tc>
      </w:tr>
      <w:tr>
        <w:tc>
          <w:tcPr>
            <w:tcW w:type="dxa" w:w="38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6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w:t>
            </w:r>
          </w:p>
        </w:tc>
      </w:tr>
      <w:tr>
        <w:tc>
          <w:tcPr>
            <w:tcW w:type="dxa" w:w="38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6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w:t>
            </w:r>
          </w:p>
        </w:tc>
      </w:tr>
      <w:tr>
        <w:tc>
          <w:tcPr>
            <w:tcW w:type="dxa" w:w="38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6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w:t>
            </w:r>
          </w:p>
        </w:tc>
      </w:tr>
    </w:tbl>
    <w:p>
      <w:pPr>
        <w:spacing w:after="60" w:before="120"/>
        <w:ind w:firstLine="567"/>
        <w:jc w:val="both"/>
      </w:pPr>
      <w:r>
        <w:rPr>
          <w:rFonts w:ascii="Arial" w:cs="Arial" w:eastAsia="Arial" w:hAnsi="Arial"/>
          <w:sz w:val="24"/>
          <w:szCs w:val="24"/>
        </w:rPr>
        <w:t xml:space="preserve">В случае, если налогоплательщик имеет несколько объектов имущества, в информационный расчет включаются все объекты имущества. Например, физическое лицо владеет домом и квартирой. В этом случае в расчет включаются: дом - "001" и квартира - "002".</w:t>
      </w:r>
    </w:p>
    <w:p>
      <w:pPr>
        <w:spacing w:after="60"/>
        <w:ind w:firstLine="567"/>
        <w:jc w:val="both"/>
      </w:pPr>
      <w:r>
        <w:rPr>
          <w:rFonts w:ascii="Arial" w:cs="Arial" w:eastAsia="Arial" w:hAnsi="Arial"/>
          <w:sz w:val="24"/>
          <w:szCs w:val="24"/>
        </w:rPr>
        <w:t xml:space="preserve">6. В ячейках 301, 318, 335, 352, 369, 386, 403, 420, 437 графы 2 указывается адрес местонахождения имущества, указанный в техническом паспорте, выданном органом государственной регистрации прав на недвижимое имущество. Например, город Бишкек, ул.Манаса, д.25, кв.5. В случае отсутствия регистрации прав на имущество указывается фактический адрес места нахождения имущества.</w:t>
      </w:r>
    </w:p>
    <w:p>
      <w:pPr>
        <w:spacing w:after="60"/>
        <w:ind w:firstLine="567"/>
        <w:jc w:val="both"/>
      </w:pPr>
      <w:r>
        <w:rPr>
          <w:rFonts w:ascii="Arial" w:cs="Arial" w:eastAsia="Arial" w:hAnsi="Arial"/>
          <w:sz w:val="24"/>
          <w:szCs w:val="24"/>
        </w:rPr>
        <w:t xml:space="preserve">7. В ячейках 302, 319, 336, 353, 370, 387, 404, 421, 438 графы 3 указывается идентификационный код имущества, присвоенный органами государственной регистрации прав на недвижимое имущество. В случае отсутствия регистрации прав на имущество проставляется значение "0".</w:t>
      </w:r>
    </w:p>
    <w:p>
      <w:pPr>
        <w:spacing w:after="60"/>
        <w:ind w:firstLine="567"/>
        <w:jc w:val="both"/>
      </w:pPr>
      <w:r>
        <w:rPr>
          <w:rFonts w:ascii="Arial" w:cs="Arial" w:eastAsia="Arial" w:hAnsi="Arial"/>
          <w:sz w:val="24"/>
          <w:szCs w:val="24"/>
        </w:rPr>
        <w:t xml:space="preserve">8. В ячейках 303, 320, 337, 354, 371, 388, 405, 422, 439 графы 4 указывается информация о праве обладания имуществом: собственник, долевой собственник, не собственник - по кодам пользователей имущества согласно таблице 2.</w:t>
      </w:r>
    </w:p>
    <w:p>
      <w:pPr>
        <w:spacing w:after="120" w:before="120"/>
        <w:ind w:firstLine="567"/>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8"/>
        <w:gridCol w:w="8430"/>
      </w:tblGrid>
      <w:tr>
        <w:tc>
          <w:tcPr>
            <w:tcW w:type="dxa" w:w="17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w:t>
            </w:r>
          </w:p>
        </w:tc>
        <w:tc>
          <w:tcPr>
            <w:tcW w:type="dxa" w:w="84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Пользователь имущества</w:t>
            </w:r>
          </w:p>
        </w:tc>
      </w:tr>
      <w:tr>
        <w:tc>
          <w:tcPr>
            <w:tcW w:type="dxa" w:w="1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w:t>
            </w:r>
          </w:p>
        </w:tc>
        <w:tc>
          <w:tcPr>
            <w:tcW w:type="dxa" w:w="8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Собственник</w:t>
            </w:r>
          </w:p>
        </w:tc>
      </w:tr>
      <w:tr>
        <w:tc>
          <w:tcPr>
            <w:tcW w:type="dxa" w:w="1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ДС</w:t>
            </w:r>
          </w:p>
        </w:tc>
        <w:tc>
          <w:tcPr>
            <w:tcW w:type="dxa" w:w="8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Долевой собственник</w:t>
            </w:r>
          </w:p>
        </w:tc>
      </w:tr>
      <w:tr>
        <w:tc>
          <w:tcPr>
            <w:tcW w:type="dxa" w:w="1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НС</w:t>
            </w:r>
          </w:p>
        </w:tc>
        <w:tc>
          <w:tcPr>
            <w:tcW w:type="dxa" w:w="8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собственник</w:t>
            </w:r>
          </w:p>
        </w:tc>
      </w:tr>
    </w:tbl>
    <w:p>
      <w:pPr>
        <w:spacing w:after="60" w:before="120"/>
        <w:ind w:firstLine="567"/>
        <w:jc w:val="both"/>
      </w:pPr>
      <w:r>
        <w:rPr>
          <w:rFonts w:ascii="Arial" w:cs="Arial" w:eastAsia="Arial" w:hAnsi="Arial"/>
          <w:sz w:val="24"/>
          <w:szCs w:val="24"/>
        </w:rPr>
        <w:t xml:space="preserve">9. В ячейках 304, 321, 338, 355, 372, 389, 406, 423, 440 графы 5 указывается количество месяцев владения/пользования объектом имущества. Например, 12, 6, 3.</w:t>
      </w:r>
    </w:p>
    <w:p>
      <w:pPr>
        <w:spacing w:after="60"/>
        <w:ind w:firstLine="567"/>
        <w:jc w:val="both"/>
      </w:pPr>
      <w:r>
        <w:rPr>
          <w:rFonts w:ascii="Arial" w:cs="Arial" w:eastAsia="Arial" w:hAnsi="Arial"/>
          <w:sz w:val="24"/>
          <w:szCs w:val="24"/>
        </w:rPr>
        <w:t xml:space="preserve">10. В ячейках 305, 322, 339, 356, 373, 390, 407, 424, 441 графы 6 указывается код материала стен, в соответствии с кодом материала, отраженным в таблице 3.</w:t>
      </w:r>
    </w:p>
    <w:p>
      <w:pPr>
        <w:spacing w:after="120" w:before="120"/>
        <w:ind w:firstLine="567"/>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0"/>
        <w:gridCol w:w="8628"/>
      </w:tblGrid>
      <w:tr>
        <w:tc>
          <w:tcPr>
            <w:tcW w:type="dxa" w:w="15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 материала</w:t>
            </w:r>
          </w:p>
        </w:tc>
        <w:tc>
          <w:tcPr>
            <w:tcW w:type="dxa" w:w="86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материала</w:t>
            </w:r>
          </w:p>
        </w:tc>
      </w:tr>
      <w:tr>
        <w:tc>
          <w:tcPr>
            <w:tcW w:type="dxa" w:w="1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Кирпич</w:t>
            </w:r>
          </w:p>
        </w:tc>
      </w:tr>
      <w:tr>
        <w:tc>
          <w:tcPr>
            <w:tcW w:type="dxa" w:w="1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Дерево</w:t>
            </w:r>
          </w:p>
        </w:tc>
      </w:tr>
      <w:tr>
        <w:tc>
          <w:tcPr>
            <w:tcW w:type="dxa" w:w="1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8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Сборный и монолитный бетон и железобетон, бетонные блоки, пескоблок, пеноблок, пенобетон, стекло</w:t>
            </w:r>
          </w:p>
        </w:tc>
      </w:tr>
      <w:tr>
        <w:tc>
          <w:tcPr>
            <w:tcW w:type="dxa" w:w="1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Сырцовая глина (саман, гуваляк, сокмо)</w:t>
            </w:r>
          </w:p>
        </w:tc>
      </w:tr>
      <w:tr>
        <w:tc>
          <w:tcPr>
            <w:tcW w:type="dxa" w:w="1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8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Шлакоблок, полистирольный строительный блок</w:t>
            </w:r>
          </w:p>
        </w:tc>
      </w:tr>
      <w:tr>
        <w:tc>
          <w:tcPr>
            <w:tcW w:type="dxa" w:w="1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8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w:t>
            </w:r>
          </w:p>
        </w:tc>
      </w:tr>
      <w:tr>
        <w:tc>
          <w:tcPr>
            <w:tcW w:type="dxa" w:w="1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8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материалы и материалы для временных помещений</w:t>
            </w:r>
          </w:p>
        </w:tc>
      </w:tr>
    </w:tbl>
    <w:p>
      <w:pPr>
        <w:spacing w:after="60" w:before="120"/>
        <w:ind w:firstLine="567"/>
        <w:jc w:val="both"/>
      </w:pPr>
      <w:r>
        <w:rPr>
          <w:rFonts w:ascii="Arial" w:cs="Arial" w:eastAsia="Arial" w:hAnsi="Arial"/>
          <w:sz w:val="24"/>
          <w:szCs w:val="24"/>
        </w:rPr>
        <w:t xml:space="preserve">11. В ячейках 306, 323, 340, 357, 374, 391, 408, 425, 442 графы 7 указывается год ввода в эксплуатацию объекта имущества. Например, 1995.</w:t>
      </w:r>
    </w:p>
    <w:p>
      <w:pPr>
        <w:spacing w:after="60"/>
        <w:ind w:firstLine="567"/>
        <w:jc w:val="both"/>
      </w:pPr>
      <w:r>
        <w:rPr>
          <w:rFonts w:ascii="Arial" w:cs="Arial" w:eastAsia="Arial" w:hAnsi="Arial"/>
          <w:sz w:val="24"/>
          <w:szCs w:val="24"/>
        </w:rPr>
        <w:t xml:space="preserve">12. В ячейках 307, 324, 341, 358, 375, 392, 409, 426, 443 графы 8 указывается общая площадь объекта имущества (кв.м) по данным технического паспорта единицы недвижимого имущества налогоплательщика, выдаваемого государственным органом, осуществляющим регистрацию прав на недвижимое имущество. В случае отсутствия в техническом паспорте единицы недвижимого имущества данных о размере общей площади объекта имущества по внутреннему замеру, общая площадь определяется по наружному замеру.</w:t>
      </w:r>
    </w:p>
    <w:p>
      <w:pPr>
        <w:spacing w:after="60"/>
        <w:ind w:firstLine="567"/>
        <w:jc w:val="both"/>
      </w:pPr>
      <w:r>
        <w:rPr>
          <w:rFonts w:ascii="Arial" w:cs="Arial" w:eastAsia="Arial" w:hAnsi="Arial"/>
          <w:sz w:val="24"/>
          <w:szCs w:val="24"/>
        </w:rPr>
        <w:t xml:space="preserve">В случае отсутствия регистрации прав на имущество указывается общая площадь объекта имущества согласно акту, подготовленному комиссией в составе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w:t>
      </w:r>
    </w:p>
    <w:p>
      <w:pPr>
        <w:spacing w:after="60"/>
        <w:ind w:firstLine="567"/>
        <w:jc w:val="both"/>
      </w:pPr>
      <w:r>
        <w:rPr>
          <w:rFonts w:ascii="Arial" w:cs="Arial" w:eastAsia="Arial" w:hAnsi="Arial"/>
          <w:sz w:val="24"/>
          <w:szCs w:val="24"/>
        </w:rPr>
        <w:t xml:space="preserve">13. В ячейках 308, 325, 342, 359, 376, 393, 410, 427, 444 графы 9 указывается не облагаемая налогом площадь согласно пункту 2 части 1 </w:t>
      </w:r>
      <w:hyperlink w:history="1" r:id="rIdaew3w-ldqfvln6iivdqfa">
        <w:r>
          <w:rPr>
            <w:rFonts w:ascii="Arial" w:cs="Arial" w:eastAsia="Arial" w:hAnsi="Arial"/>
            <w:color w:val="1D4ED8"/>
            <w:sz w:val="24"/>
            <w:szCs w:val="24"/>
            <w:u w:val="single"/>
          </w:rPr>
          <w:t xml:space="preserve">статьи 330</w:t>
        </w:r>
      </w:hyperlink>
      <w:r>
        <w:rPr>
          <w:rFonts w:ascii="Arial" w:cs="Arial" w:eastAsia="Arial" w:hAnsi="Arial"/>
          <w:sz w:val="24"/>
          <w:szCs w:val="24"/>
        </w:rPr>
        <w:t xml:space="preserve"> Налогового кодекса Кыргызской Республики (далее - Налоговый кодекс). Например, трехкомнатная квартира общей площадью 120 кв.м, расположенная в городе Бишкек. В данном случае не облагаемая налогом площадь составляет 80 кв.м.</w:t>
      </w:r>
    </w:p>
    <w:p>
      <w:pPr>
        <w:spacing w:after="60"/>
        <w:ind w:firstLine="567"/>
        <w:jc w:val="both"/>
      </w:pPr>
      <w:r>
        <w:rPr>
          <w:rFonts w:ascii="Arial" w:cs="Arial" w:eastAsia="Arial" w:hAnsi="Arial"/>
          <w:sz w:val="24"/>
          <w:szCs w:val="24"/>
        </w:rPr>
        <w:t xml:space="preserve">14. В ячейках 309, 326, 343, 360, 377, 394, 411, 428, 445 графы 10 указывается разность данных, указанных в ячейках 307, 324, 341, 358, 375, 392, 409, 426, 443 графы 8 и ячейках 308, 325, 342, 359, 376, 393, 410, 427, 444 графы 9. Например, общая площадь трехкомнатной квартиры составляет 120 кв.м минус не облагаемая налогом площадь жилья по городу Бишкек - 80 кв.м, таким образом, в графе 10 указывается налогооблагаемая площадь - 40 кв.м (120 кв.м - 80 кв.м).</w:t>
      </w:r>
    </w:p>
    <w:p>
      <w:pPr>
        <w:spacing w:after="60"/>
        <w:ind w:firstLine="567"/>
        <w:jc w:val="both"/>
      </w:pPr>
      <w:r>
        <w:rPr>
          <w:rFonts w:ascii="Arial" w:cs="Arial" w:eastAsia="Arial" w:hAnsi="Arial"/>
          <w:sz w:val="24"/>
          <w:szCs w:val="24"/>
        </w:rPr>
        <w:t xml:space="preserve">15. В ячейках 310, 327, 344, 361, 378, 395, 412, 429, 446 графы 11 указывается оценочная стоимость объекта имущества (1 кв.м, сом) в зависимости от срока эксплуатации и материала стен согласно части 2 </w:t>
      </w:r>
      <w:hyperlink w:history="1" r:id="rIdbfyxm2xo43tvwbczackd6">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 отраженная в таблице 4.</w:t>
      </w:r>
    </w:p>
    <w:p>
      <w:pPr>
        <w:spacing w:after="120" w:before="120"/>
        <w:ind w:firstLine="567"/>
        <w:jc w:val="right"/>
      </w:pPr>
      <w:r>
        <w:rPr>
          <w:rFonts w:ascii="Arial" w:cs="Arial" w:eastAsia="Arial" w:hAnsi="Arial"/>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3"/>
        <w:gridCol w:w="2353"/>
        <w:gridCol w:w="2173"/>
      </w:tblGrid>
      <w:tr>
        <w:tc>
          <w:tcPr>
            <w:tcW w:type="dxa" w:w="56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Материал стен</w:t>
            </w:r>
          </w:p>
        </w:tc>
        <w:tc>
          <w:tcPr>
            <w:tcW w:type="dxa" w:w="23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эксплуатации</w:t>
            </w:r>
          </w:p>
        </w:tc>
        <w:tc>
          <w:tcPr>
            <w:tcW w:type="dxa" w:w="21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Оценочная стоимость 1 кв.м, сом</w:t>
            </w:r>
          </w:p>
        </w:tc>
      </w:tr>
      <w:tr>
        <w:tc>
          <w:tcPr>
            <w:tcW w:type="dxa" w:w="565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Кирпич</w:t>
            </w: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5-15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15-30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30-45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45 лет</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r>
      <w:tr>
        <w:tc>
          <w:tcPr>
            <w:tcW w:type="dxa" w:w="565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Дерево</w:t>
            </w: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5-15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15-30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30-45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45 лет</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r>
      <w:tr>
        <w:tc>
          <w:tcPr>
            <w:tcW w:type="dxa" w:w="565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Сборный и монолитный бетон и железобетон, бетонные блоки, пескоблок, пеноблок, пенобетон, стекло</w:t>
            </w: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5-15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15-30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30-45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45 лет</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r>
      <w:tr>
        <w:tc>
          <w:tcPr>
            <w:tcW w:type="dxa" w:w="565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Сырцовая глина (саман, гуваляк, сокмо)</w:t>
            </w: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5-15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15-30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30-45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45 лет</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565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Шлакоблок, полистирольный строительный блок</w:t>
            </w: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5-15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15-30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30-45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45 лет</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565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w:t>
            </w: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30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30 лет</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r>
      <w:tr>
        <w:tc>
          <w:tcPr>
            <w:tcW w:type="dxa" w:w="5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материалы и материалы для временных помещений</w:t>
            </w:r>
          </w:p>
        </w:tc>
        <w:tc>
          <w:tcPr>
            <w:tcW w:type="dxa" w:w="45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r>
    </w:tbl>
    <w:p>
      <w:pPr>
        <w:spacing w:after="60" w:before="120"/>
        <w:ind w:firstLine="567"/>
        <w:jc w:val="both"/>
      </w:pPr>
      <w:r>
        <w:rPr>
          <w:rFonts w:ascii="Arial" w:cs="Arial" w:eastAsia="Arial" w:hAnsi="Arial"/>
          <w:sz w:val="24"/>
          <w:szCs w:val="24"/>
        </w:rPr>
        <w:t xml:space="preserve">Например, если материал стен здания - кирпич, срок эксплуатации - 18 лет, то оценочная стоимость объекта имущества составляет 13000 сомов за 1 кв.м.</w:t>
      </w:r>
    </w:p>
    <w:p>
      <w:pPr>
        <w:spacing w:after="60"/>
        <w:ind w:firstLine="567"/>
        <w:jc w:val="both"/>
      </w:pPr>
      <w:r>
        <w:rPr>
          <w:rFonts w:ascii="Arial" w:cs="Arial" w:eastAsia="Arial" w:hAnsi="Arial"/>
          <w:sz w:val="24"/>
          <w:szCs w:val="24"/>
        </w:rPr>
        <w:t xml:space="preserve">16. В ячейках 311, 328, 345, 362, 379, 396, 413, 430, 447 графы 12 указывается региональный коэффициент Кр, учитывающий изменение налогооблагаемой стоимости объекта в зависимости от его местонахождения на территории Кыргызской Республики, согласно частям 7 и 11 </w:t>
      </w:r>
      <w:hyperlink w:history="1" r:id="rIdcb4hrmt_yyappu49opr-p">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 В случае, если региональный коэффициент не установлен, то его значение принимается равным 1.</w:t>
      </w:r>
    </w:p>
    <w:p>
      <w:pPr>
        <w:spacing w:after="60"/>
        <w:ind w:firstLine="567"/>
        <w:jc w:val="both"/>
      </w:pPr>
      <w:r>
        <w:rPr>
          <w:rFonts w:ascii="Arial" w:cs="Arial" w:eastAsia="Arial" w:hAnsi="Arial"/>
          <w:sz w:val="24"/>
          <w:szCs w:val="24"/>
        </w:rPr>
        <w:t xml:space="preserve">17. В ячейках 312, 329, 346, 363, 380, 397, 414, 431, 448 графы 13 указывается зональный коэффициент Кз, учитывающий изменение налогооблагаемой стоимости объекта в зависимости от его местонахождения в населенном пункте, согласно части 8 </w:t>
      </w:r>
      <w:hyperlink w:history="1" r:id="rIdqqgftnnjtvbjfj0v5yrsh">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 В случае, если зональный коэффициент не установлен, его значение принимается равным 1.</w:t>
      </w:r>
    </w:p>
    <w:p>
      <w:pPr>
        <w:spacing w:after="60"/>
        <w:ind w:firstLine="567"/>
        <w:jc w:val="both"/>
      </w:pPr>
      <w:r>
        <w:rPr>
          <w:rFonts w:ascii="Arial" w:cs="Arial" w:eastAsia="Arial" w:hAnsi="Arial"/>
          <w:sz w:val="24"/>
          <w:szCs w:val="24"/>
        </w:rPr>
        <w:t xml:space="preserve">18. В ячейках 313, 330, 347, 364, 381, 398, 415, 432, 449 графы 14 указывается отраслевой коэффициент Ко, применяемый для объектов имущества, согласно части 9 </w:t>
      </w:r>
      <w:hyperlink w:history="1" r:id="rIdioempigd0ryw7ss0ox5ez">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 В случае, если отраслевой коэффициент не установлен, его значение принимается равным 1.</w:t>
      </w:r>
    </w:p>
    <w:p>
      <w:pPr>
        <w:spacing w:after="60"/>
        <w:ind w:firstLine="567"/>
        <w:jc w:val="both"/>
      </w:pPr>
      <w:r>
        <w:rPr>
          <w:rFonts w:ascii="Arial" w:cs="Arial" w:eastAsia="Arial" w:hAnsi="Arial"/>
          <w:sz w:val="24"/>
          <w:szCs w:val="24"/>
        </w:rPr>
        <w:t xml:space="preserve">19. В ячейках 314, 331, 348, 365, 382, 399, 416, 433, 450 графы 15 указывается ставка налога в размере 0,35 процента от налогооблагаемой базы, установленная в пункте 1 </w:t>
      </w:r>
      <w:hyperlink w:history="1" r:id="rId3my1ekdjmbpxv_jzxtve3">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w:t>
      </w:r>
    </w:p>
    <w:p>
      <w:pPr>
        <w:spacing w:after="60"/>
        <w:ind w:firstLine="567"/>
        <w:jc w:val="both"/>
      </w:pPr>
      <w:r>
        <w:rPr>
          <w:rFonts w:ascii="Arial" w:cs="Arial" w:eastAsia="Arial" w:hAnsi="Arial"/>
          <w:sz w:val="24"/>
          <w:szCs w:val="24"/>
        </w:rPr>
        <w:t xml:space="preserve">20. В ячейках 315, 332, 349, 366, 383, 400, 417, 434, 451 графы 16 указывается сумма налога (сом) (графа 10 х графу 11 х графу 12 х графу 13 х графу 14 х графу 15), где значение ячеек 309, 326, 343, 360, 377, 394, 411, 428, 445 графы 10 умножается на значение ячеек 310, 327, 344, 361, 378, 395, 412, 429, 446 графы 11, умножается на значение ячеек 311, 328, 345, 362, 379, 396, 413, 430, 447 графы 12, умножается на значение ячеек 312, 329, 346, 363, 380, 397, 414, 431, 448 графы 13, умножается на значение ячеек 313, 330, 347, 364, 381, 398, 415, 432, 449 графы 14, умножается на значение ячеек 314, 331, 348, 365, 382, 399, 416, 433, 450 графы 15.</w:t>
      </w:r>
    </w:p>
    <w:p>
      <w:pPr>
        <w:spacing w:after="60"/>
        <w:ind w:firstLine="567"/>
        <w:jc w:val="both"/>
      </w:pPr>
      <w:r>
        <w:rPr>
          <w:rFonts w:ascii="Arial" w:cs="Arial" w:eastAsia="Arial" w:hAnsi="Arial"/>
          <w:sz w:val="24"/>
          <w:szCs w:val="24"/>
        </w:rPr>
        <w:t xml:space="preserve">21. В ячейках 316, 333, 350, 367, 384, 401, 418, 435, 452 графы 17 указывается сумма земельного налога, уплаченного или подлежащего уплате за земельный участок, расположенный непосредственно под объектом имущества, но не выше суммы налога на имущество, рассчитанного в отношении данного объекта имущества. В случае отсутствия регистрации прав на земельный участок, в указанных ячейках проставляется значение "0".</w:t>
      </w:r>
    </w:p>
    <w:p>
      <w:pPr>
        <w:spacing w:after="60"/>
        <w:ind w:firstLine="567"/>
        <w:jc w:val="both"/>
      </w:pPr>
      <w:r>
        <w:rPr>
          <w:rFonts w:ascii="Arial" w:cs="Arial" w:eastAsia="Arial" w:hAnsi="Arial"/>
          <w:sz w:val="24"/>
          <w:szCs w:val="24"/>
        </w:rPr>
        <w:t xml:space="preserve">22. Ячейки с 500 по 511 "Примечания" заполняются в случае предоставления уточненного расчета, связанного с перерасчетом налога, где проставляются суммы налога по месяцам, с учетом изменений налогового обязательства. При этом, в ячейке "001" ставится знак "X" напротив слова "уточненный".</w:t>
      </w:r>
    </w:p>
    <w:p>
      <w:pPr>
        <w:spacing w:after="60"/>
        <w:ind w:firstLine="567"/>
        <w:jc w:val="both"/>
      </w:pPr>
      <w:r>
        <w:rPr>
          <w:rFonts w:ascii="Arial" w:cs="Arial" w:eastAsia="Arial" w:hAnsi="Arial"/>
          <w:sz w:val="24"/>
          <w:szCs w:val="24"/>
        </w:rPr>
        <w:t xml:space="preserve">22</w:t>
      </w:r>
      <w:r>
        <w:rPr>
          <w:rFonts w:ascii="Arial" w:cs="Arial" w:eastAsia="Arial" w:hAnsi="Arial"/>
          <w:i/>
          <w:iCs/>
          <w:sz w:val="24"/>
          <w:szCs w:val="24"/>
        </w:rPr>
        <w:t xml:space="preserve">1</w:t>
      </w:r>
      <w:r>
        <w:rPr>
          <w:rFonts w:ascii="Arial" w:cs="Arial" w:eastAsia="Arial" w:hAnsi="Arial"/>
          <w:sz w:val="24"/>
          <w:szCs w:val="24"/>
        </w:rPr>
        <w:t xml:space="preserve">. В ячейках 453 и 454 указываются итоговые суммы.</w:t>
      </w:r>
    </w:p>
    <w:p>
      <w:pPr>
        <w:spacing w:after="60"/>
        <w:ind w:firstLine="567"/>
        <w:jc w:val="both"/>
      </w:pPr>
      <w:r>
        <w:rPr>
          <w:rFonts w:ascii="Arial" w:cs="Arial" w:eastAsia="Arial" w:hAnsi="Arial"/>
          <w:sz w:val="24"/>
          <w:szCs w:val="24"/>
        </w:rPr>
        <w:t xml:space="preserve">22</w:t>
      </w:r>
      <w:r>
        <w:rPr>
          <w:rFonts w:ascii="Arial" w:cs="Arial" w:eastAsia="Arial" w:hAnsi="Arial"/>
          <w:sz w:val="24"/>
          <w:szCs w:val="24"/>
        </w:rPr>
        <w:t xml:space="preserve">2</w:t>
      </w:r>
      <w:r>
        <w:rPr>
          <w:rFonts w:ascii="Arial" w:cs="Arial" w:eastAsia="Arial" w:hAnsi="Arial"/>
          <w:sz w:val="24"/>
          <w:szCs w:val="24"/>
        </w:rPr>
        <w:t xml:space="preserve">. В ячейке 455 указывается сумма льготы согласно частям 2 и 4 </w:t>
      </w:r>
      <w:hyperlink w:history="1" r:id="rIdurmo4nvkvvichanelc4ge">
        <w:r>
          <w:rPr>
            <w:rFonts w:ascii="Arial" w:cs="Arial" w:eastAsia="Arial" w:hAnsi="Arial"/>
            <w:color w:val="1D4ED8"/>
            <w:sz w:val="24"/>
            <w:szCs w:val="24"/>
            <w:u w:val="single"/>
          </w:rPr>
          <w:t xml:space="preserve">статьи 330</w:t>
        </w:r>
      </w:hyperlink>
      <w:r>
        <w:rPr>
          <w:rFonts w:ascii="Arial" w:cs="Arial" w:eastAsia="Arial" w:hAnsi="Arial"/>
          <w:sz w:val="24"/>
          <w:szCs w:val="24"/>
        </w:rPr>
        <w:t xml:space="preserve"> Налогового кодекса. Например, вследствие стихийного бедствия решением местного кенеша предоставляется освобождение от уплаты налога на имущество по объекту имущества. В случае отсутствия льготы проставляется значение "0".</w:t>
      </w:r>
    </w:p>
    <w:p>
      <w:pPr>
        <w:spacing w:after="60"/>
        <w:ind w:firstLine="567"/>
        <w:jc w:val="both"/>
      </w:pPr>
      <w:r>
        <w:rPr>
          <w:rFonts w:ascii="Arial" w:cs="Arial" w:eastAsia="Arial" w:hAnsi="Arial"/>
          <w:sz w:val="24"/>
          <w:szCs w:val="24"/>
        </w:rPr>
        <w:t xml:space="preserve">22</w:t>
      </w:r>
      <w:r>
        <w:rPr>
          <w:rFonts w:ascii="Arial" w:cs="Arial" w:eastAsia="Arial" w:hAnsi="Arial"/>
          <w:sz w:val="24"/>
          <w:szCs w:val="24"/>
        </w:rPr>
        <w:t xml:space="preserve">3</w:t>
      </w:r>
      <w:r>
        <w:rPr>
          <w:rFonts w:ascii="Arial" w:cs="Arial" w:eastAsia="Arial" w:hAnsi="Arial"/>
          <w:sz w:val="24"/>
          <w:szCs w:val="24"/>
        </w:rPr>
        <w:t xml:space="preserve">. В ячейке 456 указывается разность значений ячеек 453, 454 и 455, которая является суммой налога, подлежащей к уплате.</w:t>
      </w:r>
    </w:p>
    <w:p>
      <w:pPr>
        <w:spacing w:after="60"/>
        <w:ind w:firstLine="567"/>
        <w:jc w:val="both"/>
      </w:pPr>
      <w:r>
        <w:rPr>
          <w:rFonts w:ascii="Arial" w:cs="Arial" w:eastAsia="Arial" w:hAnsi="Arial"/>
          <w:sz w:val="24"/>
          <w:szCs w:val="24"/>
        </w:rPr>
        <w:t xml:space="preserve">Пример 1.</w:t>
      </w:r>
    </w:p>
    <w:p>
      <w:pPr>
        <w:spacing w:after="60"/>
        <w:ind w:firstLine="567"/>
        <w:jc w:val="both"/>
      </w:pPr>
      <w:r>
        <w:rPr>
          <w:rFonts w:ascii="Arial" w:cs="Arial" w:eastAsia="Arial" w:hAnsi="Arial"/>
          <w:sz w:val="24"/>
          <w:szCs w:val="24"/>
        </w:rPr>
        <w:t xml:space="preserve">Сумма налога с трехкомнатной квартиры общей площадью 150 кв.м, расположенной в центре города Бишкек, построенной из кирпича и введенной в эксплуатацию в 1995 году, исчисляется следующим образом.</w:t>
      </w:r>
    </w:p>
    <w:p>
      <w:pPr>
        <w:spacing w:after="60"/>
        <w:ind w:firstLine="567"/>
        <w:jc w:val="both"/>
      </w:pPr>
      <w:r>
        <w:rPr>
          <w:rFonts w:ascii="Arial" w:cs="Arial" w:eastAsia="Arial" w:hAnsi="Arial"/>
          <w:sz w:val="24"/>
          <w:szCs w:val="24"/>
        </w:rPr>
        <w:t xml:space="preserve">Региональный, зональный и отраслевой коэффициенты установлены в размерах 1, 1,2 и 1.</w:t>
      </w:r>
    </w:p>
    <w:p>
      <w:pPr>
        <w:spacing w:after="60"/>
        <w:ind w:firstLine="567"/>
        <w:jc w:val="both"/>
      </w:pPr>
      <w:r>
        <w:rPr>
          <w:rFonts w:ascii="Arial" w:cs="Arial" w:eastAsia="Arial" w:hAnsi="Arial"/>
          <w:sz w:val="24"/>
          <w:szCs w:val="24"/>
        </w:rPr>
        <w:t xml:space="preserve">Налогооблагаемая стоимость: 13000 х 70 х 1 х 1,2 х 1 = 1092000 сом.</w:t>
      </w:r>
    </w:p>
    <w:p>
      <w:pPr>
        <w:spacing w:after="60"/>
        <w:ind w:firstLine="567"/>
        <w:jc w:val="both"/>
      </w:pPr>
      <w:r>
        <w:rPr>
          <w:rFonts w:ascii="Arial" w:cs="Arial" w:eastAsia="Arial" w:hAnsi="Arial"/>
          <w:sz w:val="24"/>
          <w:szCs w:val="24"/>
        </w:rPr>
        <w:t xml:space="preserve">Сумма налога на имущество: 1092000 сом х 0,35% = 3822 сом.</w:t>
      </w:r>
    </w:p>
    <w:p>
      <w:pPr>
        <w:spacing w:after="60"/>
        <w:ind w:firstLine="567"/>
        <w:jc w:val="both"/>
      </w:pPr>
      <w:r>
        <w:rPr>
          <w:rFonts w:ascii="Arial" w:cs="Arial" w:eastAsia="Arial" w:hAnsi="Arial"/>
          <w:sz w:val="24"/>
          <w:szCs w:val="24"/>
        </w:rPr>
        <w:t xml:space="preserve">Сумма земельного налога на земельный участок, расположенный непосредственно под объектом: 0 сом.</w:t>
      </w:r>
    </w:p>
    <w:p>
      <w:pPr>
        <w:spacing w:after="120"/>
        <w:ind w:firstLine="567"/>
        <w:jc w:val="both"/>
      </w:pPr>
      <w:r>
        <w:rPr>
          <w:rFonts w:ascii="Arial" w:cs="Arial" w:eastAsia="Arial" w:hAnsi="Arial"/>
          <w:sz w:val="24"/>
          <w:szCs w:val="24"/>
        </w:rPr>
        <w:t xml:space="preserve">Сумма налога на имущество к уплате: 3822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8"/>
        <w:gridCol w:w="1732"/>
        <w:gridCol w:w="1683"/>
        <w:gridCol w:w="1536"/>
        <w:gridCol w:w="1258"/>
        <w:gridCol w:w="637"/>
        <w:gridCol w:w="604"/>
        <w:gridCol w:w="670"/>
      </w:tblGrid>
      <w:tr>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Информационный расчет</w:t>
            </w:r>
          </w:p>
        </w:tc>
        <w:tc>
          <w:tcPr>
            <w:tcW w:type="dxa" w:w="17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не облагаемая налогом (кв.м)</w:t>
            </w:r>
          </w:p>
        </w:tc>
        <w:tc>
          <w:tcPr>
            <w:tcW w:type="dxa" w:w="16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месяцев владения</w:t>
            </w:r>
          </w:p>
        </w:tc>
        <w:tc>
          <w:tcPr>
            <w:tcW w:type="dxa" w:w="15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Оценочная стоимость (сом)</w:t>
            </w:r>
          </w:p>
        </w:tc>
        <w:tc>
          <w:tcPr>
            <w:tcW w:type="dxa" w:w="12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(кв.м)</w:t>
            </w:r>
          </w:p>
        </w:tc>
        <w:tc>
          <w:tcPr>
            <w:tcW w:type="dxa" w:w="6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w:t>
            </w:r>
          </w:p>
        </w:tc>
        <w:tc>
          <w:tcPr>
            <w:tcW w:type="dxa" w:w="6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Кз</w:t>
            </w:r>
          </w:p>
        </w:tc>
        <w:tc>
          <w:tcPr>
            <w:tcW w:type="dxa" w:w="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Первоначальный</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1"/>
        <w:gridCol w:w="1628"/>
        <w:gridCol w:w="3811"/>
        <w:gridCol w:w="3078"/>
      </w:tblGrid>
      <w:tr>
        <w:tc>
          <w:tcPr>
            <w:tcW w:type="dxa" w:w="16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w:t>
            </w:r>
          </w:p>
        </w:tc>
        <w:tc>
          <w:tcPr>
            <w:tcW w:type="dxa" w:w="16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налога</w:t>
            </w:r>
          </w:p>
        </w:tc>
        <w:tc>
          <w:tcPr>
            <w:tcW w:type="dxa" w:w="38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земельного налога участка под объектом</w:t>
            </w:r>
          </w:p>
        </w:tc>
        <w:tc>
          <w:tcPr>
            <w:tcW w:type="dxa" w:w="30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налога, подлежащая к уплате</w:t>
            </w:r>
          </w:p>
        </w:tc>
      </w:tr>
      <w:tr>
        <w:tc>
          <w:tcPr>
            <w:tcW w:type="dxa" w:w="16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3822</w:t>
            </w:r>
          </w:p>
        </w:tc>
        <w:tc>
          <w:tcPr>
            <w:tcW w:type="dxa" w:w="3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3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3822</w:t>
            </w:r>
          </w:p>
        </w:tc>
      </w:tr>
    </w:tbl>
    <w:p>
      <w:pPr>
        <w:spacing w:after="60" w:before="120"/>
        <w:ind w:firstLine="567"/>
        <w:jc w:val="both"/>
      </w:pPr>
      <w:r>
        <w:rPr>
          <w:rFonts w:ascii="Arial" w:cs="Arial" w:eastAsia="Arial" w:hAnsi="Arial"/>
          <w:sz w:val="24"/>
          <w:szCs w:val="24"/>
        </w:rPr>
        <w:t xml:space="preserve">В информационном расчете, представляемом налогоплательщиком:</w:t>
      </w:r>
    </w:p>
    <w:p>
      <w:pPr>
        <w:spacing w:after="60"/>
        <w:ind w:firstLine="567"/>
        <w:jc w:val="both"/>
      </w:pPr>
      <w:r>
        <w:rPr>
          <w:rFonts w:ascii="Arial" w:cs="Arial" w:eastAsia="Arial" w:hAnsi="Arial"/>
          <w:sz w:val="24"/>
          <w:szCs w:val="24"/>
        </w:rPr>
        <w:t xml:space="preserve">- в ячейке 001 ставится знак "X" напротив слова "первоначальный";</w:t>
      </w:r>
    </w:p>
    <w:p>
      <w:pPr>
        <w:spacing w:after="60"/>
        <w:ind w:firstLine="567"/>
        <w:jc w:val="both"/>
      </w:pPr>
      <w:r>
        <w:rPr>
          <w:rFonts w:ascii="Arial" w:cs="Arial" w:eastAsia="Arial" w:hAnsi="Arial"/>
          <w:sz w:val="24"/>
          <w:szCs w:val="24"/>
        </w:rPr>
        <w:t xml:space="preserve">- в графе "Общая площадь" указывается значение "150", площадь квартиры, всего;</w:t>
      </w:r>
    </w:p>
    <w:p>
      <w:pPr>
        <w:spacing w:after="60"/>
        <w:ind w:firstLine="567"/>
        <w:jc w:val="both"/>
      </w:pPr>
      <w:r>
        <w:rPr>
          <w:rFonts w:ascii="Arial" w:cs="Arial" w:eastAsia="Arial" w:hAnsi="Arial"/>
          <w:sz w:val="24"/>
          <w:szCs w:val="24"/>
        </w:rPr>
        <w:t xml:space="preserve">- в графе "Необлагаемая площадь согласно </w:t>
      </w:r>
      <w:hyperlink w:history="1" r:id="rId3l1gor-msv8gtpi5cg43d">
        <w:r>
          <w:rPr>
            <w:rFonts w:ascii="Arial" w:cs="Arial" w:eastAsia="Arial" w:hAnsi="Arial"/>
            <w:color w:val="1D4ED8"/>
            <w:sz w:val="24"/>
            <w:szCs w:val="24"/>
            <w:u w:val="single"/>
          </w:rPr>
          <w:t xml:space="preserve">статье 330</w:t>
        </w:r>
      </w:hyperlink>
      <w:r>
        <w:rPr>
          <w:rFonts w:ascii="Arial" w:cs="Arial" w:eastAsia="Arial" w:hAnsi="Arial"/>
          <w:sz w:val="24"/>
          <w:szCs w:val="24"/>
        </w:rPr>
        <w:t xml:space="preserve"> Налогового кодекса (НК КР)" указывается значение "80", так как квартира находится в населенном пункте с численностью населения 500 тыс. человек и выше;</w:t>
      </w:r>
    </w:p>
    <w:p>
      <w:pPr>
        <w:spacing w:after="60"/>
        <w:ind w:firstLine="567"/>
        <w:jc w:val="both"/>
      </w:pPr>
      <w:r>
        <w:rPr>
          <w:rFonts w:ascii="Arial" w:cs="Arial" w:eastAsia="Arial" w:hAnsi="Arial"/>
          <w:sz w:val="24"/>
          <w:szCs w:val="24"/>
        </w:rPr>
        <w:t xml:space="preserve">- в графе "Облагаемая площадь" указывается значение "70", т.е. разница (150 - 80);</w:t>
      </w:r>
    </w:p>
    <w:p>
      <w:pPr>
        <w:spacing w:after="60"/>
        <w:ind w:firstLine="567"/>
        <w:jc w:val="both"/>
      </w:pPr>
      <w:r>
        <w:rPr>
          <w:rFonts w:ascii="Arial" w:cs="Arial" w:eastAsia="Arial" w:hAnsi="Arial"/>
          <w:sz w:val="24"/>
          <w:szCs w:val="24"/>
        </w:rPr>
        <w:t xml:space="preserve">- в графе "Оценочная стоимость (кв.м)" указывается значение "13000" применительно к объекту имущества со сроком эксплуатации от 15 до 30 лет (год ввода в эксплуатацию - 1995 год);</w:t>
      </w:r>
    </w:p>
    <w:p>
      <w:pPr>
        <w:spacing w:after="60"/>
        <w:ind w:firstLine="567"/>
        <w:jc w:val="both"/>
      </w:pPr>
      <w:r>
        <w:rPr>
          <w:rFonts w:ascii="Arial" w:cs="Arial" w:eastAsia="Arial" w:hAnsi="Arial"/>
          <w:sz w:val="24"/>
          <w:szCs w:val="24"/>
        </w:rPr>
        <w:t xml:space="preserve">- в графах "Кр", "Кз" и "Ко" указываются значения коэффициентов (региональный, зональный и отраслевой);</w:t>
      </w:r>
    </w:p>
    <w:p>
      <w:pPr>
        <w:spacing w:after="60"/>
        <w:ind w:firstLine="567"/>
        <w:jc w:val="both"/>
      </w:pPr>
      <w:r>
        <w:rPr>
          <w:rFonts w:ascii="Arial" w:cs="Arial" w:eastAsia="Arial" w:hAnsi="Arial"/>
          <w:sz w:val="24"/>
          <w:szCs w:val="24"/>
        </w:rPr>
        <w:t xml:space="preserve">- в графе "Ставка налога" указывается значение "0,35";</w:t>
      </w:r>
    </w:p>
    <w:p>
      <w:pPr>
        <w:spacing w:after="60"/>
        <w:ind w:firstLine="567"/>
        <w:jc w:val="both"/>
      </w:pPr>
      <w:r>
        <w:rPr>
          <w:rFonts w:ascii="Arial" w:cs="Arial" w:eastAsia="Arial" w:hAnsi="Arial"/>
          <w:sz w:val="24"/>
          <w:szCs w:val="24"/>
        </w:rPr>
        <w:t xml:space="preserve">- в графе "Сумма налога" указывается результат умножения "налогооблагаемой стоимости" на "ставку налога", т.е. на 0,35%;</w:t>
      </w:r>
    </w:p>
    <w:p>
      <w:pPr>
        <w:spacing w:after="60"/>
        <w:ind w:firstLine="567"/>
        <w:jc w:val="both"/>
      </w:pPr>
      <w:r>
        <w:rPr>
          <w:rFonts w:ascii="Arial" w:cs="Arial" w:eastAsia="Arial" w:hAnsi="Arial"/>
          <w:sz w:val="24"/>
          <w:szCs w:val="24"/>
        </w:rPr>
        <w:t xml:space="preserve">- в графе "Сумма земельного налога участка, расположенного под объектом имущества" указывается значение "0", поскольку отсутствует регистрация прав на земельный участок.</w:t>
      </w:r>
    </w:p>
    <w:p>
      <w:pPr>
        <w:spacing w:after="60"/>
        <w:ind w:firstLine="567"/>
        <w:jc w:val="both"/>
      </w:pPr>
      <w:r>
        <w:rPr>
          <w:rFonts w:ascii="Arial" w:cs="Arial" w:eastAsia="Arial" w:hAnsi="Arial"/>
          <w:sz w:val="24"/>
          <w:szCs w:val="24"/>
        </w:rPr>
        <w:t xml:space="preserve">22</w:t>
      </w:r>
      <w:r>
        <w:rPr>
          <w:rFonts w:ascii="Arial" w:cs="Arial" w:eastAsia="Arial" w:hAnsi="Arial"/>
          <w:sz w:val="24"/>
          <w:szCs w:val="24"/>
        </w:rPr>
        <w:t xml:space="preserve">4</w:t>
      </w:r>
      <w:r>
        <w:rPr>
          <w:rFonts w:ascii="Arial" w:cs="Arial" w:eastAsia="Arial" w:hAnsi="Arial"/>
          <w:sz w:val="24"/>
          <w:szCs w:val="24"/>
        </w:rPr>
        <w:t xml:space="preserve">. В случае владения объектом имущества сроком менее календарного года, сумма налога, подлежащая уплате за фактический период владения объектом имущества, рассчитывается согласно части 3 </w:t>
      </w:r>
      <w:hyperlink w:history="1" r:id="rIdxappgkybv5npjxpgzkt9d">
        <w:r>
          <w:rPr>
            <w:rFonts w:ascii="Arial" w:cs="Arial" w:eastAsia="Arial" w:hAnsi="Arial"/>
            <w:color w:val="1D4ED8"/>
            <w:sz w:val="24"/>
            <w:szCs w:val="24"/>
            <w:u w:val="single"/>
          </w:rPr>
          <w:t xml:space="preserve">статьи 332</w:t>
        </w:r>
      </w:hyperlink>
      <w:r>
        <w:rPr>
          <w:rFonts w:ascii="Arial" w:cs="Arial" w:eastAsia="Arial" w:hAnsi="Arial"/>
          <w:sz w:val="24"/>
          <w:szCs w:val="24"/>
        </w:rPr>
        <w:t xml:space="preserve"> Налогового кодекса, т.е. годовая сумма налога делится на 12 месяцев, после чего полученное значение умножается на фактическое количество месяцев владения.</w:t>
      </w:r>
    </w:p>
    <w:p>
      <w:pPr>
        <w:spacing w:after="60"/>
        <w:ind w:firstLine="567"/>
        <w:jc w:val="both"/>
      </w:pPr>
      <w:r>
        <w:rPr>
          <w:rFonts w:ascii="Arial" w:cs="Arial" w:eastAsia="Arial" w:hAnsi="Arial"/>
          <w:sz w:val="24"/>
          <w:szCs w:val="24"/>
        </w:rPr>
        <w:t xml:space="preserve">Пример 2.</w:t>
      </w:r>
    </w:p>
    <w:p>
      <w:pPr>
        <w:spacing w:after="60"/>
        <w:ind w:firstLine="567"/>
        <w:jc w:val="both"/>
      </w:pPr>
      <w:r>
        <w:rPr>
          <w:rFonts w:ascii="Arial" w:cs="Arial" w:eastAsia="Arial" w:hAnsi="Arial"/>
          <w:sz w:val="24"/>
          <w:szCs w:val="24"/>
        </w:rPr>
        <w:t xml:space="preserve">Сумма налога с трехкомнатной квартиры общей площадью 150 кв.м, находящейся в центре города Бишкек, построенной из кирпича, введенной в эксплуатацию в 1995 году и находящейся в собственности до 10 июня 2014 года, определяется следующим образом.</w:t>
      </w:r>
    </w:p>
    <w:p>
      <w:pPr>
        <w:spacing w:after="60"/>
        <w:ind w:firstLine="567"/>
        <w:jc w:val="both"/>
      </w:pPr>
      <w:r>
        <w:rPr>
          <w:rFonts w:ascii="Arial" w:cs="Arial" w:eastAsia="Arial" w:hAnsi="Arial"/>
          <w:sz w:val="24"/>
          <w:szCs w:val="24"/>
        </w:rPr>
        <w:t xml:space="preserve">Налог на имущество за период отчуждения имущества = Годовая сумма налога на имущество / 12 месяцев х 5 месяцев, где сумма налога составит 1592,5 сом.</w:t>
      </w:r>
    </w:p>
    <w:p>
      <w:pPr>
        <w:spacing w:after="60"/>
        <w:ind w:firstLine="567"/>
        <w:jc w:val="both"/>
      </w:pPr>
      <w:r>
        <w:rPr>
          <w:rFonts w:ascii="Arial" w:cs="Arial" w:eastAsia="Arial" w:hAnsi="Arial"/>
          <w:sz w:val="24"/>
          <w:szCs w:val="24"/>
        </w:rPr>
        <w:t xml:space="preserve">При этом, в информационном расчете, представляемом налогоплательщиком (продавец):</w:t>
      </w:r>
    </w:p>
    <w:p>
      <w:pPr>
        <w:spacing w:after="60"/>
        <w:ind w:firstLine="567"/>
        <w:jc w:val="both"/>
      </w:pPr>
      <w:r>
        <w:rPr>
          <w:rFonts w:ascii="Arial" w:cs="Arial" w:eastAsia="Arial" w:hAnsi="Arial"/>
          <w:sz w:val="24"/>
          <w:szCs w:val="24"/>
        </w:rPr>
        <w:t xml:space="preserve">- в ячейке 001 ставится знак "X" напротив слова "дополнительный";</w:t>
      </w:r>
    </w:p>
    <w:p>
      <w:pPr>
        <w:spacing w:after="60"/>
        <w:ind w:firstLine="567"/>
        <w:jc w:val="both"/>
      </w:pPr>
      <w:r>
        <w:rPr>
          <w:rFonts w:ascii="Arial" w:cs="Arial" w:eastAsia="Arial" w:hAnsi="Arial"/>
          <w:sz w:val="24"/>
          <w:szCs w:val="24"/>
        </w:rPr>
        <w:t xml:space="preserve">- в ячейке 900 указывается дата продажи имущества - 10.06.2014;</w:t>
      </w:r>
    </w:p>
    <w:p>
      <w:pPr>
        <w:spacing w:after="60"/>
        <w:ind w:firstLine="567"/>
        <w:jc w:val="both"/>
      </w:pPr>
      <w:r>
        <w:rPr>
          <w:rFonts w:ascii="Arial" w:cs="Arial" w:eastAsia="Arial" w:hAnsi="Arial"/>
          <w:sz w:val="24"/>
          <w:szCs w:val="24"/>
        </w:rPr>
        <w:t xml:space="preserve">- в графе "Количество месяцев владения" указывается количество месяцев фактического владения объектом имущества, т.е. значение "5";</w:t>
      </w:r>
    </w:p>
    <w:p>
      <w:pPr>
        <w:spacing w:after="60"/>
        <w:ind w:firstLine="567"/>
        <w:jc w:val="both"/>
      </w:pPr>
      <w:r>
        <w:rPr>
          <w:rFonts w:ascii="Arial" w:cs="Arial" w:eastAsia="Arial" w:hAnsi="Arial"/>
          <w:sz w:val="24"/>
          <w:szCs w:val="24"/>
        </w:rPr>
        <w:t xml:space="preserve">- в графе "Общая площадь" указывается размер проданной площади, т.е. значение "150";</w:t>
      </w:r>
    </w:p>
    <w:p>
      <w:pPr>
        <w:spacing w:after="60"/>
        <w:ind w:firstLine="567"/>
        <w:jc w:val="both"/>
      </w:pPr>
      <w:r>
        <w:rPr>
          <w:rFonts w:ascii="Arial" w:cs="Arial" w:eastAsia="Arial" w:hAnsi="Arial"/>
          <w:sz w:val="24"/>
          <w:szCs w:val="24"/>
        </w:rPr>
        <w:t xml:space="preserve">- в графе "Сумма налога к уплате" указывается налоговое обязательство, т.е. значение "1592,5 сом".</w:t>
      </w:r>
    </w:p>
    <w:p>
      <w:pPr>
        <w:spacing w:after="60"/>
        <w:ind w:firstLine="567"/>
        <w:jc w:val="both"/>
      </w:pPr>
      <w:r>
        <w:rPr>
          <w:rFonts w:ascii="Arial" w:cs="Arial" w:eastAsia="Arial" w:hAnsi="Arial"/>
          <w:sz w:val="24"/>
          <w:szCs w:val="24"/>
        </w:rPr>
        <w:t xml:space="preserve">При этом, последующий налогоплательщик (покупатель) исчисляет сумму налога на имущество следующим образом.</w:t>
      </w:r>
    </w:p>
    <w:p>
      <w:pPr>
        <w:spacing w:after="60"/>
        <w:ind w:firstLine="567"/>
        <w:jc w:val="both"/>
      </w:pPr>
      <w:r>
        <w:rPr>
          <w:rFonts w:ascii="Arial" w:cs="Arial" w:eastAsia="Arial" w:hAnsi="Arial"/>
          <w:sz w:val="24"/>
          <w:szCs w:val="24"/>
        </w:rPr>
        <w:t xml:space="preserve">Налог на имущество за период фактического владения имущества = годовая сумма налога на имущество / 12 месяцев х 7 месяцев (3822 сом / 12 х 7 = 2229,50 сом).</w:t>
      </w:r>
    </w:p>
    <w:p>
      <w:pPr>
        <w:spacing w:after="60"/>
        <w:ind w:firstLine="567"/>
        <w:jc w:val="both"/>
      </w:pPr>
      <w:r>
        <w:rPr>
          <w:rFonts w:ascii="Arial" w:cs="Arial" w:eastAsia="Arial" w:hAnsi="Arial"/>
          <w:sz w:val="24"/>
          <w:szCs w:val="24"/>
        </w:rPr>
        <w:t xml:space="preserve">При этом, в информационном расчете, представляемом налогоплательщиком дополнительно:</w:t>
      </w:r>
    </w:p>
    <w:p>
      <w:pPr>
        <w:spacing w:after="60"/>
        <w:ind w:firstLine="567"/>
        <w:jc w:val="both"/>
      </w:pPr>
      <w:r>
        <w:rPr>
          <w:rFonts w:ascii="Arial" w:cs="Arial" w:eastAsia="Arial" w:hAnsi="Arial"/>
          <w:sz w:val="24"/>
          <w:szCs w:val="24"/>
        </w:rPr>
        <w:t xml:space="preserve">- в ячейке 001 ставится знак "X" напротив слова "дополнительный" в случае, если последующий налогоплательщик ранее представлял первоначальный информационный расчет по другому объекту имущества;</w:t>
      </w:r>
    </w:p>
    <w:p>
      <w:pPr>
        <w:spacing w:after="60"/>
        <w:ind w:firstLine="567"/>
        <w:jc w:val="both"/>
      </w:pPr>
      <w:r>
        <w:rPr>
          <w:rFonts w:ascii="Arial" w:cs="Arial" w:eastAsia="Arial" w:hAnsi="Arial"/>
          <w:sz w:val="24"/>
          <w:szCs w:val="24"/>
        </w:rPr>
        <w:t xml:space="preserve">- в ячейке 900 указывается дата приобретения имущества - 10.06.2014;</w:t>
      </w:r>
    </w:p>
    <w:p>
      <w:pPr>
        <w:spacing w:after="60"/>
        <w:ind w:firstLine="567"/>
        <w:jc w:val="both"/>
      </w:pPr>
      <w:r>
        <w:rPr>
          <w:rFonts w:ascii="Arial" w:cs="Arial" w:eastAsia="Arial" w:hAnsi="Arial"/>
          <w:sz w:val="24"/>
          <w:szCs w:val="24"/>
        </w:rPr>
        <w:t xml:space="preserve">- в графе "Количество месяцев владения" указывается количество месяцев фактического владения объектом имущества, т.е. значение "7";</w:t>
      </w:r>
    </w:p>
    <w:p>
      <w:pPr>
        <w:spacing w:after="60"/>
        <w:ind w:firstLine="567"/>
        <w:jc w:val="both"/>
      </w:pPr>
      <w:r>
        <w:rPr>
          <w:rFonts w:ascii="Arial" w:cs="Arial" w:eastAsia="Arial" w:hAnsi="Arial"/>
          <w:sz w:val="24"/>
          <w:szCs w:val="24"/>
        </w:rPr>
        <w:t xml:space="preserve">- в графе "Общая площадь" указывается размер приобретенной площади, т.е. значение "150";</w:t>
      </w:r>
    </w:p>
    <w:p>
      <w:pPr>
        <w:spacing w:after="60"/>
        <w:ind w:firstLine="567"/>
        <w:jc w:val="both"/>
      </w:pPr>
      <w:r>
        <w:rPr>
          <w:rFonts w:ascii="Arial" w:cs="Arial" w:eastAsia="Arial" w:hAnsi="Arial"/>
          <w:sz w:val="24"/>
          <w:szCs w:val="24"/>
        </w:rPr>
        <w:t xml:space="preserve">- в графе "Сумма налога к уплате" указывается положительное значение налогового обязательства, т.е. значение "2229,50 сом".</w:t>
      </w:r>
    </w:p>
    <w:p>
      <w:pPr>
        <w:spacing w:after="60"/>
        <w:ind w:firstLine="567"/>
        <w:jc w:val="both"/>
      </w:pPr>
      <w:r>
        <w:rPr>
          <w:rFonts w:ascii="Arial" w:cs="Arial" w:eastAsia="Arial" w:hAnsi="Arial"/>
          <w:sz w:val="24"/>
          <w:szCs w:val="24"/>
        </w:rPr>
        <w:t xml:space="preserve">22</w:t>
      </w:r>
      <w:r>
        <w:rPr>
          <w:rFonts w:ascii="Arial" w:cs="Arial" w:eastAsia="Arial" w:hAnsi="Arial"/>
          <w:sz w:val="24"/>
          <w:szCs w:val="24"/>
        </w:rPr>
        <w:t xml:space="preserve">5</w:t>
      </w:r>
      <w:r>
        <w:rPr>
          <w:rFonts w:ascii="Arial" w:cs="Arial" w:eastAsia="Arial" w:hAnsi="Arial"/>
          <w:sz w:val="24"/>
          <w:szCs w:val="24"/>
        </w:rPr>
        <w:t xml:space="preserve">. В случае предоставления информационного расчета, связанного с перерасчетом налога, заполняется "Примечание", где проставляется сумма налога по месяцам, с учетом изменений налогового обязательства.</w:t>
      </w:r>
    </w:p>
    <w:p>
      <w:pPr>
        <w:spacing w:after="60"/>
        <w:ind w:firstLine="567"/>
        <w:jc w:val="both"/>
      </w:pPr>
      <w:r>
        <w:rPr>
          <w:rFonts w:ascii="Arial" w:cs="Arial" w:eastAsia="Arial" w:hAnsi="Arial"/>
          <w:sz w:val="24"/>
          <w:szCs w:val="24"/>
        </w:rPr>
        <w:t xml:space="preserve">Пример 3.</w:t>
      </w:r>
    </w:p>
    <w:p>
      <w:pPr>
        <w:spacing w:after="60"/>
        <w:ind w:firstLine="567"/>
        <w:jc w:val="both"/>
      </w:pPr>
      <w:r>
        <w:rPr>
          <w:rFonts w:ascii="Arial" w:cs="Arial" w:eastAsia="Arial" w:hAnsi="Arial"/>
          <w:sz w:val="24"/>
          <w:szCs w:val="24"/>
        </w:rPr>
        <w:t xml:space="preserve">Перерасчет суммы налога с трехкомнатной квартиры общей площадью 150 кв.м, находящейся на окраине города Бишкек, построенной из кирпича и введенной в эксплуатацию в 1995 году, производится следующим образом.</w:t>
      </w:r>
    </w:p>
    <w:p>
      <w:pPr>
        <w:spacing w:after="60"/>
        <w:ind w:firstLine="567"/>
        <w:jc w:val="both"/>
      </w:pPr>
      <w:r>
        <w:rPr>
          <w:rFonts w:ascii="Arial" w:cs="Arial" w:eastAsia="Arial" w:hAnsi="Arial"/>
          <w:sz w:val="24"/>
          <w:szCs w:val="24"/>
        </w:rPr>
        <w:t xml:space="preserve">Значение зонального коэффициента в размере 0,8 утверждено решением мэрии города Бишкек в мае 2014 года, вступившим в силу с 1 июня 2014 года.</w:t>
      </w:r>
    </w:p>
    <w:p>
      <w:pPr>
        <w:spacing w:after="60"/>
        <w:ind w:firstLine="567"/>
        <w:jc w:val="both"/>
      </w:pPr>
      <w:r>
        <w:rPr>
          <w:rFonts w:ascii="Arial" w:cs="Arial" w:eastAsia="Arial" w:hAnsi="Arial"/>
          <w:sz w:val="24"/>
          <w:szCs w:val="24"/>
        </w:rPr>
        <w:t xml:space="preserve">Налогооблагаемая стоимость с применением значения зонального коэффициента в размере 1:</w:t>
      </w:r>
    </w:p>
    <w:p>
      <w:pPr>
        <w:spacing w:after="60"/>
        <w:ind w:firstLine="567"/>
        <w:jc w:val="both"/>
      </w:pPr>
      <w:r>
        <w:rPr>
          <w:rFonts w:ascii="Arial" w:cs="Arial" w:eastAsia="Arial" w:hAnsi="Arial"/>
          <w:sz w:val="24"/>
          <w:szCs w:val="24"/>
        </w:rPr>
        <w:t xml:space="preserve">13000 х 70 х 1 х 1 х 1 = 910000 сом.</w:t>
      </w:r>
    </w:p>
    <w:p>
      <w:pPr>
        <w:spacing w:after="60"/>
        <w:ind w:firstLine="567"/>
        <w:jc w:val="both"/>
      </w:pPr>
      <w:r>
        <w:rPr>
          <w:rFonts w:ascii="Arial" w:cs="Arial" w:eastAsia="Arial" w:hAnsi="Arial"/>
          <w:sz w:val="24"/>
          <w:szCs w:val="24"/>
        </w:rPr>
        <w:t xml:space="preserve">Годовая сумма налога на имущество с применением значения зонального коэффициента в размере 1:</w:t>
      </w:r>
    </w:p>
    <w:p>
      <w:pPr>
        <w:spacing w:after="120"/>
        <w:ind w:firstLine="567"/>
        <w:jc w:val="both"/>
      </w:pPr>
      <w:r>
        <w:rPr>
          <w:rFonts w:ascii="Arial" w:cs="Arial" w:eastAsia="Arial" w:hAnsi="Arial"/>
          <w:sz w:val="24"/>
          <w:szCs w:val="24"/>
        </w:rPr>
        <w:t xml:space="preserve">910000 сом х 0,35% = 3185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8"/>
        <w:gridCol w:w="1732"/>
        <w:gridCol w:w="1683"/>
        <w:gridCol w:w="1536"/>
        <w:gridCol w:w="1258"/>
        <w:gridCol w:w="637"/>
        <w:gridCol w:w="604"/>
        <w:gridCol w:w="670"/>
      </w:tblGrid>
      <w:tr>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Информационный расчет</w:t>
            </w:r>
          </w:p>
        </w:tc>
        <w:tc>
          <w:tcPr>
            <w:tcW w:type="dxa" w:w="17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не облагаемая налогом (кв.м)</w:t>
            </w:r>
          </w:p>
        </w:tc>
        <w:tc>
          <w:tcPr>
            <w:tcW w:type="dxa" w:w="16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месяцев владения</w:t>
            </w:r>
          </w:p>
        </w:tc>
        <w:tc>
          <w:tcPr>
            <w:tcW w:type="dxa" w:w="15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Оценочная стоимость (сом)</w:t>
            </w:r>
          </w:p>
        </w:tc>
        <w:tc>
          <w:tcPr>
            <w:tcW w:type="dxa" w:w="12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(кв.м)</w:t>
            </w:r>
          </w:p>
        </w:tc>
        <w:tc>
          <w:tcPr>
            <w:tcW w:type="dxa" w:w="6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w:t>
            </w:r>
          </w:p>
        </w:tc>
        <w:tc>
          <w:tcPr>
            <w:tcW w:type="dxa" w:w="6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Кз</w:t>
            </w:r>
          </w:p>
        </w:tc>
        <w:tc>
          <w:tcPr>
            <w:tcW w:type="dxa" w:w="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Первоначальный</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1"/>
        <w:gridCol w:w="1628"/>
        <w:gridCol w:w="3811"/>
        <w:gridCol w:w="3078"/>
      </w:tblGrid>
      <w:tr>
        <w:tc>
          <w:tcPr>
            <w:tcW w:type="dxa" w:w="16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w:t>
            </w:r>
          </w:p>
        </w:tc>
        <w:tc>
          <w:tcPr>
            <w:tcW w:type="dxa" w:w="16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налога</w:t>
            </w:r>
          </w:p>
        </w:tc>
        <w:tc>
          <w:tcPr>
            <w:tcW w:type="dxa" w:w="38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земельного налога участка под объектом</w:t>
            </w:r>
          </w:p>
        </w:tc>
        <w:tc>
          <w:tcPr>
            <w:tcW w:type="dxa" w:w="30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налога, подлежащая к уплате</w:t>
            </w:r>
          </w:p>
        </w:tc>
      </w:tr>
      <w:tr>
        <w:tc>
          <w:tcPr>
            <w:tcW w:type="dxa" w:w="16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3185</w:t>
            </w:r>
          </w:p>
        </w:tc>
        <w:tc>
          <w:tcPr>
            <w:tcW w:type="dxa" w:w="3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3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3185</w:t>
            </w:r>
          </w:p>
        </w:tc>
      </w:tr>
    </w:tbl>
    <w:p>
      <w:pPr>
        <w:spacing w:after="60" w:before="120"/>
        <w:ind w:firstLine="567"/>
        <w:jc w:val="both"/>
      </w:pPr>
      <w:r>
        <w:rPr>
          <w:rFonts w:ascii="Arial" w:cs="Arial" w:eastAsia="Arial" w:hAnsi="Arial"/>
          <w:sz w:val="24"/>
          <w:szCs w:val="24"/>
        </w:rPr>
        <w:t xml:space="preserve">Налогооблагаемая стоимость с применением значения зонального коэффициента в размере 0,8:</w:t>
      </w:r>
    </w:p>
    <w:p>
      <w:pPr>
        <w:spacing w:after="60"/>
        <w:ind w:firstLine="567"/>
        <w:jc w:val="both"/>
      </w:pPr>
      <w:r>
        <w:rPr>
          <w:rFonts w:ascii="Arial" w:cs="Arial" w:eastAsia="Arial" w:hAnsi="Arial"/>
          <w:sz w:val="24"/>
          <w:szCs w:val="24"/>
        </w:rPr>
        <w:t xml:space="preserve">13000 х 70 х 1 х 0,8 х 1 = 728000 сом.</w:t>
      </w:r>
    </w:p>
    <w:p>
      <w:pPr>
        <w:spacing w:after="60"/>
        <w:ind w:firstLine="567"/>
        <w:jc w:val="both"/>
      </w:pPr>
      <w:r>
        <w:rPr>
          <w:rFonts w:ascii="Arial" w:cs="Arial" w:eastAsia="Arial" w:hAnsi="Arial"/>
          <w:sz w:val="24"/>
          <w:szCs w:val="24"/>
        </w:rPr>
        <w:t xml:space="preserve">Годовая сумма налога на имущество с применением значения зонального коэффициента в размере 0,8:</w:t>
      </w:r>
    </w:p>
    <w:p>
      <w:pPr>
        <w:spacing w:after="60"/>
        <w:ind w:firstLine="567"/>
        <w:jc w:val="both"/>
      </w:pPr>
      <w:r>
        <w:rPr>
          <w:rFonts w:ascii="Arial" w:cs="Arial" w:eastAsia="Arial" w:hAnsi="Arial"/>
          <w:sz w:val="24"/>
          <w:szCs w:val="24"/>
        </w:rPr>
        <w:t xml:space="preserve">728000 сом х 0,35% = 2548 сом.</w:t>
      </w:r>
    </w:p>
    <w:p>
      <w:pPr>
        <w:spacing w:after="60"/>
        <w:ind w:firstLine="567"/>
        <w:jc w:val="both"/>
      </w:pPr>
      <w:r>
        <w:rPr>
          <w:rFonts w:ascii="Arial" w:cs="Arial" w:eastAsia="Arial" w:hAnsi="Arial"/>
          <w:sz w:val="24"/>
          <w:szCs w:val="24"/>
        </w:rPr>
        <w:t xml:space="preserve">Сумма налога в месяц с применением значения зонального коэффициента, в размере 1:</w:t>
      </w:r>
    </w:p>
    <w:p>
      <w:pPr>
        <w:spacing w:after="60"/>
        <w:ind w:firstLine="567"/>
        <w:jc w:val="both"/>
      </w:pPr>
      <w:r>
        <w:rPr>
          <w:rFonts w:ascii="Arial" w:cs="Arial" w:eastAsia="Arial" w:hAnsi="Arial"/>
          <w:sz w:val="24"/>
          <w:szCs w:val="24"/>
        </w:rPr>
        <w:t xml:space="preserve">3185 / 12 месяцев = 265,4 сом.</w:t>
      </w:r>
    </w:p>
    <w:p>
      <w:pPr>
        <w:spacing w:after="60"/>
        <w:ind w:firstLine="567"/>
        <w:jc w:val="both"/>
      </w:pPr>
      <w:r>
        <w:rPr>
          <w:rFonts w:ascii="Arial" w:cs="Arial" w:eastAsia="Arial" w:hAnsi="Arial"/>
          <w:sz w:val="24"/>
          <w:szCs w:val="24"/>
        </w:rPr>
        <w:t xml:space="preserve">Сумма налога в месяц с применением значения зонального коэффициента в размере 0,8:</w:t>
      </w:r>
    </w:p>
    <w:p>
      <w:pPr>
        <w:spacing w:after="60"/>
        <w:ind w:firstLine="567"/>
        <w:jc w:val="both"/>
      </w:pPr>
      <w:r>
        <w:rPr>
          <w:rFonts w:ascii="Arial" w:cs="Arial" w:eastAsia="Arial" w:hAnsi="Arial"/>
          <w:sz w:val="24"/>
          <w:szCs w:val="24"/>
        </w:rPr>
        <w:t xml:space="preserve">2548 / 12 месяцев = 212,3 сом.</w:t>
      </w:r>
    </w:p>
    <w:p>
      <w:pPr>
        <w:spacing w:after="60"/>
        <w:ind w:firstLine="567"/>
        <w:jc w:val="both"/>
      </w:pPr>
      <w:r>
        <w:rPr>
          <w:rFonts w:ascii="Arial" w:cs="Arial" w:eastAsia="Arial" w:hAnsi="Arial"/>
          <w:sz w:val="24"/>
          <w:szCs w:val="24"/>
        </w:rPr>
        <w:t xml:space="preserve">Сумма налога за период с января по май, с применением значения зонального коэффициента в размере 1:</w:t>
      </w:r>
    </w:p>
    <w:p>
      <w:pPr>
        <w:spacing w:after="60"/>
        <w:ind w:firstLine="567"/>
        <w:jc w:val="both"/>
      </w:pPr>
      <w:r>
        <w:rPr>
          <w:rFonts w:ascii="Arial" w:cs="Arial" w:eastAsia="Arial" w:hAnsi="Arial"/>
          <w:sz w:val="24"/>
          <w:szCs w:val="24"/>
        </w:rPr>
        <w:t xml:space="preserve">265,4 х 5 месяцев = 1327 сом.</w:t>
      </w:r>
    </w:p>
    <w:p>
      <w:pPr>
        <w:spacing w:after="60"/>
        <w:ind w:firstLine="567"/>
        <w:jc w:val="both"/>
      </w:pPr>
      <w:r>
        <w:rPr>
          <w:rFonts w:ascii="Arial" w:cs="Arial" w:eastAsia="Arial" w:hAnsi="Arial"/>
          <w:sz w:val="24"/>
          <w:szCs w:val="24"/>
        </w:rPr>
        <w:t xml:space="preserve">Сумма налога за период с июня по декабрь, с применением значения зонального коэффициента в размере 0,8:</w:t>
      </w:r>
    </w:p>
    <w:p>
      <w:pPr>
        <w:spacing w:after="60"/>
        <w:ind w:firstLine="567"/>
        <w:jc w:val="both"/>
      </w:pPr>
      <w:r>
        <w:rPr>
          <w:rFonts w:ascii="Arial" w:cs="Arial" w:eastAsia="Arial" w:hAnsi="Arial"/>
          <w:sz w:val="24"/>
          <w:szCs w:val="24"/>
        </w:rPr>
        <w:t xml:space="preserve">212,3 х 7 месяцев = 1486,1 сом.</w:t>
      </w:r>
    </w:p>
    <w:p>
      <w:pPr>
        <w:spacing w:after="60"/>
        <w:ind w:firstLine="567"/>
        <w:jc w:val="both"/>
      </w:pPr>
      <w:r>
        <w:rPr>
          <w:rFonts w:ascii="Arial" w:cs="Arial" w:eastAsia="Arial" w:hAnsi="Arial"/>
          <w:sz w:val="24"/>
          <w:szCs w:val="24"/>
        </w:rPr>
        <w:t xml:space="preserve">Уточненная годовая сумма налога на имущество, с учетом изменений зонального коэффициента:</w:t>
      </w:r>
    </w:p>
    <w:p>
      <w:pPr>
        <w:spacing w:after="60"/>
        <w:ind w:firstLine="567"/>
        <w:jc w:val="both"/>
      </w:pPr>
      <w:r>
        <w:rPr>
          <w:rFonts w:ascii="Arial" w:cs="Arial" w:eastAsia="Arial" w:hAnsi="Arial"/>
          <w:sz w:val="24"/>
          <w:szCs w:val="24"/>
        </w:rPr>
        <w:t xml:space="preserve">1327 + 1486,1 = 2813,1 сом.</w:t>
      </w:r>
    </w:p>
    <w:p>
      <w:pPr>
        <w:spacing w:after="60"/>
        <w:ind w:firstLine="567"/>
        <w:jc w:val="both"/>
      </w:pPr>
      <w:r>
        <w:rPr>
          <w:rFonts w:ascii="Arial" w:cs="Arial" w:eastAsia="Arial" w:hAnsi="Arial"/>
          <w:sz w:val="24"/>
          <w:szCs w:val="24"/>
        </w:rPr>
        <w:t xml:space="preserve">При этом, в информационном расчете, представляемом налогоплательщиком:</w:t>
      </w:r>
    </w:p>
    <w:p>
      <w:pPr>
        <w:spacing w:after="60"/>
        <w:ind w:firstLine="567"/>
        <w:jc w:val="both"/>
      </w:pPr>
      <w:r>
        <w:rPr>
          <w:rFonts w:ascii="Arial" w:cs="Arial" w:eastAsia="Arial" w:hAnsi="Arial"/>
          <w:sz w:val="24"/>
          <w:szCs w:val="24"/>
        </w:rPr>
        <w:t xml:space="preserve">- в ячейке 001 ставится знак "X" напротив слова "уточненный";</w:t>
      </w:r>
    </w:p>
    <w:p>
      <w:pPr>
        <w:spacing w:after="60"/>
        <w:ind w:firstLine="567"/>
        <w:jc w:val="both"/>
      </w:pPr>
      <w:r>
        <w:rPr>
          <w:rFonts w:ascii="Arial" w:cs="Arial" w:eastAsia="Arial" w:hAnsi="Arial"/>
          <w:sz w:val="24"/>
          <w:szCs w:val="24"/>
        </w:rPr>
        <w:t xml:space="preserve">- в графе "Коэффициент зональный (Кз)" указывается размер измененного коэффициента - 0,8;</w:t>
      </w:r>
    </w:p>
    <w:p>
      <w:pPr>
        <w:spacing w:after="60"/>
        <w:ind w:firstLine="567"/>
        <w:jc w:val="both"/>
      </w:pPr>
      <w:r>
        <w:rPr>
          <w:rFonts w:ascii="Arial" w:cs="Arial" w:eastAsia="Arial" w:hAnsi="Arial"/>
          <w:sz w:val="24"/>
          <w:szCs w:val="24"/>
        </w:rPr>
        <w:t xml:space="preserve">- в графе "Сумма налога к уплате" указывается уточненная сумма налога - 2813,1 сом.</w:t>
      </w:r>
    </w:p>
    <w:p>
      <w:pPr>
        <w:spacing w:after="120"/>
        <w:ind w:firstLine="567"/>
        <w:jc w:val="both"/>
      </w:pPr>
      <w:r>
        <w:rPr>
          <w:rFonts w:ascii="Arial" w:cs="Arial" w:eastAsia="Arial" w:hAnsi="Arial"/>
          <w:sz w:val="24"/>
          <w:szCs w:val="24"/>
        </w:rPr>
        <w:t xml:space="preserve">"Примечание" заполняется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01"/>
        <w:gridCol w:w="764"/>
        <w:gridCol w:w="878"/>
        <w:gridCol w:w="602"/>
        <w:gridCol w:w="764"/>
        <w:gridCol w:w="602"/>
        <w:gridCol w:w="602"/>
        <w:gridCol w:w="618"/>
        <w:gridCol w:w="797"/>
        <w:gridCol w:w="829"/>
        <w:gridCol w:w="829"/>
        <w:gridCol w:w="764"/>
        <w:gridCol w:w="829"/>
      </w:tblGrid>
      <w:tr>
        <w:tc>
          <w:tcPr>
            <w:tcW w:type="dxa" w:w="13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w:t>
            </w:r>
          </w:p>
        </w:tc>
        <w:tc>
          <w:tcPr>
            <w:tcW w:type="dxa" w:w="7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8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6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7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6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6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6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7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8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8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7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8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r>
      <w:tr>
        <w:tc>
          <w:tcPr>
            <w:tcW w:type="dxa" w:w="1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налога</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265,4</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265,4</w:t>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265,4</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265,4</w:t>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265,4</w:t>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212,3</w:t>
            </w:r>
          </w:p>
        </w:tc>
        <w:tc>
          <w:tcPr>
            <w:tcW w:type="dxa" w:w="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212,3</w:t>
            </w:r>
          </w:p>
        </w:tc>
        <w:tc>
          <w:tcPr>
            <w:tcW w:type="dxa" w:w="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212,3</w:t>
            </w:r>
          </w:p>
        </w:tc>
        <w:tc>
          <w:tcPr>
            <w:tcW w:type="dxa" w:w="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212,3</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212,3</w:t>
            </w:r>
          </w:p>
        </w:tc>
        <w:tc>
          <w:tcPr>
            <w:tcW w:type="dxa" w:w="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212,3</w:t>
            </w:r>
          </w:p>
        </w:tc>
      </w:tr>
    </w:tbl>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Информационный расчет по налогу на имущество по объектам имущества 2 группы (FORM STI-087)</w:t>
      </w:r>
    </w:p>
    <w:p>
      <w:pPr>
        <w:spacing w:after="120"/>
        <w:ind w:firstLine="567"/>
        <w:jc w:val="both"/>
      </w:pPr>
      <w:r>
        <w:rPr>
          <w:rFonts w:ascii="Arial" w:cs="Arial" w:eastAsia="Arial" w:hAnsi="Arial"/>
          <w:sz w:val="24"/>
          <w:szCs w:val="24"/>
        </w:rPr>
        <w:t xml:space="preserve">23. В ячейках 300, 316, 332, 348, 364, 380, 396, 412, 428 графы 1 указывается наименование имущества в соответствии с кодом имущества, отраженным в таблице 4.</w:t>
      </w:r>
    </w:p>
    <w:p>
      <w:pPr>
        <w:spacing w:after="120"/>
        <w:ind w:firstLine="567"/>
        <w:jc w:val="right"/>
      </w:pPr>
      <w:r>
        <w:rPr>
          <w:rFonts w:ascii="Arial" w:cs="Arial" w:eastAsia="Arial" w:hAnsi="Arial"/>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0"/>
        <w:gridCol w:w="6568"/>
      </w:tblGrid>
      <w:tr>
        <w:tc>
          <w:tcPr>
            <w:tcW w:type="dxa" w:w="36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имущества</w:t>
            </w:r>
          </w:p>
        </w:tc>
        <w:tc>
          <w:tcPr>
            <w:tcW w:type="dxa" w:w="65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имущества</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пансионаты</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отдыха</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санатории</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курорты</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008</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капитальные строения</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киоски</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013</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контейнеры</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014</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временное помещение</w:t>
            </w:r>
          </w:p>
        </w:tc>
      </w:tr>
    </w:tbl>
    <w:p>
      <w:pPr>
        <w:spacing w:after="120" w:before="120"/>
        <w:ind w:firstLine="567"/>
        <w:jc w:val="both"/>
      </w:pPr>
      <w:r>
        <w:rPr>
          <w:rFonts w:ascii="Arial" w:cs="Arial" w:eastAsia="Arial" w:hAnsi="Arial"/>
          <w:sz w:val="24"/>
          <w:szCs w:val="24"/>
        </w:rPr>
        <w:t xml:space="preserve">24. В ячейках 301, 317, 333, 349, 365, 381, 397, 413, 429 графы 2 указывается адрес местонахождения имущества, указанный в техническом паспорте, выданном органом государственной регистрации прав на недвижимое имущество. Например, гор. Бишкек, Первомайский район, улица Пушкина, 70.</w:t>
      </w:r>
    </w:p>
    <w:p>
      <w:pPr>
        <w:spacing w:after="120"/>
        <w:ind w:firstLine="567"/>
        <w:jc w:val="both"/>
      </w:pPr>
      <w:r>
        <w:rPr>
          <w:rFonts w:ascii="Arial" w:cs="Arial" w:eastAsia="Arial" w:hAnsi="Arial"/>
          <w:sz w:val="24"/>
          <w:szCs w:val="24"/>
        </w:rPr>
        <w:t xml:space="preserve">В случае отсутствия регистрации прав на имущество указывается фактический адрес место нахождения имущества.</w:t>
      </w:r>
    </w:p>
    <w:p>
      <w:pPr>
        <w:spacing w:after="120"/>
        <w:ind w:firstLine="567"/>
        <w:jc w:val="both"/>
      </w:pPr>
      <w:r>
        <w:rPr>
          <w:rFonts w:ascii="Arial" w:cs="Arial" w:eastAsia="Arial" w:hAnsi="Arial"/>
          <w:sz w:val="24"/>
          <w:szCs w:val="24"/>
        </w:rPr>
        <w:t xml:space="preserve">25. В ячейках 302, 318, 334, 350, 366, 382, 398, 414, 430 графы 3 указывается идентификационный код имущества, присвоенный органом государственной регистрации прав на недвижимое имущество. В случае отсутствия регистрации прав на имущество проставляется значение "0".</w:t>
      </w:r>
    </w:p>
    <w:p>
      <w:pPr>
        <w:spacing w:after="120"/>
        <w:ind w:firstLine="567"/>
        <w:jc w:val="both"/>
      </w:pPr>
      <w:r>
        <w:rPr>
          <w:rFonts w:ascii="Arial" w:cs="Arial" w:eastAsia="Arial" w:hAnsi="Arial"/>
          <w:sz w:val="24"/>
          <w:szCs w:val="24"/>
        </w:rPr>
        <w:t xml:space="preserve">26. В ячейках 303, 319, 335, 351, 367, 383, 399, 415, 431 графы 4 указывается код пользователя имущества согласно таблице 2.</w:t>
      </w:r>
    </w:p>
    <w:p>
      <w:pPr>
        <w:spacing w:after="120"/>
        <w:ind w:firstLine="567"/>
        <w:jc w:val="both"/>
      </w:pPr>
      <w:r>
        <w:rPr>
          <w:rFonts w:ascii="Arial" w:cs="Arial" w:eastAsia="Arial" w:hAnsi="Arial"/>
          <w:sz w:val="24"/>
          <w:szCs w:val="24"/>
        </w:rPr>
        <w:t xml:space="preserve">27. В ячейках 304, 320, 336, 352, 368, 384, 400, 416, 432 графы 5 указывается код назначения объектов имущества согласно таблице 5.</w:t>
      </w:r>
    </w:p>
    <w:p>
      <w:pPr>
        <w:spacing w:after="120"/>
        <w:ind w:firstLine="567"/>
        <w:jc w:val="right"/>
      </w:pPr>
      <w:r>
        <w:rPr>
          <w:rFonts w:ascii="Arial" w:cs="Arial" w:eastAsia="Arial" w:hAnsi="Arial"/>
          <w:sz w:val="24"/>
          <w:szCs w:val="24"/>
        </w:rPr>
        <w:t xml:space="preserve">Таблица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5"/>
        <w:gridCol w:w="8743"/>
      </w:tblGrid>
      <w:tr>
        <w:tc>
          <w:tcPr>
            <w:tcW w:type="dxa" w:w="14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назначения</w:t>
            </w:r>
          </w:p>
        </w:tc>
        <w:tc>
          <w:tcPr>
            <w:tcW w:type="dxa" w:w="87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Функциональное назначение объекта имущества</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Гостиницы, игорные заведения, ломбарды, обменные пункты</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Автозаправочные станции</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Мини-рынки, рынки, торгово-рыночные центры, комплексы</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общественного питания, торговли, сферы услуг</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Железнодорожные вокзалы и автовокзалы, автостанции, грузовые станции железнодорожного транспорта</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офисные здания, бизнес-центры, банки</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транспорта, предприятия автосервиса, связи и энергетики</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Оборонные, спортивно-технические организации</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производственные здания</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Санатории, пансионаты, дома отдыха</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промышленности, строительства</w:t>
            </w:r>
          </w:p>
        </w:tc>
      </w:tr>
    </w:tbl>
    <w:p>
      <w:pPr>
        <w:spacing w:after="120" w:before="120"/>
        <w:ind w:firstLine="567"/>
        <w:jc w:val="both"/>
      </w:pPr>
      <w:r>
        <w:rPr>
          <w:rFonts w:ascii="Arial" w:cs="Arial" w:eastAsia="Arial" w:hAnsi="Arial"/>
          <w:sz w:val="24"/>
          <w:szCs w:val="24"/>
        </w:rPr>
        <w:t xml:space="preserve">28. В ячейках 305, 321, 337, 353, 369, 385, 401, 417, 433 графы 6 указывается количество месяцев владения/пользования объектом имущества.</w:t>
      </w:r>
    </w:p>
    <w:p>
      <w:pPr>
        <w:spacing w:after="120"/>
        <w:ind w:firstLine="567"/>
        <w:jc w:val="both"/>
      </w:pPr>
      <w:r>
        <w:rPr>
          <w:rFonts w:ascii="Arial" w:cs="Arial" w:eastAsia="Arial" w:hAnsi="Arial"/>
          <w:sz w:val="24"/>
          <w:szCs w:val="24"/>
        </w:rPr>
        <w:t xml:space="preserve">29. В ячейках 306, 322, 338, 354, 370, 386, 402, 418, 434 графы 7 указывается код материала стен в соответствии с кодом материала, отраженным в таблице 3.</w:t>
      </w:r>
    </w:p>
    <w:p>
      <w:pPr>
        <w:spacing w:after="120"/>
        <w:ind w:firstLine="567"/>
        <w:jc w:val="both"/>
      </w:pPr>
      <w:r>
        <w:rPr>
          <w:rFonts w:ascii="Arial" w:cs="Arial" w:eastAsia="Arial" w:hAnsi="Arial"/>
          <w:sz w:val="24"/>
          <w:szCs w:val="24"/>
        </w:rPr>
        <w:t xml:space="preserve">30. В ячейках 307, 323, 339, 355, 371, 387, 403, 419, 435 графы 8 указывается год ввода в эксплуатацию объекта имущества. Например, 1970.</w:t>
      </w:r>
    </w:p>
    <w:p>
      <w:pPr>
        <w:spacing w:after="120"/>
        <w:ind w:firstLine="567"/>
        <w:jc w:val="both"/>
      </w:pPr>
      <w:r>
        <w:rPr>
          <w:rFonts w:ascii="Arial" w:cs="Arial" w:eastAsia="Arial" w:hAnsi="Arial"/>
          <w:sz w:val="24"/>
          <w:szCs w:val="24"/>
        </w:rPr>
        <w:t xml:space="preserve">31. В ячейках 308, 324, 340, 356, 372, 388, 404, 420, 436 графы 9 указывается оценочная стоимость объекта имущества (1 кв.м, сом.) в зависимости от срока эксплуатации, согласно части 2 </w:t>
      </w:r>
      <w:hyperlink w:history="1" r:id="rId9l9vclfc-83ghpdlgqfef">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 Например, если материал стен здания - монолитный бетон, срок эксплуатации - 37 лет, то оценочная стоимость объекта имущества составляет 11000 сомов за кв.м.</w:t>
      </w:r>
    </w:p>
    <w:p>
      <w:pPr>
        <w:spacing w:after="120"/>
        <w:ind w:firstLine="567"/>
        <w:jc w:val="both"/>
      </w:pPr>
      <w:r>
        <w:rPr>
          <w:rFonts w:ascii="Arial" w:cs="Arial" w:eastAsia="Arial" w:hAnsi="Arial"/>
          <w:sz w:val="24"/>
          <w:szCs w:val="24"/>
        </w:rPr>
        <w:t xml:space="preserve">32. В ячейках 309, 325, 341, 357, 373, 389, 405, 421, 437 графы 10 указывается общая площадь объекта имущества (кв.м.) по данным технического паспорта единицы недвижимого имущества налогоплательщика, выдаваемого государственным органом, осуществляющим регистрацию прав на недвижимое имущество.</w:t>
      </w:r>
    </w:p>
    <w:p>
      <w:pPr>
        <w:spacing w:after="120"/>
        <w:ind w:firstLine="567"/>
        <w:jc w:val="both"/>
      </w:pPr>
      <w:r>
        <w:rPr>
          <w:rFonts w:ascii="Arial" w:cs="Arial" w:eastAsia="Arial" w:hAnsi="Arial"/>
          <w:sz w:val="24"/>
          <w:szCs w:val="24"/>
        </w:rPr>
        <w:t xml:space="preserve">В случае отсутствия регистрации прав на имущество указывается общая площадь объекта имущества согласно акту, подготовленному комиссией в составе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w:t>
      </w:r>
    </w:p>
    <w:p>
      <w:pPr>
        <w:spacing w:after="120"/>
        <w:ind w:firstLine="567"/>
        <w:jc w:val="both"/>
      </w:pPr>
      <w:r>
        <w:rPr>
          <w:rFonts w:ascii="Arial" w:cs="Arial" w:eastAsia="Arial" w:hAnsi="Arial"/>
          <w:sz w:val="24"/>
          <w:szCs w:val="24"/>
        </w:rPr>
        <w:t xml:space="preserve">33. В ячейках 310, 326, 342, 358, 374, 390, 406, 422, 438 графы 11 указывается региональный коэффициент Кр, учитывающий изменение налогооблагаемой стоимости объекта в зависимости от его местонахождения на территории Кыргызской Республики, согласно части 7 </w:t>
      </w:r>
      <w:hyperlink w:history="1" r:id="rIdvpyi2tssokjco7kwmz0t4">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w:t>
      </w:r>
    </w:p>
    <w:p>
      <w:pPr>
        <w:spacing w:after="120"/>
        <w:ind w:firstLine="567"/>
        <w:jc w:val="both"/>
      </w:pPr>
      <w:r>
        <w:rPr>
          <w:rFonts w:ascii="Arial" w:cs="Arial" w:eastAsia="Arial" w:hAnsi="Arial"/>
          <w:sz w:val="24"/>
          <w:szCs w:val="24"/>
        </w:rPr>
        <w:t xml:space="preserve">34. В ячейках 311, 327, 343, 359, 375, 391, 407, 423, 439 графы 12 указывается зональный коэффициент Кз, учитывающий изменение налогооблагаемой стоимости объекта в зависимости от его местонахождения в населенном пункте, согласно части 8 </w:t>
      </w:r>
      <w:hyperlink w:history="1" r:id="rIdrd1xt4imxkd1jg3zcsj6m">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w:t>
      </w:r>
    </w:p>
    <w:p>
      <w:pPr>
        <w:spacing w:after="120"/>
        <w:ind w:firstLine="567"/>
        <w:jc w:val="both"/>
      </w:pPr>
      <w:r>
        <w:rPr>
          <w:rFonts w:ascii="Arial" w:cs="Arial" w:eastAsia="Arial" w:hAnsi="Arial"/>
          <w:sz w:val="24"/>
          <w:szCs w:val="24"/>
        </w:rPr>
        <w:t xml:space="preserve">35. В ячейках 312, 328, 344, 360, 376, 392, 408, 424, 440 графы 13 указывается отраслевой коэффициент Ко, применяемый для объектов имущества, согласно части 9 </w:t>
      </w:r>
      <w:hyperlink w:history="1" r:id="rIdyoskmetzelsyllle_gai5">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w:t>
      </w:r>
    </w:p>
    <w:p>
      <w:pPr>
        <w:spacing w:after="120"/>
        <w:ind w:firstLine="567"/>
        <w:jc w:val="both"/>
      </w:pPr>
      <w:r>
        <w:rPr>
          <w:rFonts w:ascii="Arial" w:cs="Arial" w:eastAsia="Arial" w:hAnsi="Arial"/>
          <w:sz w:val="24"/>
          <w:szCs w:val="24"/>
        </w:rPr>
        <w:t xml:space="preserve">36. В ячейках 313, 329, 345, 361, 377, 393, 409, 425, 441 графы 14 указывается ставка налога (%) согласно пункту 2 </w:t>
      </w:r>
      <w:hyperlink w:history="1" r:id="rIdzqjxbbyioxawussazoocl">
        <w:r>
          <w:rPr>
            <w:rFonts w:ascii="Arial" w:cs="Arial" w:eastAsia="Arial" w:hAnsi="Arial"/>
            <w:color w:val="1D4ED8"/>
            <w:sz w:val="24"/>
            <w:szCs w:val="24"/>
            <w:u w:val="single"/>
          </w:rPr>
          <w:t xml:space="preserve">статьи 32</w:t>
        </w:r>
        <w:r>
          <w:rPr>
            <w:rFonts w:ascii="Arial" w:cs="Arial" w:eastAsia="Arial" w:hAnsi="Arial"/>
            <w:color w:val="1D4ED8"/>
            <w:sz w:val="24"/>
            <w:szCs w:val="24"/>
            <w:u w:val="single"/>
          </w:rPr>
          <w:t xml:space="preserve">8</w:t>
        </w:r>
      </w:hyperlink>
      <w:r>
        <w:rPr>
          <w:rFonts w:ascii="Arial" w:cs="Arial" w:eastAsia="Arial" w:hAnsi="Arial"/>
          <w:sz w:val="24"/>
          <w:szCs w:val="24"/>
        </w:rPr>
        <w:t xml:space="preserve"> Налогового кодекса.</w:t>
      </w:r>
    </w:p>
    <w:p>
      <w:pPr>
        <w:spacing w:after="120"/>
        <w:ind w:firstLine="567"/>
        <w:jc w:val="both"/>
      </w:pPr>
      <w:r>
        <w:rPr>
          <w:rFonts w:ascii="Arial" w:cs="Arial" w:eastAsia="Arial" w:hAnsi="Arial"/>
          <w:sz w:val="24"/>
          <w:szCs w:val="24"/>
        </w:rPr>
        <w:t xml:space="preserve">37. В ячейках 314, 330, 346, 362, 378, 394, 410, 426, 442 графы 15 указывается сумма налога (сом.) (графа 9 х графу 10 х графу 11 х графу 12 х графу 13 х графу 14), где значение ячеек 308, 324, 340, 356, 372, 388, 404, 420, 436 графы 9 умножается на значение ячеек 309, 325, 341, 357, 373, 389, 405, 421, 437 графы 10, умножается на значение ячеек 310, 326, 342, 358, 374, 390, 406, 422, 438 графы 11, умножается на значение ячеек 311, 327, 343, 359, 375, 391, 407, 423, 439 графы 12, умножается на значение ячеек 312, 328, 344, 360, 376, 392, 408, 424, 440 графы 13, умножается на значение ячеек 313, 329, 345, 361, 377, 393, 409, 425, 441 графы 14.</w:t>
      </w:r>
    </w:p>
    <w:p>
      <w:pPr>
        <w:spacing w:after="120"/>
        <w:ind w:firstLine="567"/>
        <w:jc w:val="both"/>
      </w:pPr>
      <w:r>
        <w:rPr>
          <w:rFonts w:ascii="Arial" w:cs="Arial" w:eastAsia="Arial" w:hAnsi="Arial"/>
          <w:sz w:val="24"/>
          <w:szCs w:val="24"/>
        </w:rPr>
        <w:t xml:space="preserve">38. В ячейках 315, 331, 347, 363, 379, 395, 411, 427, 443 графы 16 указывается сумма земельного налога, уплаченного или подлежащего уплате за земельный участок, расположенный непосредственно под объектом имущества, но не выше суммы налога на имущество, рассчитанного в отношении данного объекта имущества (сомов), согласно части 6 статьи 330 Налогового кодекса.</w:t>
      </w:r>
    </w:p>
    <w:p>
      <w:pPr>
        <w:spacing w:after="120"/>
        <w:ind w:firstLine="567"/>
        <w:jc w:val="both"/>
      </w:pPr>
      <w:r>
        <w:rPr>
          <w:rFonts w:ascii="Arial" w:cs="Arial" w:eastAsia="Arial" w:hAnsi="Arial"/>
          <w:sz w:val="24"/>
          <w:szCs w:val="24"/>
        </w:rPr>
        <w:t xml:space="preserve">39. В ячейках 444 и 445 указываются итоговые суммы.</w:t>
      </w:r>
    </w:p>
    <w:p>
      <w:pPr>
        <w:spacing w:after="120"/>
        <w:ind w:firstLine="567"/>
        <w:jc w:val="both"/>
      </w:pPr>
      <w:r>
        <w:rPr>
          <w:rFonts w:ascii="Arial" w:cs="Arial" w:eastAsia="Arial" w:hAnsi="Arial"/>
          <w:sz w:val="24"/>
          <w:szCs w:val="24"/>
        </w:rPr>
        <w:t xml:space="preserve">40. В ячейке 446 указывается сумма льготы, предоставленная по решению местного кенеша согласно части 4 </w:t>
      </w:r>
      <w:hyperlink w:history="1" r:id="rIdaz2hmummfkaqbo468kpf9">
        <w:r>
          <w:rPr>
            <w:rFonts w:ascii="Arial" w:cs="Arial" w:eastAsia="Arial" w:hAnsi="Arial"/>
            <w:color w:val="1D4ED8"/>
            <w:sz w:val="24"/>
            <w:szCs w:val="24"/>
            <w:u w:val="single"/>
          </w:rPr>
          <w:t xml:space="preserve">статьи 330</w:t>
        </w:r>
      </w:hyperlink>
      <w:r>
        <w:rPr>
          <w:rFonts w:ascii="Arial" w:cs="Arial" w:eastAsia="Arial" w:hAnsi="Arial"/>
          <w:sz w:val="24"/>
          <w:szCs w:val="24"/>
        </w:rPr>
        <w:t xml:space="preserve"> Налогового кодекса. Например, вследствие стихийного бедствия решением местного кенеша предоставляется освобождение от уплаты налога на имущество по объекту имущества.</w:t>
      </w:r>
    </w:p>
    <w:p>
      <w:pPr>
        <w:spacing w:after="120"/>
        <w:ind w:firstLine="567"/>
        <w:jc w:val="both"/>
      </w:pPr>
      <w:r>
        <w:rPr>
          <w:rFonts w:ascii="Arial" w:cs="Arial" w:eastAsia="Arial" w:hAnsi="Arial"/>
          <w:sz w:val="24"/>
          <w:szCs w:val="24"/>
        </w:rPr>
        <w:t xml:space="preserve">В случае отсутствия льготы проставляется значение "0".</w:t>
      </w:r>
    </w:p>
    <w:p>
      <w:pPr>
        <w:spacing w:after="120"/>
        <w:ind w:firstLine="567"/>
        <w:jc w:val="both"/>
      </w:pPr>
      <w:r>
        <w:rPr>
          <w:rFonts w:ascii="Arial" w:cs="Arial" w:eastAsia="Arial" w:hAnsi="Arial"/>
          <w:sz w:val="24"/>
          <w:szCs w:val="24"/>
        </w:rPr>
        <w:t xml:space="preserve">41. В ячейке 447 указывается сумма налога к уплате (сом.), т.е. разность значений ячеек 444, 445 и 446.</w:t>
      </w:r>
    </w:p>
    <w:p>
      <w:pPr>
        <w:spacing w:after="120"/>
        <w:ind w:firstLine="567"/>
        <w:jc w:val="both"/>
      </w:pPr>
      <w:r>
        <w:rPr>
          <w:rFonts w:ascii="Arial" w:cs="Arial" w:eastAsia="Arial" w:hAnsi="Arial"/>
          <w:sz w:val="24"/>
          <w:szCs w:val="24"/>
        </w:rPr>
        <w:t xml:space="preserve">42. В случае владения объектом имущества менее календарного года согласно части 3 </w:t>
      </w:r>
      <w:hyperlink w:history="1" r:id="rId8hciv8ev3lsalpo8n6i3t">
        <w:r>
          <w:rPr>
            <w:rFonts w:ascii="Arial" w:cs="Arial" w:eastAsia="Arial" w:hAnsi="Arial"/>
            <w:color w:val="1D4ED8"/>
            <w:sz w:val="24"/>
            <w:szCs w:val="24"/>
            <w:u w:val="single"/>
          </w:rPr>
          <w:t xml:space="preserve">статьи 332</w:t>
        </w:r>
      </w:hyperlink>
      <w:r>
        <w:rPr>
          <w:rFonts w:ascii="Arial" w:cs="Arial" w:eastAsia="Arial" w:hAnsi="Arial"/>
          <w:sz w:val="24"/>
          <w:szCs w:val="24"/>
        </w:rPr>
        <w:t xml:space="preserve"> Налогового кодекса, рассчитывается сумма налога фактического владения объектом имущества, т.е. годовая сумма налога делится на 12 месяцев и затем полученное значение умножается на фактическое количество месяцев владения.</w:t>
      </w:r>
    </w:p>
    <w:p>
      <w:pPr>
        <w:spacing w:after="120"/>
        <w:ind w:firstLine="567"/>
        <w:jc w:val="both"/>
      </w:pPr>
      <w:r>
        <w:rPr>
          <w:rFonts w:ascii="Arial" w:cs="Arial" w:eastAsia="Arial" w:hAnsi="Arial"/>
          <w:sz w:val="24"/>
          <w:szCs w:val="24"/>
        </w:rPr>
        <w:t xml:space="preserve">Пример 1.</w:t>
      </w:r>
    </w:p>
    <w:p>
      <w:pPr>
        <w:spacing w:after="120"/>
        <w:ind w:firstLine="567"/>
        <w:jc w:val="both"/>
      </w:pPr>
      <w:r>
        <w:rPr>
          <w:rFonts w:ascii="Arial" w:cs="Arial" w:eastAsia="Arial" w:hAnsi="Arial"/>
          <w:sz w:val="24"/>
          <w:szCs w:val="24"/>
        </w:rPr>
        <w:t xml:space="preserve">Промышленное предприятие расположено в гор. Токмок, общей площадью 85308 кв.м. Материал стен предприятия - монолитный бетон, срок эксплуатации - 37 лет. 10 мая 2011 года предприятием приобретено дополнительное помещение для склада товаров, площадью 200 кв.м, материал стен - кирпич, срок эксплуатации - 1 год.</w:t>
      </w:r>
    </w:p>
    <w:p>
      <w:pPr>
        <w:spacing w:after="120"/>
        <w:ind w:firstLine="567"/>
        <w:jc w:val="both"/>
      </w:pPr>
      <w:r>
        <w:rPr>
          <w:rFonts w:ascii="Arial" w:cs="Arial" w:eastAsia="Arial" w:hAnsi="Arial"/>
          <w:sz w:val="24"/>
          <w:szCs w:val="24"/>
        </w:rPr>
        <w:t xml:space="preserve">Годовая сумма налога на имущество по объекту 2 группы исчисляется следующим образом:</w:t>
      </w:r>
    </w:p>
    <w:p>
      <w:pPr>
        <w:spacing w:after="120"/>
        <w:ind w:firstLine="567"/>
        <w:jc w:val="both"/>
      </w:pPr>
      <w:r>
        <w:rPr>
          <w:rFonts w:ascii="Arial" w:cs="Arial" w:eastAsia="Arial" w:hAnsi="Arial"/>
          <w:sz w:val="24"/>
          <w:szCs w:val="24"/>
        </w:rPr>
        <w:t xml:space="preserve">Налог на имущество = Налогооблагаемая стоимость х Ставку налога,</w:t>
      </w:r>
    </w:p>
    <w:p>
      <w:pPr>
        <w:spacing w:after="120"/>
        <w:ind w:firstLine="567"/>
        <w:jc w:val="both"/>
      </w:pPr>
      <w:r>
        <w:rPr>
          <w:rFonts w:ascii="Arial" w:cs="Arial" w:eastAsia="Arial" w:hAnsi="Arial"/>
          <w:sz w:val="24"/>
          <w:szCs w:val="24"/>
        </w:rPr>
        <w:t xml:space="preserve">Налогооблагаемая стоимость = С х Общая площадь х Кр х Кз х Ко,</w:t>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 - налогооблагаемая стоимость 1 кв.м площади объекта;</w:t>
      </w:r>
    </w:p>
    <w:p>
      <w:pPr>
        <w:spacing w:after="120"/>
        <w:ind w:firstLine="567"/>
        <w:jc w:val="both"/>
      </w:pPr>
      <w:r>
        <w:rPr>
          <w:rFonts w:ascii="Arial" w:cs="Arial" w:eastAsia="Arial" w:hAnsi="Arial"/>
          <w:sz w:val="24"/>
          <w:szCs w:val="24"/>
        </w:rPr>
        <w:t xml:space="preserve">Кр - коэффициент региональный;</w:t>
      </w:r>
    </w:p>
    <w:p>
      <w:pPr>
        <w:spacing w:after="120"/>
        <w:ind w:firstLine="567"/>
        <w:jc w:val="both"/>
      </w:pPr>
      <w:r>
        <w:rPr>
          <w:rFonts w:ascii="Arial" w:cs="Arial" w:eastAsia="Arial" w:hAnsi="Arial"/>
          <w:sz w:val="24"/>
          <w:szCs w:val="24"/>
        </w:rPr>
        <w:t xml:space="preserve">Кз - коэффициент зональный;</w:t>
      </w:r>
    </w:p>
    <w:p>
      <w:pPr>
        <w:spacing w:after="120"/>
        <w:ind w:firstLine="567"/>
        <w:jc w:val="both"/>
      </w:pPr>
      <w:r>
        <w:rPr>
          <w:rFonts w:ascii="Arial" w:cs="Arial" w:eastAsia="Arial" w:hAnsi="Arial"/>
          <w:sz w:val="24"/>
          <w:szCs w:val="24"/>
        </w:rPr>
        <w:t xml:space="preserve">Ко - коэффициент отраслевой;</w:t>
      </w:r>
    </w:p>
    <w:p>
      <w:pPr>
        <w:spacing w:after="120"/>
        <w:ind w:firstLine="567"/>
        <w:jc w:val="both"/>
      </w:pPr>
      <w:r>
        <w:rPr>
          <w:rFonts w:ascii="Arial" w:cs="Arial" w:eastAsia="Arial" w:hAnsi="Arial"/>
          <w:sz w:val="24"/>
          <w:szCs w:val="24"/>
        </w:rPr>
        <w:t xml:space="preserve">налогооблагаемая стоимость: 11000 х 85308 х 0,6 х 0,2 = 112606560;</w:t>
      </w:r>
    </w:p>
    <w:p>
      <w:pPr>
        <w:spacing w:after="120"/>
        <w:ind w:firstLine="567"/>
        <w:jc w:val="both"/>
      </w:pPr>
      <w:r>
        <w:rPr>
          <w:rFonts w:ascii="Arial" w:cs="Arial" w:eastAsia="Arial" w:hAnsi="Arial"/>
          <w:sz w:val="24"/>
          <w:szCs w:val="24"/>
        </w:rPr>
        <w:t xml:space="preserve">сумма налога на имущество: 112606560 сом. х 0,8% = 900852,5 сома;</w:t>
      </w:r>
    </w:p>
    <w:p>
      <w:pPr>
        <w:spacing w:after="120"/>
        <w:ind w:firstLine="567"/>
        <w:jc w:val="both"/>
      </w:pPr>
      <w:r>
        <w:rPr>
          <w:rFonts w:ascii="Arial" w:cs="Arial" w:eastAsia="Arial" w:hAnsi="Arial"/>
          <w:sz w:val="24"/>
          <w:szCs w:val="24"/>
        </w:rPr>
        <w:t xml:space="preserve">сумма земельного налога на земельный участок, расположенный непосредственно под объектом, - 98104,2 сома (2,3 х 85308 х 0,5);</w:t>
      </w:r>
    </w:p>
    <w:p>
      <w:pPr>
        <w:spacing w:after="120" w:before="120"/>
        <w:ind w:firstLine="567"/>
        <w:jc w:val="both"/>
      </w:pPr>
      <w:r>
        <w:rPr>
          <w:rFonts w:ascii="Arial" w:cs="Arial" w:eastAsia="Arial" w:hAnsi="Arial"/>
          <w:sz w:val="24"/>
          <w:szCs w:val="24"/>
        </w:rPr>
        <w:t xml:space="preserve">налог на имущество к уплате: 802748,3 сома (900852,5 - 98104,2).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5"/>
        <w:gridCol w:w="1358"/>
        <w:gridCol w:w="1113"/>
        <w:gridCol w:w="900"/>
        <w:gridCol w:w="327"/>
        <w:gridCol w:w="278"/>
        <w:gridCol w:w="327"/>
        <w:gridCol w:w="753"/>
        <w:gridCol w:w="835"/>
        <w:gridCol w:w="1735"/>
        <w:gridCol w:w="1047"/>
      </w:tblGrid>
      <w:tr>
        <w:tc>
          <w:tcPr>
            <w:tcW w:type="dxa" w:w="15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Информационный расчет</w:t>
            </w:r>
          </w:p>
        </w:tc>
        <w:tc>
          <w:tcPr>
            <w:tcW w:type="dxa" w:w="13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месяцев владения</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Оценочная стоимость</w:t>
            </w:r>
          </w:p>
        </w:tc>
        <w:tc>
          <w:tcPr>
            <w:tcW w:type="dxa" w:w="9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w:t>
            </w:r>
          </w:p>
        </w:tc>
        <w:tc>
          <w:tcPr>
            <w:tcW w:type="dxa" w:w="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w:t>
            </w:r>
          </w:p>
        </w:tc>
        <w:tc>
          <w:tcPr>
            <w:tcW w:type="dxa" w:w="2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Кз</w:t>
            </w:r>
          </w:p>
        </w:tc>
        <w:tc>
          <w:tcPr>
            <w:tcW w:type="dxa" w:w="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w:t>
            </w:r>
          </w:p>
        </w:tc>
        <w:tc>
          <w:tcPr>
            <w:tcW w:type="dxa" w:w="8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налога</w:t>
            </w:r>
          </w:p>
        </w:tc>
        <w:tc>
          <w:tcPr>
            <w:tcW w:type="dxa" w:w="17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земельного налога участка под зданием</w:t>
            </w:r>
          </w:p>
        </w:tc>
        <w:tc>
          <w:tcPr>
            <w:tcW w:type="dxa" w:w="10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налога к уплате</w:t>
            </w:r>
          </w:p>
        </w:tc>
      </w:tr>
      <w:tr>
        <w:tc>
          <w:tcPr>
            <w:tcW w:type="dxa" w:w="1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Первоначальный</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85308</w:t>
            </w:r>
          </w:p>
        </w:tc>
        <w:tc>
          <w:tcPr>
            <w:tcW w:type="dxa" w:w="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900852,5</w:t>
            </w:r>
          </w:p>
        </w:tc>
        <w:tc>
          <w:tcPr>
            <w:tcW w:type="dxa" w:w="1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98104,2</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802748,3</w:t>
            </w:r>
          </w:p>
        </w:tc>
      </w:tr>
    </w:tbl>
    <w:p>
      <w:pPr>
        <w:spacing w:after="120" w:before="120"/>
        <w:ind w:firstLine="567"/>
        <w:jc w:val="both"/>
      </w:pPr>
      <w:r>
        <w:rPr>
          <w:rFonts w:ascii="Arial" w:cs="Arial" w:eastAsia="Arial" w:hAnsi="Arial"/>
          <w:sz w:val="24"/>
          <w:szCs w:val="24"/>
        </w:rPr>
        <w:t xml:space="preserve">Поскольку 10 мая 2011 года предприятием приобретено новое помещение, сумма налога за период владения определяется следующим образом:</w:t>
      </w:r>
    </w:p>
    <w:p>
      <w:pPr>
        <w:spacing w:after="120"/>
        <w:ind w:firstLine="567"/>
        <w:jc w:val="both"/>
      </w:pPr>
      <w:r>
        <w:rPr>
          <w:rFonts w:ascii="Arial" w:cs="Arial" w:eastAsia="Arial" w:hAnsi="Arial"/>
          <w:sz w:val="24"/>
          <w:szCs w:val="24"/>
        </w:rPr>
        <w:t xml:space="preserve">Налог = годовая сумма налога / 12 месяцев х 7 месяцев.</w:t>
      </w:r>
    </w:p>
    <w:p>
      <w:pPr>
        <w:spacing w:after="120"/>
        <w:ind w:firstLine="567"/>
        <w:jc w:val="both"/>
      </w:pPr>
      <w:r>
        <w:rPr>
          <w:rFonts w:ascii="Arial" w:cs="Arial" w:eastAsia="Arial" w:hAnsi="Arial"/>
          <w:sz w:val="24"/>
          <w:szCs w:val="24"/>
        </w:rPr>
        <w:t xml:space="preserve">Годовая сумма налога на имущество по новому объекту имущества 2 группы исчисляется следующим образом:</w:t>
      </w:r>
    </w:p>
    <w:p>
      <w:pPr>
        <w:spacing w:after="120"/>
        <w:ind w:firstLine="567"/>
        <w:jc w:val="both"/>
      </w:pPr>
      <w:r>
        <w:rPr>
          <w:rFonts w:ascii="Arial" w:cs="Arial" w:eastAsia="Arial" w:hAnsi="Arial"/>
          <w:sz w:val="24"/>
          <w:szCs w:val="24"/>
        </w:rPr>
        <w:t xml:space="preserve">налогооблагаемая стоимость: 15000 х 200 х 0,6 х 0,2 = 360000 сомов;</w:t>
      </w:r>
    </w:p>
    <w:p>
      <w:pPr>
        <w:spacing w:after="120"/>
        <w:ind w:firstLine="567"/>
        <w:jc w:val="both"/>
      </w:pPr>
      <w:r>
        <w:rPr>
          <w:rFonts w:ascii="Arial" w:cs="Arial" w:eastAsia="Arial" w:hAnsi="Arial"/>
          <w:sz w:val="24"/>
          <w:szCs w:val="24"/>
        </w:rPr>
        <w:t xml:space="preserve">сумма налога на имущество: 360000 х 0,8% = 2880 сомов;</w:t>
      </w:r>
    </w:p>
    <w:p>
      <w:pPr>
        <w:spacing w:after="120"/>
        <w:ind w:firstLine="567"/>
        <w:jc w:val="both"/>
      </w:pPr>
      <w:r>
        <w:rPr>
          <w:rFonts w:ascii="Arial" w:cs="Arial" w:eastAsia="Arial" w:hAnsi="Arial"/>
          <w:sz w:val="24"/>
          <w:szCs w:val="24"/>
        </w:rPr>
        <w:t xml:space="preserve">сумма земельного налога на земельный участок, расположенный непосредственно под объектом, 2,3 х 200 х 0,5 = 230;</w:t>
      </w:r>
    </w:p>
    <w:p>
      <w:pPr>
        <w:spacing w:after="120"/>
        <w:ind w:firstLine="567"/>
        <w:jc w:val="both"/>
      </w:pPr>
      <w:r>
        <w:rPr>
          <w:rFonts w:ascii="Arial" w:cs="Arial" w:eastAsia="Arial" w:hAnsi="Arial"/>
          <w:sz w:val="24"/>
          <w:szCs w:val="24"/>
        </w:rPr>
        <w:t xml:space="preserve">налог на имущество к уплате: 2880 - 230 = 2650 сомов.</w:t>
      </w:r>
    </w:p>
    <w:p>
      <w:pPr>
        <w:spacing w:after="120"/>
        <w:ind w:firstLine="567"/>
        <w:jc w:val="both"/>
      </w:pPr>
      <w:r>
        <w:rPr>
          <w:rFonts w:ascii="Arial" w:cs="Arial" w:eastAsia="Arial" w:hAnsi="Arial"/>
          <w:sz w:val="24"/>
          <w:szCs w:val="24"/>
        </w:rPr>
        <w:t xml:space="preserve">Сумма налога на имущество за период фактического владения новым объектом:</w:t>
      </w:r>
    </w:p>
    <w:p>
      <w:pPr>
        <w:spacing w:after="120"/>
        <w:ind w:firstLine="567"/>
        <w:jc w:val="both"/>
      </w:pPr>
      <w:r>
        <w:rPr>
          <w:rFonts w:ascii="Arial" w:cs="Arial" w:eastAsia="Arial" w:hAnsi="Arial"/>
          <w:sz w:val="24"/>
          <w:szCs w:val="24"/>
        </w:rPr>
        <w:t xml:space="preserve">2650 : 12 x 7 = 1545 сомов.</w:t>
      </w:r>
    </w:p>
    <w:p>
      <w:pPr>
        <w:spacing w:after="120"/>
        <w:ind w:firstLine="567"/>
        <w:jc w:val="both"/>
      </w:pPr>
      <w:r>
        <w:rPr>
          <w:rFonts w:ascii="Arial" w:cs="Arial" w:eastAsia="Arial" w:hAnsi="Arial"/>
          <w:sz w:val="24"/>
          <w:szCs w:val="24"/>
        </w:rPr>
        <w:t xml:space="preserve">При этом в информационном расчете, представляемом налогоплательщиком, дополнительно указывается:</w:t>
      </w:r>
    </w:p>
    <w:p>
      <w:pPr>
        <w:spacing w:after="120"/>
        <w:ind w:firstLine="567"/>
        <w:jc w:val="both"/>
      </w:pPr>
      <w:r>
        <w:rPr>
          <w:rFonts w:ascii="Arial" w:cs="Arial" w:eastAsia="Arial" w:hAnsi="Arial"/>
          <w:sz w:val="24"/>
          <w:szCs w:val="24"/>
        </w:rPr>
        <w:t xml:space="preserve">- в ячейке 001 - знак "X" напротив слова "дополнительный";</w:t>
      </w:r>
    </w:p>
    <w:p>
      <w:pPr>
        <w:spacing w:after="120"/>
        <w:ind w:firstLine="567"/>
        <w:jc w:val="both"/>
      </w:pPr>
      <w:r>
        <w:rPr>
          <w:rFonts w:ascii="Arial" w:cs="Arial" w:eastAsia="Arial" w:hAnsi="Arial"/>
          <w:sz w:val="24"/>
          <w:szCs w:val="24"/>
        </w:rPr>
        <w:t xml:space="preserve">- в ячейке 900 - "дата приобретения": 10 мая 2011 г.;</w:t>
      </w:r>
    </w:p>
    <w:p>
      <w:pPr>
        <w:spacing w:after="120"/>
        <w:ind w:firstLine="567"/>
        <w:jc w:val="both"/>
      </w:pPr>
      <w:r>
        <w:rPr>
          <w:rFonts w:ascii="Arial" w:cs="Arial" w:eastAsia="Arial" w:hAnsi="Arial"/>
          <w:sz w:val="24"/>
          <w:szCs w:val="24"/>
        </w:rPr>
        <w:t xml:space="preserve">- в графе "общая площадь" указывается размер общей площади объекта имущества;</w:t>
      </w:r>
    </w:p>
    <w:p>
      <w:pPr>
        <w:spacing w:after="120"/>
        <w:ind w:firstLine="567"/>
        <w:jc w:val="both"/>
      </w:pPr>
      <w:r>
        <w:rPr>
          <w:rFonts w:ascii="Arial" w:cs="Arial" w:eastAsia="Arial" w:hAnsi="Arial"/>
          <w:sz w:val="24"/>
          <w:szCs w:val="24"/>
        </w:rPr>
        <w:t xml:space="preserve">- в графе "количество месяцев" указывается количество месяцев владения приобретенным объектом имущества;</w:t>
      </w:r>
    </w:p>
    <w:p>
      <w:pPr>
        <w:spacing w:after="120"/>
        <w:ind w:firstLine="567"/>
        <w:jc w:val="both"/>
      </w:pPr>
      <w:r>
        <w:rPr>
          <w:rFonts w:ascii="Arial" w:cs="Arial" w:eastAsia="Arial" w:hAnsi="Arial"/>
          <w:sz w:val="24"/>
          <w:szCs w:val="24"/>
        </w:rPr>
        <w:t xml:space="preserve">- в графе "сумма налога к уплате" указывается положительное значение налогового обязательства.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5"/>
        <w:gridCol w:w="1358"/>
        <w:gridCol w:w="1113"/>
        <w:gridCol w:w="900"/>
        <w:gridCol w:w="327"/>
        <w:gridCol w:w="278"/>
        <w:gridCol w:w="327"/>
        <w:gridCol w:w="753"/>
        <w:gridCol w:w="753"/>
        <w:gridCol w:w="1898"/>
        <w:gridCol w:w="965"/>
      </w:tblGrid>
      <w:tr>
        <w:tc>
          <w:tcPr>
            <w:tcW w:type="dxa" w:w="15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Информационный расчет</w:t>
            </w:r>
          </w:p>
        </w:tc>
        <w:tc>
          <w:tcPr>
            <w:tcW w:type="dxa" w:w="13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месяцев владения</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Оценочная стоимость</w:t>
            </w:r>
          </w:p>
        </w:tc>
        <w:tc>
          <w:tcPr>
            <w:tcW w:type="dxa" w:w="9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w:t>
            </w:r>
          </w:p>
        </w:tc>
        <w:tc>
          <w:tcPr>
            <w:tcW w:type="dxa" w:w="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w:t>
            </w:r>
          </w:p>
        </w:tc>
        <w:tc>
          <w:tcPr>
            <w:tcW w:type="dxa" w:w="2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Кз</w:t>
            </w:r>
          </w:p>
        </w:tc>
        <w:tc>
          <w:tcPr>
            <w:tcW w:type="dxa" w:w="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налога</w:t>
            </w:r>
          </w:p>
        </w:tc>
        <w:tc>
          <w:tcPr>
            <w:tcW w:type="dxa" w:w="1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земельного налога участка под помещением</w:t>
            </w:r>
          </w:p>
        </w:tc>
        <w:tc>
          <w:tcPr>
            <w:tcW w:type="dxa" w:w="9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налога к уплате</w:t>
            </w:r>
          </w:p>
        </w:tc>
      </w:tr>
      <w:tr>
        <w:tc>
          <w:tcPr>
            <w:tcW w:type="dxa" w:w="1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Дополнительный</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2880</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1545</w:t>
            </w:r>
          </w:p>
        </w:tc>
      </w:tr>
    </w:tbl>
    <w:p>
      <w:pPr>
        <w:spacing w:after="120" w:before="120"/>
        <w:ind w:firstLine="567"/>
        <w:jc w:val="both"/>
      </w:pPr>
      <w:r>
        <w:rPr>
          <w:rFonts w:ascii="Arial" w:cs="Arial" w:eastAsia="Arial" w:hAnsi="Arial"/>
          <w:sz w:val="24"/>
          <w:szCs w:val="24"/>
        </w:rPr>
        <w:t xml:space="preserve">43. В случае, если предприятием построено и введено в эксплуатацию новое здание, налоговое обязательство по налогу на имущество по объекту нового строительства возникает с первого числа месяца, следующего после даты приемки объекта в эксплуатацию, или со дня начала использования объекта, в зависимости от того, какое из этих событий возникло раньше в соответствии со </w:t>
      </w:r>
      <w:hyperlink w:history="1" r:id="rIdc9p55bpwcewpzmw-wnk5x">
        <w:r>
          <w:rPr>
            <w:rFonts w:ascii="Arial" w:cs="Arial" w:eastAsia="Arial" w:hAnsi="Arial"/>
            <w:color w:val="1D4ED8"/>
            <w:sz w:val="24"/>
            <w:szCs w:val="24"/>
            <w:u w:val="single"/>
          </w:rPr>
          <w:t xml:space="preserve">статьей 331</w:t>
        </w:r>
      </w:hyperlink>
      <w:r>
        <w:rPr>
          <w:rFonts w:ascii="Arial" w:cs="Arial" w:eastAsia="Arial" w:hAnsi="Arial"/>
          <w:sz w:val="24"/>
          <w:szCs w:val="24"/>
        </w:rPr>
        <w:t xml:space="preserve"> Налогового кодекса Кыргызской Республики. При этом, налогоплательщик исчисляет налог на имущество за налоговый период, т.е. календарный год.</w:t>
      </w:r>
    </w:p>
    <w:p>
      <w:pPr>
        <w:spacing w:after="120"/>
        <w:ind w:firstLine="567"/>
        <w:jc w:val="both"/>
      </w:pPr>
      <w:r>
        <w:rPr>
          <w:rFonts w:ascii="Arial" w:cs="Arial" w:eastAsia="Arial" w:hAnsi="Arial"/>
          <w:sz w:val="24"/>
          <w:szCs w:val="24"/>
        </w:rPr>
        <w:t xml:space="preserve">Например, ОсОО "А" построило здание. Введено в эксплуатацию 25 сентября 2011 года. В этом случае налоговое обязательство возникает с 1 октября 2011 года.</w:t>
      </w:r>
    </w:p>
    <w:p>
      <w:pPr>
        <w:spacing w:after="120"/>
        <w:ind w:firstLine="567"/>
        <w:jc w:val="both"/>
      </w:pPr>
      <w:r>
        <w:rPr>
          <w:rFonts w:ascii="Arial" w:cs="Arial" w:eastAsia="Arial" w:hAnsi="Arial"/>
          <w:sz w:val="24"/>
          <w:szCs w:val="24"/>
        </w:rPr>
        <w:t xml:space="preserve">Налог на имущество исчисляется предприятием за весь налоговый период 2011 года.</w:t>
      </w:r>
    </w:p>
    <w:p>
      <w:pPr>
        <w:spacing w:after="120"/>
        <w:ind w:firstLine="567"/>
        <w:jc w:val="both"/>
      </w:pPr>
      <w:r>
        <w:rPr>
          <w:rFonts w:ascii="Arial" w:cs="Arial" w:eastAsia="Arial" w:hAnsi="Arial"/>
          <w:sz w:val="24"/>
          <w:szCs w:val="24"/>
        </w:rPr>
        <w:t xml:space="preserve">При этом в информационном расчете, представляемом налогоплательщиком дополнительно, указывается:</w:t>
      </w:r>
    </w:p>
    <w:p>
      <w:pPr>
        <w:spacing w:after="120"/>
        <w:ind w:firstLine="567"/>
        <w:jc w:val="both"/>
      </w:pPr>
      <w:r>
        <w:rPr>
          <w:rFonts w:ascii="Arial" w:cs="Arial" w:eastAsia="Arial" w:hAnsi="Arial"/>
          <w:sz w:val="24"/>
          <w:szCs w:val="24"/>
        </w:rPr>
        <w:t xml:space="preserve">- в ячейке 001 - знак "X" напротив слова "дополнительный";</w:t>
      </w:r>
    </w:p>
    <w:p>
      <w:pPr>
        <w:spacing w:after="120"/>
        <w:ind w:firstLine="567"/>
        <w:jc w:val="both"/>
      </w:pPr>
      <w:r>
        <w:rPr>
          <w:rFonts w:ascii="Arial" w:cs="Arial" w:eastAsia="Arial" w:hAnsi="Arial"/>
          <w:sz w:val="24"/>
          <w:szCs w:val="24"/>
        </w:rPr>
        <w:t xml:space="preserve">- в ячейке 900 - "дата приобретения": 25 сентября 2011 года;</w:t>
      </w:r>
    </w:p>
    <w:p>
      <w:pPr>
        <w:spacing w:after="120"/>
        <w:ind w:firstLine="567"/>
        <w:jc w:val="both"/>
      </w:pPr>
      <w:r>
        <w:rPr>
          <w:rFonts w:ascii="Arial" w:cs="Arial" w:eastAsia="Arial" w:hAnsi="Arial"/>
          <w:sz w:val="24"/>
          <w:szCs w:val="24"/>
        </w:rPr>
        <w:t xml:space="preserve">- в графе "общая площадь" указывается размер общей площади объекта имущества;</w:t>
      </w:r>
    </w:p>
    <w:p>
      <w:pPr>
        <w:spacing w:after="120"/>
        <w:ind w:firstLine="567"/>
        <w:jc w:val="both"/>
      </w:pPr>
      <w:r>
        <w:rPr>
          <w:rFonts w:ascii="Arial" w:cs="Arial" w:eastAsia="Arial" w:hAnsi="Arial"/>
          <w:sz w:val="24"/>
          <w:szCs w:val="24"/>
        </w:rPr>
        <w:t xml:space="preserve">- в графе "количество месяцев" указывается "12";</w:t>
      </w:r>
    </w:p>
    <w:p>
      <w:pPr>
        <w:spacing w:after="120"/>
        <w:ind w:firstLine="567"/>
        <w:jc w:val="both"/>
      </w:pPr>
      <w:r>
        <w:rPr>
          <w:rFonts w:ascii="Arial" w:cs="Arial" w:eastAsia="Arial" w:hAnsi="Arial"/>
          <w:sz w:val="24"/>
          <w:szCs w:val="24"/>
        </w:rPr>
        <w:t xml:space="preserve">- в графе "сумма налога к уплате" указывается положительное значение налогового обязательства.</w:t>
      </w:r>
    </w:p>
    <w:p>
      <w:pPr>
        <w:spacing w:after="120"/>
        <w:ind w:firstLine="567"/>
        <w:jc w:val="both"/>
      </w:pPr>
      <w:r>
        <w:rPr>
          <w:rFonts w:ascii="Arial" w:cs="Arial" w:eastAsia="Arial" w:hAnsi="Arial"/>
          <w:sz w:val="24"/>
          <w:szCs w:val="24"/>
        </w:rPr>
        <w:t xml:space="preserve">44. В случае изменения отраслевой принадлежности объекта имущества налоговое обязательство исчисляется с учетом изменения отраслевой принадлежности (функционального назначения) объекта имущества с предоставлением уточненного расчета.</w:t>
      </w:r>
    </w:p>
    <w:p>
      <w:pPr>
        <w:spacing w:after="120"/>
        <w:ind w:firstLine="567"/>
        <w:jc w:val="both"/>
      </w:pPr>
      <w:r>
        <w:rPr>
          <w:rFonts w:ascii="Arial" w:cs="Arial" w:eastAsia="Arial" w:hAnsi="Arial"/>
          <w:sz w:val="24"/>
          <w:szCs w:val="24"/>
        </w:rPr>
        <w:t xml:space="preserve">45. В случае предоставления уточненного расчета, связанного с перерасчетом налога (например, изменения зонального или отраслевого коэффициента), заполняется "Примечание", где проставляется сумма налога по месяцам с учетом изменений налогового обязательства (заполняется аналогично примеру, как в пункте 22).</w:t>
      </w:r>
    </w:p>
    <w:p>
      <w:pPr>
        <w:spacing w:after="120"/>
        <w:ind w:firstLine="567"/>
        <w:jc w:val="both"/>
      </w:pPr>
      <w:r>
        <w:rPr>
          <w:rFonts w:ascii="Arial" w:cs="Arial" w:eastAsia="Arial" w:hAnsi="Arial"/>
          <w:sz w:val="24"/>
          <w:szCs w:val="24"/>
        </w:rPr>
        <w:t xml:space="preserve">Заполнение формы "Специального раздела"</w:t>
      </w:r>
    </w:p>
    <w:p>
      <w:pPr>
        <w:spacing w:after="120"/>
        <w:ind w:firstLine="567"/>
        <w:jc w:val="both"/>
      </w:pPr>
      <w:r>
        <w:rPr>
          <w:rFonts w:ascii="Arial" w:cs="Arial" w:eastAsia="Arial" w:hAnsi="Arial"/>
          <w:sz w:val="24"/>
          <w:szCs w:val="24"/>
        </w:rPr>
        <w:t xml:space="preserve">46. В случаях, когда огораживающие стены объекта имущества состоят из разных материалов, то специальным разделом устанавливается преобладающий материал стен объекта имущества для расчета облагаемой стоимости объекта имущества.</w:t>
      </w:r>
    </w:p>
    <w:p>
      <w:pPr>
        <w:spacing w:after="120"/>
        <w:ind w:firstLine="567"/>
        <w:jc w:val="both"/>
      </w:pPr>
      <w:r>
        <w:rPr>
          <w:rFonts w:ascii="Arial" w:cs="Arial" w:eastAsia="Arial" w:hAnsi="Arial"/>
          <w:sz w:val="24"/>
          <w:szCs w:val="24"/>
        </w:rPr>
        <w:t xml:space="preserve">47. В графе 1 указывается наименование имущества в соответствии с кодом имущества, отраженным в таблице 4.</w:t>
      </w:r>
    </w:p>
    <w:p>
      <w:pPr>
        <w:spacing w:after="120"/>
        <w:ind w:firstLine="567"/>
        <w:jc w:val="both"/>
      </w:pPr>
      <w:r>
        <w:rPr>
          <w:rFonts w:ascii="Arial" w:cs="Arial" w:eastAsia="Arial" w:hAnsi="Arial"/>
          <w:sz w:val="24"/>
          <w:szCs w:val="24"/>
        </w:rPr>
        <w:t xml:space="preserve">48. В графе 2 указывается год ввода в эксплуатацию объекта имущества.</w:t>
      </w:r>
    </w:p>
    <w:p>
      <w:pPr>
        <w:spacing w:after="120"/>
        <w:ind w:firstLine="567"/>
        <w:jc w:val="both"/>
      </w:pPr>
      <w:r>
        <w:rPr>
          <w:rFonts w:ascii="Arial" w:cs="Arial" w:eastAsia="Arial" w:hAnsi="Arial"/>
          <w:sz w:val="24"/>
          <w:szCs w:val="24"/>
        </w:rPr>
        <w:t xml:space="preserve">49. В графе 3 указывается общая площадь огораживаемых стен объекта имущества (кв.м.).</w:t>
      </w:r>
    </w:p>
    <w:p>
      <w:pPr>
        <w:spacing w:after="120"/>
        <w:ind w:firstLine="567"/>
        <w:jc w:val="both"/>
      </w:pPr>
      <w:r>
        <w:rPr>
          <w:rFonts w:ascii="Arial" w:cs="Arial" w:eastAsia="Arial" w:hAnsi="Arial"/>
          <w:sz w:val="24"/>
          <w:szCs w:val="24"/>
        </w:rPr>
        <w:t xml:space="preserve">50. В графах 4, 5, 6, 7, 8, 9, 10 указываются материалы стен в соответствии с кодом материала, отраженным в таблице 3.</w:t>
      </w:r>
    </w:p>
    <w:p>
      <w:pPr>
        <w:spacing w:after="120"/>
        <w:ind w:firstLine="567"/>
        <w:jc w:val="both"/>
      </w:pPr>
      <w:r>
        <w:rPr>
          <w:rFonts w:ascii="Arial" w:cs="Arial" w:eastAsia="Arial" w:hAnsi="Arial"/>
          <w:sz w:val="24"/>
          <w:szCs w:val="24"/>
        </w:rPr>
        <w:t xml:space="preserve">51. В графах 4, 5, 6, 7, 8, 9, 10 указывается доля площади соответствующего материала стен (кв.м).</w:t>
      </w:r>
    </w:p>
    <w:p>
      <w:pPr>
        <w:spacing w:after="120"/>
        <w:ind w:firstLine="567"/>
        <w:jc w:val="both"/>
      </w:pPr>
      <w:r>
        <w:rPr>
          <w:rFonts w:ascii="Arial" w:cs="Arial" w:eastAsia="Arial" w:hAnsi="Arial"/>
          <w:sz w:val="24"/>
          <w:szCs w:val="24"/>
        </w:rPr>
        <w:t xml:space="preserve">52. В графах 11, 12, 13 указывается наименование преобладающего материала или равных материалов (кв.м).</w:t>
      </w:r>
    </w:p>
    <w:p>
      <w:pPr>
        <w:spacing w:after="120"/>
        <w:ind w:firstLine="567"/>
        <w:jc w:val="both"/>
      </w:pPr>
      <w:r>
        <w:rPr>
          <w:rFonts w:ascii="Arial" w:cs="Arial" w:eastAsia="Arial" w:hAnsi="Arial"/>
          <w:sz w:val="24"/>
          <w:szCs w:val="24"/>
        </w:rPr>
        <w:t xml:space="preserve">53. В графах 14, 15, 16 указывается оценочная стоимость 1 кв.м преобладающего(их) материала(ов) (сом.).</w:t>
      </w:r>
    </w:p>
    <w:p>
      <w:pPr>
        <w:spacing w:after="120"/>
        <w:ind w:firstLine="567"/>
        <w:jc w:val="both"/>
      </w:pPr>
      <w:r>
        <w:rPr>
          <w:rFonts w:ascii="Arial" w:cs="Arial" w:eastAsia="Arial" w:hAnsi="Arial"/>
          <w:sz w:val="24"/>
          <w:szCs w:val="24"/>
        </w:rPr>
        <w:t xml:space="preserve">54. В графе 17 указывается средняя стоимость 1 кв.м, равных материалов (сом.).</w:t>
      </w:r>
    </w:p>
    <w:p>
      <w:pPr>
        <w:spacing w:after="120"/>
        <w:ind w:firstLine="567"/>
        <w:jc w:val="both"/>
      </w:pPr>
      <w:r>
        <w:rPr>
          <w:rFonts w:ascii="Arial" w:cs="Arial" w:eastAsia="Arial" w:hAnsi="Arial"/>
          <w:sz w:val="24"/>
          <w:szCs w:val="24"/>
        </w:rPr>
        <w:t xml:space="preserve">Например: Налогооблагаемая стоимость 1 кв.м объекта имущества, построенного из кирпича и металла, доли площадей которых равны, со сроком эксплуатации до 5 лет, равна 12500 сомов (15000 + 10000 сом / 2).</w:t>
      </w:r>
    </w:p>
    <w:p>
      <w:pPr>
        <w:spacing w:after="240" w:before="200"/>
        <w:jc w:val="center"/>
      </w:pPr>
      <w:r>
        <w:rPr>
          <w:rFonts w:ascii="Arial" w:cs="Arial" w:eastAsia="Arial" w:hAnsi="Arial"/>
          <w:b/>
          <w:bCs/>
          <w:sz w:val="32"/>
          <w:szCs w:val="32"/>
        </w:rPr>
        <w:t xml:space="preserve">4. Информационный расчет по налогу на имущество по объектам имущества 3 группы (FORM STI-088)</w:t>
      </w:r>
    </w:p>
    <w:p>
      <w:pPr>
        <w:spacing w:after="120"/>
        <w:ind w:firstLine="567"/>
        <w:jc w:val="both"/>
      </w:pPr>
      <w:r>
        <w:rPr>
          <w:rFonts w:ascii="Arial" w:cs="Arial" w:eastAsia="Arial" w:hAnsi="Arial"/>
          <w:sz w:val="24"/>
          <w:szCs w:val="24"/>
        </w:rPr>
        <w:t xml:space="preserve">55. В ячейках 300, 315, 330, 345, 360, 375, 390, 405, 420 графы 1 указывается наименование имущества в соответствии с кодом имущества, отраженным в таблице 4.</w:t>
      </w:r>
    </w:p>
    <w:p>
      <w:pPr>
        <w:spacing w:after="120"/>
        <w:ind w:firstLine="567"/>
        <w:jc w:val="both"/>
      </w:pPr>
      <w:r>
        <w:rPr>
          <w:rFonts w:ascii="Arial" w:cs="Arial" w:eastAsia="Arial" w:hAnsi="Arial"/>
          <w:sz w:val="24"/>
          <w:szCs w:val="24"/>
        </w:rPr>
        <w:t xml:space="preserve">56. В ячейках 301, 316, 331, 346, 361, 375, 391, 406, 421 графы 2 указывается адрес местонахождения имущества. Например, город Бишкек, Свердловский район, ул.Алма-Атинская, 2.</w:t>
      </w:r>
    </w:p>
    <w:p>
      <w:pPr>
        <w:spacing w:after="120"/>
        <w:ind w:firstLine="567"/>
        <w:jc w:val="both"/>
      </w:pPr>
      <w:r>
        <w:rPr>
          <w:rFonts w:ascii="Arial" w:cs="Arial" w:eastAsia="Arial" w:hAnsi="Arial"/>
          <w:sz w:val="24"/>
          <w:szCs w:val="24"/>
        </w:rPr>
        <w:t xml:space="preserve">57. В ячейках 302, 317, 332, 347, 362, 377, 392, 407, 422 графы 3 указывается код пользователей имущества согласно таблице 2.</w:t>
      </w:r>
    </w:p>
    <w:p>
      <w:pPr>
        <w:spacing w:after="120"/>
        <w:ind w:firstLine="567"/>
        <w:jc w:val="both"/>
      </w:pPr>
      <w:r>
        <w:rPr>
          <w:rFonts w:ascii="Arial" w:cs="Arial" w:eastAsia="Arial" w:hAnsi="Arial"/>
          <w:sz w:val="24"/>
          <w:szCs w:val="24"/>
        </w:rPr>
        <w:t xml:space="preserve">58. В ячейках 303, 318, 333, 348, 363, 378, 393, 408, 423 графы 4 указывается код назначения объектов имущества согласно таблице 5.</w:t>
      </w:r>
    </w:p>
    <w:p>
      <w:pPr>
        <w:spacing w:after="120"/>
        <w:ind w:firstLine="567"/>
        <w:jc w:val="both"/>
      </w:pPr>
      <w:r>
        <w:rPr>
          <w:rFonts w:ascii="Arial" w:cs="Arial" w:eastAsia="Arial" w:hAnsi="Arial"/>
          <w:sz w:val="24"/>
          <w:szCs w:val="24"/>
        </w:rPr>
        <w:t xml:space="preserve">59. В ячейках 304, 319, 334, 349, 364, 379, 394, 409, 424 графы 5 указывается количество месяцев право владения/пользования объектом имущества. Например, 12, 6.</w:t>
      </w:r>
    </w:p>
    <w:p>
      <w:pPr>
        <w:spacing w:after="120"/>
        <w:ind w:firstLine="567"/>
        <w:jc w:val="both"/>
      </w:pPr>
      <w:r>
        <w:rPr>
          <w:rFonts w:ascii="Arial" w:cs="Arial" w:eastAsia="Arial" w:hAnsi="Arial"/>
          <w:sz w:val="24"/>
          <w:szCs w:val="24"/>
        </w:rPr>
        <w:t xml:space="preserve">60. В ячейках 305, 320, 335, 350, 365, 380, 395, 410, 425 графы 6 указывается код материала стен в соответствии с кодом материала, отраженным в таблице 3.</w:t>
      </w:r>
    </w:p>
    <w:p>
      <w:pPr>
        <w:spacing w:after="120"/>
        <w:ind w:firstLine="567"/>
        <w:jc w:val="both"/>
      </w:pPr>
      <w:r>
        <w:rPr>
          <w:rFonts w:ascii="Arial" w:cs="Arial" w:eastAsia="Arial" w:hAnsi="Arial"/>
          <w:sz w:val="24"/>
          <w:szCs w:val="24"/>
        </w:rPr>
        <w:t xml:space="preserve">61. В ячейках 306, 321, 336, 351, 366, 381, 396, 411, 426 графы 7 указывается год ввода в эксплуатацию объекта имущества. Например, 1989.</w:t>
      </w:r>
    </w:p>
    <w:p>
      <w:pPr>
        <w:spacing w:after="120"/>
        <w:ind w:firstLine="567"/>
        <w:jc w:val="both"/>
      </w:pPr>
      <w:r>
        <w:rPr>
          <w:rFonts w:ascii="Arial" w:cs="Arial" w:eastAsia="Arial" w:hAnsi="Arial"/>
          <w:sz w:val="24"/>
          <w:szCs w:val="24"/>
        </w:rPr>
        <w:t xml:space="preserve">62. В ячейках 307, 322, 337, 352, 367, 382, 397, 412, 427 графы 8 указывается оценочная стоимость объекта имущества 1 кв.м (сомов), в зависимости от срока эксплуатации, согласно части 2 </w:t>
      </w:r>
      <w:hyperlink w:history="1" r:id="rIdcncciwytzk9x4zhwuqeha">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63. В ячейках 308, 323, 338, 353, 368, 383, 398, 413, 428 графы 9 указывается общая площадь объекта имущества (кв.м).</w:t>
      </w:r>
    </w:p>
    <w:p>
      <w:pPr>
        <w:spacing w:after="120"/>
        <w:ind w:firstLine="567"/>
        <w:jc w:val="both"/>
      </w:pPr>
      <w:r>
        <w:rPr>
          <w:rFonts w:ascii="Arial" w:cs="Arial" w:eastAsia="Arial" w:hAnsi="Arial"/>
          <w:sz w:val="24"/>
          <w:szCs w:val="24"/>
        </w:rPr>
        <w:t xml:space="preserve">64. В ячейках 309, 324, 339, 354, 369, 384, 399, 414, 429 графы 10 указывается региональный коэффициент Кр, учитывающий изменение налогооблагаемой стоимости объекта в зависимости от его местонахождения на территории Кыргызской Республики, согласно части 7 </w:t>
      </w:r>
      <w:hyperlink w:history="1" r:id="rIdtaplwmgv5pf8hihte7i-j">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65. В ячейках 310, 325, 340, 355, 370, 385, 400, 415, 430 графы 11 указывается зональный коэффициент Кз, учитывающий изменение налогооблагаемой стоимости объекта в зависимости от его местонахождения в населенном пункте, согласно части 8 </w:t>
      </w:r>
      <w:hyperlink w:history="1" r:id="rIdfiusm0vgmhtb7nkwlvyzy">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66. В ячейках 311, 326, 341, 356, 371, 386, 401, 416, 431 графы 12 указывается отраслевой коэффициент Ко, применяемый для объектов имущества, согласно части 9 </w:t>
      </w:r>
      <w:hyperlink w:history="1" r:id="rIdu4a-2o7287pflqrxoeffv">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67. В ячейках 312, 327, 342, 357, 372, 387, 402, 417, 432 графы 13 указывается ставка налога (%).</w:t>
      </w:r>
    </w:p>
    <w:p>
      <w:pPr>
        <w:spacing w:after="120"/>
        <w:ind w:firstLine="567"/>
        <w:jc w:val="both"/>
      </w:pPr>
      <w:r>
        <w:rPr>
          <w:rFonts w:ascii="Arial" w:cs="Arial" w:eastAsia="Arial" w:hAnsi="Arial"/>
          <w:sz w:val="24"/>
          <w:szCs w:val="24"/>
        </w:rPr>
        <w:t xml:space="preserve">68. В ячейках 313, 328, 343, 358, 373, 388, 403, 418, 433 графы 14 указывается сумма налога (сомов) (графа 8 х графу 9 х графу 10 х графу 11 х графу 12), где значение ячеек 307, 322, 337, 352, 367, 382, 397, 412, 427 графы 8 умножается на значение ячеек 308, 323, 338, 353, 368, 383, 398, 413, 428 графы 9, умножается на значение ячеек 309, 324, 339, 354, 369, 384, 399, 414, 429 графы 10, умножается на значение ячеек 310, 325, 340, 355, 370, 385, 400, 415, 430 графы 11, умножается на значение ячеек 311, 326, 341, 356, 371, 386, 401, 416, 431 графы 12.</w:t>
      </w:r>
    </w:p>
    <w:p>
      <w:pPr>
        <w:spacing w:after="120"/>
        <w:ind w:firstLine="567"/>
        <w:jc w:val="both"/>
      </w:pPr>
      <w:r>
        <w:rPr>
          <w:rFonts w:ascii="Arial" w:cs="Arial" w:eastAsia="Arial" w:hAnsi="Arial"/>
          <w:sz w:val="24"/>
          <w:szCs w:val="24"/>
        </w:rPr>
        <w:t xml:space="preserve">69. В ячейках 314, 329, 344, 359, 374, 389, 404, 419, 434 графы 15 указывается сумма земельного налога, уплаченного или подлежащего уплате за земельный участок, расположенный непосредственно под объектом имущества, но не выше суммы налога на имущество, рассчитанного в отношении данного объекта имущества (сомов), согласно части 6 </w:t>
      </w:r>
      <w:hyperlink w:history="1" r:id="rIdawascwgxlu8gesgynjyc5">
        <w:r>
          <w:rPr>
            <w:rFonts w:ascii="Arial" w:cs="Arial" w:eastAsia="Arial" w:hAnsi="Arial"/>
            <w:color w:val="1D4ED8"/>
            <w:sz w:val="24"/>
            <w:szCs w:val="24"/>
            <w:u w:val="single"/>
          </w:rPr>
          <w:t xml:space="preserve">статьи 330</w:t>
        </w:r>
      </w:hyperlink>
      <w:r>
        <w:rPr>
          <w:rFonts w:ascii="Arial" w:cs="Arial" w:eastAsia="Arial" w:hAnsi="Arial"/>
          <w:sz w:val="24"/>
          <w:szCs w:val="24"/>
        </w:rPr>
        <w:t xml:space="preserve"> Налогового кодекса.</w:t>
      </w:r>
    </w:p>
    <w:p>
      <w:pPr>
        <w:spacing w:after="120"/>
        <w:ind w:firstLine="567"/>
        <w:jc w:val="both"/>
      </w:pPr>
      <w:r>
        <w:rPr>
          <w:rFonts w:ascii="Arial" w:cs="Arial" w:eastAsia="Arial" w:hAnsi="Arial"/>
          <w:sz w:val="24"/>
          <w:szCs w:val="24"/>
        </w:rPr>
        <w:t xml:space="preserve">70. В ячейках 435 и 436 указываются итоговые суммы.</w:t>
      </w:r>
    </w:p>
    <w:p>
      <w:pPr>
        <w:spacing w:after="120"/>
        <w:ind w:firstLine="567"/>
        <w:jc w:val="both"/>
      </w:pPr>
      <w:r>
        <w:rPr>
          <w:rFonts w:ascii="Arial" w:cs="Arial" w:eastAsia="Arial" w:hAnsi="Arial"/>
          <w:sz w:val="24"/>
          <w:szCs w:val="24"/>
        </w:rPr>
        <w:t xml:space="preserve">71. В ячейке 436 указывается сумма льготы по решению местного кенеша согласно части 4 </w:t>
      </w:r>
      <w:hyperlink w:history="1" r:id="rIdgujgqgxavdqhnts3dpcs3">
        <w:r>
          <w:rPr>
            <w:rFonts w:ascii="Arial" w:cs="Arial" w:eastAsia="Arial" w:hAnsi="Arial"/>
            <w:color w:val="1D4ED8"/>
            <w:sz w:val="24"/>
            <w:szCs w:val="24"/>
            <w:u w:val="single"/>
          </w:rPr>
          <w:t xml:space="preserve">статьи 330</w:t>
        </w:r>
      </w:hyperlink>
      <w:r>
        <w:rPr>
          <w:rFonts w:ascii="Arial" w:cs="Arial" w:eastAsia="Arial" w:hAnsi="Arial"/>
          <w:sz w:val="24"/>
          <w:szCs w:val="24"/>
        </w:rPr>
        <w:t xml:space="preserve"> Налогового кодекса Кыргызской Республики. Например, вследствие стихийного бедствия решением местного кенеша предоставляется освобождение от уплаты налога на имущество по объекту имущества.</w:t>
      </w:r>
    </w:p>
    <w:p>
      <w:pPr>
        <w:spacing w:after="120"/>
        <w:ind w:firstLine="567"/>
        <w:jc w:val="both"/>
      </w:pPr>
      <w:r>
        <w:rPr>
          <w:rFonts w:ascii="Arial" w:cs="Arial" w:eastAsia="Arial" w:hAnsi="Arial"/>
          <w:sz w:val="24"/>
          <w:szCs w:val="24"/>
        </w:rPr>
        <w:t xml:space="preserve">72. В ячейке 438 указывается сумма налога к уплате (сомов), разность ячеек 435, 436 и 437.</w:t>
      </w:r>
    </w:p>
    <w:p>
      <w:pPr>
        <w:spacing w:after="120"/>
        <w:ind w:firstLine="567"/>
        <w:jc w:val="both"/>
      </w:pPr>
      <w:r>
        <w:rPr>
          <w:rFonts w:ascii="Arial" w:cs="Arial" w:eastAsia="Arial" w:hAnsi="Arial"/>
          <w:sz w:val="24"/>
          <w:szCs w:val="24"/>
        </w:rPr>
        <w:t xml:space="preserve">Пример. Предприниматель имеет 20 тонный металлический контейнер общей площадью 14,4 кв.м, расположен в городе Бишкек. Срок эксплуатации контейнера - 10 лет. Оценочная стоимость 1 кв.м составляет 10000 сом. Региональный коэффициент равен 1. Зональный коэффициент равен 1. Отраслевой коэффициент - 0,8. Контейнер расположен на земельном участке, который арендуется предпринимателем.</w:t>
      </w:r>
    </w:p>
    <w:p>
      <w:pPr>
        <w:spacing w:after="120"/>
        <w:ind w:firstLine="567"/>
        <w:jc w:val="both"/>
      </w:pPr>
      <w:r>
        <w:rPr>
          <w:rFonts w:ascii="Arial" w:cs="Arial" w:eastAsia="Arial" w:hAnsi="Arial"/>
          <w:sz w:val="24"/>
          <w:szCs w:val="24"/>
        </w:rPr>
        <w:t xml:space="preserve">Годовая сумма налога на имущество по объекту 3 группы исчисляется следующим образом:</w:t>
      </w:r>
    </w:p>
    <w:p>
      <w:pPr>
        <w:spacing w:after="120"/>
        <w:ind w:firstLine="567"/>
        <w:jc w:val="both"/>
      </w:pPr>
      <w:r>
        <w:rPr>
          <w:rFonts w:ascii="Arial" w:cs="Arial" w:eastAsia="Arial" w:hAnsi="Arial"/>
          <w:sz w:val="24"/>
          <w:szCs w:val="24"/>
        </w:rPr>
        <w:t xml:space="preserve">Налог на имущество = Налогооблагаемая стоимость х Ставку налога.</w:t>
      </w:r>
    </w:p>
    <w:p>
      <w:pPr>
        <w:spacing w:after="120"/>
        <w:ind w:firstLine="567"/>
        <w:jc w:val="both"/>
      </w:pPr>
      <w:r>
        <w:rPr>
          <w:rFonts w:ascii="Arial" w:cs="Arial" w:eastAsia="Arial" w:hAnsi="Arial"/>
          <w:sz w:val="24"/>
          <w:szCs w:val="24"/>
        </w:rPr>
        <w:t xml:space="preserve">Налогооблагаемая стоимость = С х Общую площадь х Кр х Кз х Ко,</w:t>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 - налогооблагаемая стоимость 1 кв.м площади объекта;</w:t>
      </w:r>
    </w:p>
    <w:p>
      <w:pPr>
        <w:spacing w:after="120"/>
        <w:ind w:firstLine="567"/>
        <w:jc w:val="both"/>
      </w:pPr>
      <w:r>
        <w:rPr>
          <w:rFonts w:ascii="Arial" w:cs="Arial" w:eastAsia="Arial" w:hAnsi="Arial"/>
          <w:sz w:val="24"/>
          <w:szCs w:val="24"/>
        </w:rPr>
        <w:t xml:space="preserve">Кр - коэффициент региональный;</w:t>
      </w:r>
    </w:p>
    <w:p>
      <w:pPr>
        <w:spacing w:after="120"/>
        <w:ind w:firstLine="567"/>
        <w:jc w:val="both"/>
      </w:pPr>
      <w:r>
        <w:rPr>
          <w:rFonts w:ascii="Arial" w:cs="Arial" w:eastAsia="Arial" w:hAnsi="Arial"/>
          <w:sz w:val="24"/>
          <w:szCs w:val="24"/>
        </w:rPr>
        <w:t xml:space="preserve">Кз - коэффициент зональный;</w:t>
      </w:r>
    </w:p>
    <w:p>
      <w:pPr>
        <w:spacing w:after="120"/>
        <w:ind w:firstLine="567"/>
        <w:jc w:val="both"/>
      </w:pPr>
      <w:r>
        <w:rPr>
          <w:rFonts w:ascii="Arial" w:cs="Arial" w:eastAsia="Arial" w:hAnsi="Arial"/>
          <w:sz w:val="24"/>
          <w:szCs w:val="24"/>
        </w:rPr>
        <w:t xml:space="preserve">Ко - коэффициент отраслевой.</w:t>
      </w:r>
    </w:p>
    <w:p>
      <w:pPr>
        <w:spacing w:after="120"/>
        <w:ind w:firstLine="567"/>
        <w:jc w:val="both"/>
      </w:pPr>
      <w:r>
        <w:rPr>
          <w:rFonts w:ascii="Arial" w:cs="Arial" w:eastAsia="Arial" w:hAnsi="Arial"/>
          <w:sz w:val="24"/>
          <w:szCs w:val="24"/>
        </w:rPr>
        <w:t xml:space="preserve">Налогооблагаемая стоимость: 115200,0 сом (10000 х 14,4 х 1 х 1 х 0,8);</w:t>
      </w:r>
    </w:p>
    <w:p>
      <w:pPr>
        <w:spacing w:after="120"/>
        <w:ind w:firstLine="567"/>
        <w:jc w:val="both"/>
      </w:pPr>
      <w:r>
        <w:rPr>
          <w:rFonts w:ascii="Arial" w:cs="Arial" w:eastAsia="Arial" w:hAnsi="Arial"/>
          <w:sz w:val="24"/>
          <w:szCs w:val="24"/>
        </w:rPr>
        <w:t xml:space="preserve">налог на имущество к уплате 921,6 сома (115200,0 х 0,8%).</w:t>
      </w:r>
    </w:p>
    <w:p>
      <w:pPr>
        <w:spacing w:after="120"/>
        <w:ind w:firstLine="567"/>
        <w:jc w:val="both"/>
      </w:pPr>
      <w:r>
        <w:rPr>
          <w:rFonts w:ascii="Arial" w:cs="Arial" w:eastAsia="Arial" w:hAnsi="Arial"/>
          <w:sz w:val="24"/>
          <w:szCs w:val="24"/>
        </w:rPr>
        <w:t xml:space="preserve">73. В случае владения объектом имущества менее календарного года согласно части 3 </w:t>
      </w:r>
      <w:hyperlink w:history="1" r:id="rIdazdypgsv5zj9twaajyjov">
        <w:r>
          <w:rPr>
            <w:rFonts w:ascii="Arial" w:cs="Arial" w:eastAsia="Arial" w:hAnsi="Arial"/>
            <w:color w:val="1D4ED8"/>
            <w:sz w:val="24"/>
            <w:szCs w:val="24"/>
            <w:u w:val="single"/>
          </w:rPr>
          <w:t xml:space="preserve">статьи 332</w:t>
        </w:r>
      </w:hyperlink>
      <w:r>
        <w:rPr>
          <w:rFonts w:ascii="Arial" w:cs="Arial" w:eastAsia="Arial" w:hAnsi="Arial"/>
          <w:sz w:val="24"/>
          <w:szCs w:val="24"/>
        </w:rPr>
        <w:t xml:space="preserve"> Налогового кодекса, рассчитывается сумма налога фактического владения объектом имущества, т.е. годовая сумма налога делится на 12 месяцев и затем полученное значение умножается на фактическое количество месяцев владения (расчет производится аналогично примеру 1 пункта 42).</w:t>
      </w:r>
    </w:p>
    <w:p>
      <w:pPr>
        <w:spacing w:after="120"/>
        <w:ind w:firstLine="567"/>
        <w:jc w:val="both"/>
      </w:pPr>
      <w:r>
        <w:rPr>
          <w:rFonts w:ascii="Arial" w:cs="Arial" w:eastAsia="Arial" w:hAnsi="Arial"/>
          <w:sz w:val="24"/>
          <w:szCs w:val="24"/>
        </w:rPr>
        <w:t xml:space="preserve">74. В случае предоставления уточненного расчета, связанного с перерасчетом налога (например, изменения зонального коэффициента), заполняется "Примечание", где проставляется сумма налога по месяцам с учетом изменений налогового обязательства (заполняется аналогично примеру пункта 22).</w:t>
      </w:r>
    </w:p>
    <w:p>
      <w:pPr>
        <w:spacing w:after="240" w:before="200"/>
        <w:jc w:val="center"/>
      </w:pPr>
      <w:r>
        <w:rPr>
          <w:rFonts w:ascii="Arial" w:cs="Arial" w:eastAsia="Arial" w:hAnsi="Arial"/>
          <w:b/>
          <w:bCs/>
          <w:sz w:val="32"/>
          <w:szCs w:val="32"/>
        </w:rPr>
        <w:t xml:space="preserve">5. Информационный расчет по налогу на имущество по объектам имущества 4 группы для организаций (FORM STI-089)</w:t>
      </w:r>
    </w:p>
    <w:p>
      <w:pPr>
        <w:spacing w:after="120"/>
        <w:ind w:firstLine="567"/>
        <w:jc w:val="both"/>
      </w:pPr>
      <w:r>
        <w:rPr>
          <w:rFonts w:ascii="Arial" w:cs="Arial" w:eastAsia="Arial" w:hAnsi="Arial"/>
          <w:sz w:val="24"/>
          <w:szCs w:val="24"/>
        </w:rPr>
        <w:t xml:space="preserve">75. В графе 1 выделяются объекты имущества 4 группы по коду признака транспортного средства согласно таблице 6.</w:t>
      </w:r>
    </w:p>
    <w:p>
      <w:pPr>
        <w:spacing w:after="120"/>
        <w:ind w:firstLine="567"/>
        <w:jc w:val="right"/>
      </w:pPr>
      <w:r>
        <w:rPr>
          <w:rFonts w:ascii="Arial" w:cs="Arial" w:eastAsia="Arial" w:hAnsi="Arial"/>
          <w:sz w:val="24"/>
          <w:szCs w:val="24"/>
        </w:rPr>
        <w:t xml:space="preserve">Таблица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4"/>
        <w:gridCol w:w="9314"/>
      </w:tblGrid>
      <w:tr>
        <w:tc>
          <w:tcPr>
            <w:tcW w:type="dxa" w:w="8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признака</w:t>
            </w:r>
          </w:p>
        </w:tc>
        <w:tc>
          <w:tcPr>
            <w:tcW w:type="dxa" w:w="93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Признак</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9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работающие на двигателе внутреннего сгорания, в соответствии с подпунктом "а" пункта 3 </w:t>
            </w:r>
            <w:hyperlink w:history="1" r:id="rIduol7-gnepr7owx6ctwqrt">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 Кыргызской Республики</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9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имеющие двигатель внутреннего сгорания, не предусмотренные подпунктом "а" пункта 3 </w:t>
            </w:r>
            <w:hyperlink w:history="1" r:id="rIdciwv_r1j9iz_mt5wrwrey">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 Кыргызской Республики, или не имеющие двигателя внутреннего сгорания</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9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не имеющие двигатель внутреннего сгорания и балансовой стоимости</w:t>
            </w:r>
          </w:p>
        </w:tc>
      </w:tr>
    </w:tbl>
    <w:p>
      <w:pPr>
        <w:spacing w:after="120" w:before="120"/>
        <w:ind w:firstLine="567"/>
        <w:jc w:val="both"/>
      </w:pPr>
      <w:r>
        <w:rPr>
          <w:rFonts w:ascii="Arial" w:cs="Arial" w:eastAsia="Arial" w:hAnsi="Arial"/>
          <w:sz w:val="24"/>
          <w:szCs w:val="24"/>
        </w:rPr>
        <w:t xml:space="preserve">76. В ячейках 202, 210, 218, 226, 234, 242, 250, 258, 266, 274, 282, 290, 298, 306, 314, 322, 330, 338, 346, 354, 362, 370, 378, 386, 394 графы 2 указывается вид транспортного средства в соответствии с кодом, предусмотренным в таблице 7.</w:t>
      </w:r>
    </w:p>
    <w:p>
      <w:pPr>
        <w:spacing w:after="120"/>
        <w:ind w:firstLine="567"/>
        <w:jc w:val="right"/>
      </w:pPr>
      <w:r>
        <w:rPr>
          <w:rFonts w:ascii="Arial" w:cs="Arial" w:eastAsia="Arial" w:hAnsi="Arial"/>
          <w:sz w:val="24"/>
          <w:szCs w:val="24"/>
        </w:rPr>
        <w:t xml:space="preserve">Таблица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1"/>
        <w:gridCol w:w="9067"/>
      </w:tblGrid>
      <w:tr>
        <w:tc>
          <w:tcPr>
            <w:tcW w:type="dxa" w:w="11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транспорта</w:t>
            </w:r>
          </w:p>
        </w:tc>
        <w:tc>
          <w:tcPr>
            <w:tcW w:type="dxa" w:w="90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транспорта</w:t>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9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 фургоны и пикапы на базе легковых автомобилей</w:t>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9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 автобусы, микроавтобусы</w:t>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9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тракторы, комбайны, дорожно-строительные машины</w:t>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9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самоходные машины и механизмы (тракторы и комбайны), используемые в сельскохозяйственном производстве</w:t>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9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мотороллеры, мопеды мотосани, моторные лодки, катеры, корабли и теплоходы</w:t>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9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водные мотоциклы</w:t>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9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 предусмотренные транспортные средства, имеющие двигатель внутреннего сгорания или не имеющие двигателя внутреннего сгорания</w:t>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008</w:t>
            </w:r>
          </w:p>
        </w:tc>
        <w:tc>
          <w:tcPr>
            <w:tcW w:type="dxa" w:w="9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имеющие двигателя внутреннего сгорания и балансовой стоимости</w:t>
            </w:r>
          </w:p>
        </w:tc>
      </w:tr>
    </w:tbl>
    <w:p>
      <w:pPr>
        <w:spacing w:after="120" w:before="120"/>
        <w:ind w:firstLine="567"/>
        <w:jc w:val="both"/>
      </w:pPr>
      <w:r>
        <w:rPr>
          <w:rFonts w:ascii="Arial" w:cs="Arial" w:eastAsia="Arial" w:hAnsi="Arial"/>
          <w:sz w:val="24"/>
          <w:szCs w:val="24"/>
        </w:rPr>
        <w:t xml:space="preserve">Например, грузовой автомобиль - "003", легковой автомобиль - "001".</w:t>
      </w:r>
    </w:p>
    <w:p>
      <w:pPr>
        <w:spacing w:after="120"/>
        <w:ind w:firstLine="567"/>
        <w:jc w:val="both"/>
      </w:pPr>
      <w:r>
        <w:rPr>
          <w:rFonts w:ascii="Arial" w:cs="Arial" w:eastAsia="Arial" w:hAnsi="Arial"/>
          <w:sz w:val="24"/>
          <w:szCs w:val="24"/>
        </w:rPr>
        <w:t xml:space="preserve">77. В ячейках 203, 211, 219, 227, 235, 243, 251, 259, 267, 275, 283, 291, 299, 307, 315, 323, 331, 339, 347, 355, 363, 371, 379, 387, 395 графы 3 указывается марка транспортного средства. Например, Тойота-Ландкрузер, Ауди-80.</w:t>
      </w:r>
    </w:p>
    <w:p>
      <w:pPr>
        <w:spacing w:after="120"/>
        <w:ind w:firstLine="567"/>
        <w:jc w:val="both"/>
      </w:pPr>
      <w:r>
        <w:rPr>
          <w:rFonts w:ascii="Arial" w:cs="Arial" w:eastAsia="Arial" w:hAnsi="Arial"/>
          <w:sz w:val="24"/>
          <w:szCs w:val="24"/>
        </w:rPr>
        <w:t xml:space="preserve">78. В ячейках 204, 212, 220, 228, 236, 244, 252, 260, 268, 276, 284, 292, 300, 308, 316, 324, 332, 340, 348, 356, 364, 372, 380, 388, 396 графы 4 указывается год выпуска транспортного средства заводом-изготовителем. Например, 1988.</w:t>
      </w:r>
    </w:p>
    <w:p>
      <w:pPr>
        <w:spacing w:after="120"/>
        <w:ind w:firstLine="567"/>
        <w:jc w:val="both"/>
      </w:pPr>
      <w:r>
        <w:rPr>
          <w:rFonts w:ascii="Arial" w:cs="Arial" w:eastAsia="Arial" w:hAnsi="Arial"/>
          <w:sz w:val="24"/>
          <w:szCs w:val="24"/>
        </w:rPr>
        <w:t xml:space="preserve">79. В ячейках 205, 213, 221, 229, 237, 245, 253, 261, 269, 277, 285, 293, 301, 309, 317, 325, 333, 341, 349, 357, 365, 373, 381, 389, 397 графы 5 указывается налоговая база - рабочий объем двигателя (куб.см). Например, 4664, 1798, 1760.</w:t>
      </w:r>
    </w:p>
    <w:p>
      <w:pPr>
        <w:spacing w:after="120"/>
        <w:ind w:firstLine="567"/>
        <w:jc w:val="both"/>
      </w:pPr>
      <w:r>
        <w:rPr>
          <w:rFonts w:ascii="Arial" w:cs="Arial" w:eastAsia="Arial" w:hAnsi="Arial"/>
          <w:sz w:val="24"/>
          <w:szCs w:val="24"/>
        </w:rPr>
        <w:t xml:space="preserve">80. В ячейках 206, 214, 222, 230, 238, 246, 254, 262, 270, 278, 286, 294, 302, 310, 318, 326, 334, 342, 350, 358, 366, 374, 382, 390, 398 графы 6 указывается ставка налога с каждого 1 куб.см рабочего объема двигателя (сомов) в соответствии с подпунктом "а" пункта 3 </w:t>
      </w:r>
      <w:hyperlink w:history="1" r:id="rIdzn-sncpt4ovqcfpubxgz5">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 Кыргызской Республики согласно таблице 8.</w:t>
      </w:r>
    </w:p>
    <w:p>
      <w:pPr>
        <w:spacing w:after="120"/>
        <w:ind w:firstLine="567"/>
        <w:jc w:val="right"/>
      </w:pPr>
      <w:r>
        <w:rPr>
          <w:rFonts w:ascii="Arial" w:cs="Arial" w:eastAsia="Arial" w:hAnsi="Arial"/>
          <w:sz w:val="24"/>
          <w:szCs w:val="24"/>
        </w:rPr>
        <w:t xml:space="preserve">Таблица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4"/>
        <w:gridCol w:w="2336"/>
        <w:gridCol w:w="1781"/>
        <w:gridCol w:w="2336"/>
        <w:gridCol w:w="1781"/>
      </w:tblGrid>
      <w:tr>
        <w:tc>
          <w:tcPr>
            <w:tcW w:type="dxa" w:w="19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транспорта</w:t>
            </w:r>
          </w:p>
        </w:tc>
        <w:tc>
          <w:tcPr>
            <w:tcW w:type="dxa" w:w="23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эксплуатации</w:t>
            </w:r>
          </w:p>
        </w:tc>
        <w:tc>
          <w:tcPr>
            <w:tcW w:type="dxa" w:w="17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w:t>
            </w:r>
          </w:p>
        </w:tc>
        <w:tc>
          <w:tcPr>
            <w:tcW w:type="dxa" w:w="23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эксплуатации</w:t>
            </w:r>
          </w:p>
        </w:tc>
        <w:tc>
          <w:tcPr>
            <w:tcW w:type="dxa" w:w="17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w:t>
            </w:r>
          </w:p>
        </w:tc>
      </w:tr>
      <w:tr>
        <w:tc>
          <w:tcPr>
            <w:tcW w:type="dxa" w:w="194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лет </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 лет </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r>
      <w:tr>
        <w:tc>
          <w:tcPr>
            <w:vMerge w:val="continue"/>
            <w:tcBorders>
              <w:top w:val="none" w:color="auto" w:sz="0"/>
              <w:left w:val="single" w:color="CBBF9E" w:sz="4"/>
              <w:bottom w:val="single" w:color="CBBF9E" w:sz="4"/>
              <w:right w:val="single" w:color="CBBF9E" w:sz="4"/>
            </w:tcBorders>
          </w:tcP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15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r>
      <w:tr>
        <w:tc>
          <w:tcPr>
            <w:tcW w:type="dxa" w:w="194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лет </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 лет </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r>
      <w:tr>
        <w:tc>
          <w:tcPr>
            <w:vMerge w:val="continue"/>
            <w:tcBorders>
              <w:top w:val="none" w:color="auto" w:sz="0"/>
              <w:left w:val="single" w:color="CBBF9E" w:sz="4"/>
              <w:bottom w:val="single" w:color="CBBF9E" w:sz="4"/>
              <w:right w:val="single" w:color="CBBF9E" w:sz="4"/>
            </w:tcBorders>
          </w:tcP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15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r>
      <w:tr>
        <w:tc>
          <w:tcPr>
            <w:tcW w:type="dxa" w:w="1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15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r>
      <w:tr>
        <w:tc>
          <w:tcPr>
            <w:tcW w:type="dxa" w:w="1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15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r>
        <w:tc>
          <w:tcPr>
            <w:tcW w:type="dxa" w:w="1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15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1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bl>
    <w:p>
      <w:pPr>
        <w:spacing w:after="120" w:before="120"/>
        <w:ind w:firstLine="567"/>
        <w:jc w:val="both"/>
      </w:pPr>
      <w:r>
        <w:rPr>
          <w:rFonts w:ascii="Arial" w:cs="Arial" w:eastAsia="Arial" w:hAnsi="Arial"/>
          <w:sz w:val="24"/>
          <w:szCs w:val="24"/>
        </w:rPr>
        <w:t xml:space="preserve">81. В ячейках 207, 215, 223, 231, 239, 247, 255, 263, 271, 279, 287, 295, 303, 311, 319, 327, 335, 343, 351, 359, 367, 375, 383, 391, 399 графы 7 указывается сумма налога (сомов) (графа 5 х графу 6), т.е. значение ячеек 205, 213, 221, 229, 237, 245, 253, 261, 269, 277, 285, 293, 301, 309, 317, 325, 333, 341, 349, 357, 365, 373, 381, 389, 397 205, 213, 221, 229, 237, 245, 253, 261, 269, 277, 285, 293, 301, 309, 317, 325, 333, 341, 349, 357, 365, 373, 381, 389, 397 графы 5 умножается на значение ячеек 206, 214, 222, 230, 238, 246, 254, 262, 270, 278, 286, 294, 302, 310, 318, 326, 334, 342, 350, 358, 366, 374, 382, 390, 398 графы 6.</w:t>
      </w:r>
    </w:p>
    <w:p>
      <w:pPr>
        <w:spacing w:after="120"/>
        <w:ind w:firstLine="567"/>
        <w:jc w:val="both"/>
      </w:pPr>
      <w:r>
        <w:rPr>
          <w:rFonts w:ascii="Arial" w:cs="Arial" w:eastAsia="Arial" w:hAnsi="Arial"/>
          <w:sz w:val="24"/>
          <w:szCs w:val="24"/>
        </w:rPr>
        <w:t xml:space="preserve">82. В ячейках 208, 216, 224, 232, 240, 248, 256, 264, 272, 280, 288, 296, 304, 312, 320, 328, 336, 344, 352, 360, 368, 376, 384, 392, 400 графы 8 указывается сумма льготы, предусмотренная </w:t>
      </w:r>
      <w:hyperlink w:history="1" r:id="rIdgrc92kwtlc8h6odaor3ty">
        <w:r>
          <w:rPr>
            <w:rFonts w:ascii="Arial" w:cs="Arial" w:eastAsia="Arial" w:hAnsi="Arial"/>
            <w:color w:val="1D4ED8"/>
            <w:sz w:val="24"/>
            <w:szCs w:val="24"/>
            <w:u w:val="single"/>
          </w:rPr>
          <w:t xml:space="preserve">статьей 330</w:t>
        </w:r>
      </w:hyperlink>
      <w:r>
        <w:rPr>
          <w:rFonts w:ascii="Arial" w:cs="Arial" w:eastAsia="Arial" w:hAnsi="Arial"/>
          <w:sz w:val="24"/>
          <w:szCs w:val="24"/>
        </w:rPr>
        <w:t xml:space="preserve"> Налогового кодекса Кыргызской Республики. В случае отсутствия льготы проставляется значение "0".</w:t>
      </w:r>
    </w:p>
    <w:p>
      <w:pPr>
        <w:spacing w:after="120"/>
        <w:ind w:firstLine="567"/>
        <w:jc w:val="both"/>
      </w:pPr>
      <w:r>
        <w:rPr>
          <w:rFonts w:ascii="Arial" w:cs="Arial" w:eastAsia="Arial" w:hAnsi="Arial"/>
          <w:sz w:val="24"/>
          <w:szCs w:val="24"/>
        </w:rPr>
        <w:t xml:space="preserve">83. В ячейках 209, 217, 225, 233, 241, 249, 257, 265, 273, 281, 289, 297, 305, 313, 321, 329, 337, 345, 353, 361, 369, 377, 385, 393, 401 графы 9 указывается сумма налога к уплате (графа 7 - графа 8), т.е. разность значений ячеек 207, 215, 223, 231, 239, 247, 255, 263, 271, 279, 287, 295, 303, 311, 319, 327, 335, 343, 351, 359, 367, 375, 383, 391, 399 графы 7 и ячеек 208, 216, 224, 232, 240, 248, 256, 264, 272, 280, 288, 296, 304, 312, 320, 328, 336, 344, 352, 360, 368, 376, 384, 392, 400 графы 8.</w:t>
      </w:r>
    </w:p>
    <w:p>
      <w:pPr>
        <w:spacing w:after="120"/>
        <w:ind w:firstLine="567"/>
        <w:jc w:val="both"/>
      </w:pPr>
      <w:r>
        <w:rPr>
          <w:rFonts w:ascii="Arial" w:cs="Arial" w:eastAsia="Arial" w:hAnsi="Arial"/>
          <w:sz w:val="24"/>
          <w:szCs w:val="24"/>
        </w:rPr>
        <w:t xml:space="preserve">84. В ячейках 402, 409 графы 2 указывается вид транспортного средства в соответствии с кодом транспорта, отраженным в таблице 7, по признаку "б" - имеющие двигатель внутреннего сгорания, не предусмотренных подпунктом "а" пункта 3 </w:t>
      </w:r>
      <w:hyperlink w:history="1" r:id="rIdinr-eu02mya9-rekiwm1p">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 или не имеющего двигателя внутреннего сгорания.</w:t>
      </w:r>
    </w:p>
    <w:p>
      <w:pPr>
        <w:spacing w:after="120"/>
        <w:ind w:firstLine="567"/>
        <w:jc w:val="both"/>
      </w:pPr>
      <w:r>
        <w:rPr>
          <w:rFonts w:ascii="Arial" w:cs="Arial" w:eastAsia="Arial" w:hAnsi="Arial"/>
          <w:sz w:val="24"/>
          <w:szCs w:val="24"/>
        </w:rPr>
        <w:t xml:space="preserve">85. В ячейках 403, 410 графы 3 указывается марка транспортного средства.</w:t>
      </w:r>
    </w:p>
    <w:p>
      <w:pPr>
        <w:spacing w:after="120"/>
        <w:ind w:firstLine="567"/>
        <w:jc w:val="both"/>
      </w:pPr>
      <w:r>
        <w:rPr>
          <w:rFonts w:ascii="Arial" w:cs="Arial" w:eastAsia="Arial" w:hAnsi="Arial"/>
          <w:sz w:val="24"/>
          <w:szCs w:val="24"/>
        </w:rPr>
        <w:t xml:space="preserve">86. В ячейках 404, 411 графы 5 указывается балансовая стоимость транспортного средства.</w:t>
      </w:r>
    </w:p>
    <w:p>
      <w:pPr>
        <w:spacing w:after="120"/>
        <w:ind w:firstLine="567"/>
        <w:jc w:val="both"/>
      </w:pPr>
      <w:r>
        <w:rPr>
          <w:rFonts w:ascii="Arial" w:cs="Arial" w:eastAsia="Arial" w:hAnsi="Arial"/>
          <w:sz w:val="24"/>
          <w:szCs w:val="24"/>
        </w:rPr>
        <w:t xml:space="preserve">87. В ячейках 405, 412 графы 6 указывается ставка налога согласно подпункту "б" пункта 3</w:t>
      </w:r>
      <w:hyperlink w:history="1" r:id="rIdeg0_6g65br8kjti9xwmgi">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88. В ячейках 406, 413 графы 7 указывается сумма налога (сомов) (графа 5 х графу 6), т.е. значения ячеек 404, 411 графы 5 умножаются на значения ячеек 405, 412 графы 6.</w:t>
      </w:r>
    </w:p>
    <w:p>
      <w:pPr>
        <w:spacing w:after="120"/>
        <w:ind w:firstLine="567"/>
        <w:jc w:val="both"/>
      </w:pPr>
      <w:r>
        <w:rPr>
          <w:rFonts w:ascii="Arial" w:cs="Arial" w:eastAsia="Arial" w:hAnsi="Arial"/>
          <w:sz w:val="24"/>
          <w:szCs w:val="24"/>
        </w:rPr>
        <w:t xml:space="preserve">89. В ячейках 407, 414 графы 8 указывается сумма льготы, предусмотренная </w:t>
      </w:r>
      <w:hyperlink w:history="1" r:id="rIdkhyq0xr2i5q2beh48w3nm">
        <w:r>
          <w:rPr>
            <w:rFonts w:ascii="Arial" w:cs="Arial" w:eastAsia="Arial" w:hAnsi="Arial"/>
            <w:color w:val="1D4ED8"/>
            <w:sz w:val="24"/>
            <w:szCs w:val="24"/>
            <w:u w:val="single"/>
          </w:rPr>
          <w:t xml:space="preserve">статьей 330</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90. В ячейках 408, 415 графы 9 указывается сумма налога к уплате (графа 7 - графа 8), т.е. разность значений ячеек 406, 413 графы 7 и ячеек 407, 414 графы 8.</w:t>
      </w:r>
    </w:p>
    <w:p>
      <w:pPr>
        <w:spacing w:after="120"/>
        <w:ind w:firstLine="567"/>
        <w:jc w:val="both"/>
      </w:pPr>
      <w:r>
        <w:rPr>
          <w:rFonts w:ascii="Arial" w:cs="Arial" w:eastAsia="Arial" w:hAnsi="Arial"/>
          <w:sz w:val="24"/>
          <w:szCs w:val="24"/>
        </w:rPr>
        <w:t xml:space="preserve">91. В ячейках 416, 423 графы 2 указывается вид транспорта по признаку "В" - не имеющего двигателя внутреннего сгорания и балансовой стоимости в соответствии с кодом транспорта, отраженным в таблице 7.</w:t>
      </w:r>
    </w:p>
    <w:p>
      <w:pPr>
        <w:spacing w:after="120"/>
        <w:ind w:firstLine="567"/>
        <w:jc w:val="both"/>
      </w:pPr>
      <w:r>
        <w:rPr>
          <w:rFonts w:ascii="Arial" w:cs="Arial" w:eastAsia="Arial" w:hAnsi="Arial"/>
          <w:sz w:val="24"/>
          <w:szCs w:val="24"/>
        </w:rPr>
        <w:t xml:space="preserve">92. В ячейках 417, 424 графы 3 указывается марка транспортного средства.</w:t>
      </w:r>
    </w:p>
    <w:p>
      <w:pPr>
        <w:spacing w:after="120"/>
        <w:ind w:firstLine="567"/>
        <w:jc w:val="both"/>
      </w:pPr>
      <w:r>
        <w:rPr>
          <w:rFonts w:ascii="Arial" w:cs="Arial" w:eastAsia="Arial" w:hAnsi="Arial"/>
          <w:sz w:val="24"/>
          <w:szCs w:val="24"/>
        </w:rPr>
        <w:t xml:space="preserve">93. В ячейках 418, 425 графы 5 указывается стоимость, определяемая комиссией, созданной решением органа местного самоуправления. </w:t>
      </w:r>
      <w:hyperlink w:history="1" r:id="rId1p4nzojc5avrn1cozjsc2">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определения стоимости объекта имущества 4 группы, не имеющего двигателя внутреннего сгорания и учетной стоимости, установлен </w:t>
      </w:r>
      <w:hyperlink w:history="1" r:id="rIdzry2eajycf2yacawtwp1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марта 2010 года № 163.</w:t>
      </w:r>
    </w:p>
    <w:p>
      <w:pPr>
        <w:spacing w:after="120"/>
        <w:ind w:firstLine="567"/>
        <w:jc w:val="both"/>
      </w:pPr>
      <w:r>
        <w:rPr>
          <w:rFonts w:ascii="Arial" w:cs="Arial" w:eastAsia="Arial" w:hAnsi="Arial"/>
          <w:sz w:val="24"/>
          <w:szCs w:val="24"/>
        </w:rPr>
        <w:t xml:space="preserve">94. В ячейках 419, 426 графы 6 указывается ставка налога согласно подпункту "в" пункта 3 </w:t>
      </w:r>
      <w:hyperlink w:history="1" r:id="rIda9obpm7necsdcdcnpvuln">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95. В ячейках 420, 427 графы 7 указывается сумма налога (сомов) (графа 5 х графу 6), т.е. значение ячеек 418, 425 графы 5 умножается на значение ячеек 419, 426 графы 6.</w:t>
      </w:r>
    </w:p>
    <w:p>
      <w:pPr>
        <w:spacing w:after="120"/>
        <w:ind w:firstLine="567"/>
        <w:jc w:val="both"/>
      </w:pPr>
      <w:r>
        <w:rPr>
          <w:rFonts w:ascii="Arial" w:cs="Arial" w:eastAsia="Arial" w:hAnsi="Arial"/>
          <w:sz w:val="24"/>
          <w:szCs w:val="24"/>
        </w:rPr>
        <w:t xml:space="preserve">96. В ячейках 421, 428 графы 8 указывается сумма льготы, предусмотренная </w:t>
      </w:r>
      <w:hyperlink w:history="1" r:id="rIdsoz0e_v2fcqrevlfslmkt">
        <w:r>
          <w:rPr>
            <w:rFonts w:ascii="Arial" w:cs="Arial" w:eastAsia="Arial" w:hAnsi="Arial"/>
            <w:color w:val="1D4ED8"/>
            <w:sz w:val="24"/>
            <w:szCs w:val="24"/>
            <w:u w:val="single"/>
          </w:rPr>
          <w:t xml:space="preserve">статьей 330</w:t>
        </w:r>
      </w:hyperlink>
      <w:r>
        <w:rPr>
          <w:rFonts w:ascii="Arial" w:cs="Arial" w:eastAsia="Arial" w:hAnsi="Arial"/>
          <w:sz w:val="24"/>
          <w:szCs w:val="24"/>
        </w:rPr>
        <w:t xml:space="preserve"> Налогового кодекса.</w:t>
      </w:r>
    </w:p>
    <w:p>
      <w:pPr>
        <w:spacing w:after="120"/>
        <w:ind w:firstLine="567"/>
        <w:jc w:val="both"/>
      </w:pPr>
      <w:r>
        <w:rPr>
          <w:rFonts w:ascii="Arial" w:cs="Arial" w:eastAsia="Arial" w:hAnsi="Arial"/>
          <w:sz w:val="24"/>
          <w:szCs w:val="24"/>
        </w:rPr>
        <w:t xml:space="preserve">97. В ячейках 422, 429 графы 9 указывается сумма налога к уплате (графа 7 - графа 8), т.е. разность значений ячеек 420, 427 графы 7 и ячеек 421, 428 графы 8.</w:t>
      </w:r>
    </w:p>
    <w:p>
      <w:pPr>
        <w:spacing w:after="120"/>
        <w:ind w:firstLine="567"/>
        <w:jc w:val="both"/>
      </w:pPr>
      <w:r>
        <w:rPr>
          <w:rFonts w:ascii="Arial" w:cs="Arial" w:eastAsia="Arial" w:hAnsi="Arial"/>
          <w:sz w:val="24"/>
          <w:szCs w:val="24"/>
        </w:rPr>
        <w:t xml:space="preserve">98. В ячейках 430, 431 указываются итоговые суммы по объектам 4 группы (сомов).</w:t>
      </w:r>
    </w:p>
    <w:p>
      <w:pPr>
        <w:spacing w:after="120"/>
        <w:ind w:firstLine="567"/>
        <w:jc w:val="both"/>
      </w:pPr>
      <w:r>
        <w:rPr>
          <w:rFonts w:ascii="Arial" w:cs="Arial" w:eastAsia="Arial" w:hAnsi="Arial"/>
          <w:sz w:val="24"/>
          <w:szCs w:val="24"/>
        </w:rPr>
        <w:t xml:space="preserve">Пример. Предприятие имеет транспортное средство - автомобиль марки Тойота-Ландкрузер, год выпуска - 2005 год, объем двигателя - 4664.</w:t>
      </w:r>
    </w:p>
    <w:p>
      <w:pPr>
        <w:spacing w:after="120"/>
        <w:ind w:firstLine="567"/>
        <w:jc w:val="both"/>
      </w:pPr>
      <w:r>
        <w:rPr>
          <w:rFonts w:ascii="Arial" w:cs="Arial" w:eastAsia="Arial" w:hAnsi="Arial"/>
          <w:sz w:val="24"/>
          <w:szCs w:val="24"/>
        </w:rPr>
        <w:t xml:space="preserve">Срок эксплуатации транспортного средства - 11 лет. Ставка налога 0,75 сома с каждого 1 куб.см рабочего объема двигателя.</w:t>
      </w:r>
    </w:p>
    <w:p>
      <w:pPr>
        <w:spacing w:after="120"/>
        <w:ind w:firstLine="567"/>
        <w:jc w:val="both"/>
      </w:pPr>
      <w:r>
        <w:rPr>
          <w:rFonts w:ascii="Arial" w:cs="Arial" w:eastAsia="Arial" w:hAnsi="Arial"/>
          <w:sz w:val="24"/>
          <w:szCs w:val="24"/>
        </w:rPr>
        <w:t xml:space="preserve">Сумма налога составляет 3498 сомов (46664 х 0,75).</w:t>
      </w:r>
    </w:p>
    <w:p>
      <w:pPr>
        <w:spacing w:after="240" w:before="200"/>
        <w:jc w:val="center"/>
      </w:pPr>
      <w:r>
        <w:rPr>
          <w:rFonts w:ascii="Arial" w:cs="Arial" w:eastAsia="Arial" w:hAnsi="Arial"/>
          <w:b/>
          <w:bCs/>
          <w:sz w:val="32"/>
          <w:szCs w:val="32"/>
        </w:rPr>
        <w:t xml:space="preserve">6. Информационный расчет по налогу на имущество по объектам имущества 4 группы для физических лиц (FORM STI-090)</w:t>
      </w:r>
    </w:p>
    <w:p>
      <w:pPr>
        <w:spacing w:after="120"/>
        <w:ind w:firstLine="567"/>
        <w:jc w:val="both"/>
      </w:pPr>
      <w:r>
        <w:rPr>
          <w:rFonts w:ascii="Arial" w:cs="Arial" w:eastAsia="Arial" w:hAnsi="Arial"/>
          <w:sz w:val="24"/>
          <w:szCs w:val="24"/>
        </w:rPr>
        <w:t xml:space="preserve">99. В графе 1 выделяются объекты имущества 4 группы по коду признака транспортного средства согласно таблице 6.</w:t>
      </w:r>
    </w:p>
    <w:p>
      <w:pPr>
        <w:spacing w:after="120"/>
        <w:ind w:firstLine="567"/>
        <w:jc w:val="both"/>
      </w:pPr>
      <w:r>
        <w:rPr>
          <w:rFonts w:ascii="Arial" w:cs="Arial" w:eastAsia="Arial" w:hAnsi="Arial"/>
          <w:sz w:val="24"/>
          <w:szCs w:val="24"/>
        </w:rPr>
        <w:t xml:space="preserve">100. В ячейках 202, 213, 224, 235 графы 2 указывается вид транспорта в соответствии с кодом транспорта, работающего на двигателе внутреннего сгорания, отраженным в таблице 7. Например, легковой автомобиль - "001", грузовой автомобиль - "002".</w:t>
      </w:r>
    </w:p>
    <w:p>
      <w:pPr>
        <w:spacing w:after="120"/>
        <w:ind w:firstLine="567"/>
        <w:jc w:val="both"/>
      </w:pPr>
      <w:r>
        <w:rPr>
          <w:rFonts w:ascii="Arial" w:cs="Arial" w:eastAsia="Arial" w:hAnsi="Arial"/>
          <w:sz w:val="24"/>
          <w:szCs w:val="24"/>
        </w:rPr>
        <w:t xml:space="preserve">101. В ячейках 203, 214, 225, 236 графы 3 указываются коды пользователей имущества согласно таблице 2.</w:t>
      </w:r>
    </w:p>
    <w:p>
      <w:pPr>
        <w:spacing w:after="120"/>
        <w:ind w:firstLine="567"/>
        <w:jc w:val="both"/>
      </w:pPr>
      <w:r>
        <w:rPr>
          <w:rFonts w:ascii="Arial" w:cs="Arial" w:eastAsia="Arial" w:hAnsi="Arial"/>
          <w:sz w:val="24"/>
          <w:szCs w:val="24"/>
        </w:rPr>
        <w:t xml:space="preserve">102. В ячейках 204, 215, 226, 237 графы 4 указывается марка транспортного средства. Например, Тойота-Ландкрузер, Ауди-80.</w:t>
      </w:r>
    </w:p>
    <w:p>
      <w:pPr>
        <w:spacing w:after="120"/>
        <w:ind w:firstLine="567"/>
        <w:jc w:val="both"/>
      </w:pPr>
      <w:r>
        <w:rPr>
          <w:rFonts w:ascii="Arial" w:cs="Arial" w:eastAsia="Arial" w:hAnsi="Arial"/>
          <w:sz w:val="24"/>
          <w:szCs w:val="24"/>
        </w:rPr>
        <w:t xml:space="preserve">103. В ячейках 205, 216, 227, 238 графы 5 указываются серия и государственный номер транспорта. Например, B8195G.</w:t>
      </w:r>
    </w:p>
    <w:p>
      <w:pPr>
        <w:spacing w:after="120"/>
        <w:ind w:firstLine="567"/>
        <w:jc w:val="both"/>
      </w:pPr>
      <w:r>
        <w:rPr>
          <w:rFonts w:ascii="Arial" w:cs="Arial" w:eastAsia="Arial" w:hAnsi="Arial"/>
          <w:sz w:val="24"/>
          <w:szCs w:val="24"/>
        </w:rPr>
        <w:t xml:space="preserve">104. В ячейках 206, 217, 228, 239 графы 6 указываются серия и номер свидетельства о регистрации транспортного средства. Например, AB 398038.</w:t>
      </w:r>
    </w:p>
    <w:p>
      <w:pPr>
        <w:spacing w:after="120"/>
        <w:ind w:firstLine="567"/>
        <w:jc w:val="both"/>
      </w:pPr>
      <w:r>
        <w:rPr>
          <w:rFonts w:ascii="Arial" w:cs="Arial" w:eastAsia="Arial" w:hAnsi="Arial"/>
          <w:sz w:val="24"/>
          <w:szCs w:val="24"/>
        </w:rPr>
        <w:t xml:space="preserve">105. В ячейках 207, 218, 229, 240 графы 7 указывается год выпуска транспортного средства заводом-изготовителем. Например, 2005.</w:t>
      </w:r>
    </w:p>
    <w:p>
      <w:pPr>
        <w:spacing w:after="120"/>
        <w:ind w:firstLine="567"/>
        <w:jc w:val="both"/>
      </w:pPr>
      <w:r>
        <w:rPr>
          <w:rFonts w:ascii="Arial" w:cs="Arial" w:eastAsia="Arial" w:hAnsi="Arial"/>
          <w:sz w:val="24"/>
          <w:szCs w:val="24"/>
        </w:rPr>
        <w:t xml:space="preserve">106. В ячейках 208, 219, 230, 241 графы 8 указывается налоговая база - рабочий объем двигателя (куб.см). Например, 4664, 1798, 1760.</w:t>
      </w:r>
    </w:p>
    <w:p>
      <w:pPr>
        <w:spacing w:after="120"/>
        <w:ind w:firstLine="567"/>
        <w:jc w:val="both"/>
      </w:pPr>
      <w:r>
        <w:rPr>
          <w:rFonts w:ascii="Arial" w:cs="Arial" w:eastAsia="Arial" w:hAnsi="Arial"/>
          <w:sz w:val="24"/>
          <w:szCs w:val="24"/>
        </w:rPr>
        <w:t xml:space="preserve">107. В ячейках 209, 220, 231, 242 графы 9 указывается ставка налога с каждого 1 куб.см рабочего объема двигателя (сомов) в соответствии с подпунктом "а" пункта 3 </w:t>
      </w:r>
      <w:hyperlink w:history="1" r:id="rId9nyemfje7gwdeqclb7x1y">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 Кыргызской Республики согласно таблице 8.</w:t>
      </w:r>
    </w:p>
    <w:p>
      <w:pPr>
        <w:spacing w:after="120"/>
        <w:ind w:firstLine="567"/>
        <w:jc w:val="both"/>
      </w:pPr>
      <w:r>
        <w:rPr>
          <w:rFonts w:ascii="Arial" w:cs="Arial" w:eastAsia="Arial" w:hAnsi="Arial"/>
          <w:sz w:val="24"/>
          <w:szCs w:val="24"/>
        </w:rPr>
        <w:t xml:space="preserve">108. В ячейках 210, 221, 232, 243 графы 10 указывается сумма налога (сомов) (графа 8 х графу 9), т.е. значение ячеек 208, 219, 230, 241 графы 8 умножается на значение ячеек 209, 220, 231, 242 графы 9.</w:t>
      </w:r>
    </w:p>
    <w:p>
      <w:pPr>
        <w:spacing w:after="120"/>
        <w:ind w:firstLine="567"/>
        <w:jc w:val="both"/>
      </w:pPr>
      <w:r>
        <w:rPr>
          <w:rFonts w:ascii="Arial" w:cs="Arial" w:eastAsia="Arial" w:hAnsi="Arial"/>
          <w:sz w:val="24"/>
          <w:szCs w:val="24"/>
        </w:rPr>
        <w:t xml:space="preserve">109. В ячейках 211, 222, 233, 244 графы 11 указывается сумма льготы, предусмотренная </w:t>
      </w:r>
      <w:hyperlink w:history="1" r:id="rId9p59qufchiy8tdh7k7dt7">
        <w:r>
          <w:rPr>
            <w:rFonts w:ascii="Arial" w:cs="Arial" w:eastAsia="Arial" w:hAnsi="Arial"/>
            <w:color w:val="1D4ED8"/>
            <w:sz w:val="24"/>
            <w:szCs w:val="24"/>
            <w:u w:val="single"/>
          </w:rPr>
          <w:t xml:space="preserve">статьей 330</w:t>
        </w:r>
      </w:hyperlink>
      <w:r>
        <w:rPr>
          <w:rFonts w:ascii="Arial" w:cs="Arial" w:eastAsia="Arial" w:hAnsi="Arial"/>
          <w:sz w:val="24"/>
          <w:szCs w:val="24"/>
        </w:rPr>
        <w:t xml:space="preserve"> Налогового кодекса Кыргызской Республики . В случае отсутствия льготы проставляется значение "0".</w:t>
      </w:r>
    </w:p>
    <w:p>
      <w:pPr>
        <w:spacing w:after="120"/>
        <w:ind w:firstLine="567"/>
        <w:jc w:val="both"/>
      </w:pPr>
      <w:r>
        <w:rPr>
          <w:rFonts w:ascii="Arial" w:cs="Arial" w:eastAsia="Arial" w:hAnsi="Arial"/>
          <w:sz w:val="24"/>
          <w:szCs w:val="24"/>
        </w:rPr>
        <w:t xml:space="preserve">110. В ячейках 212, 223, 234, 245 графы 12 указывается сумма налога к уплате (сом.) (графа 10 - графа 11), т.е. разность значений ячеек 210, 221, 232, 243 графы 10 и ячеек 211, 222, 233, 244 графы 11.</w:t>
      </w:r>
    </w:p>
    <w:p>
      <w:pPr>
        <w:spacing w:after="120"/>
        <w:ind w:firstLine="567"/>
        <w:jc w:val="both"/>
      </w:pPr>
      <w:r>
        <w:rPr>
          <w:rFonts w:ascii="Arial" w:cs="Arial" w:eastAsia="Arial" w:hAnsi="Arial"/>
          <w:sz w:val="24"/>
          <w:szCs w:val="24"/>
        </w:rPr>
        <w:t xml:space="preserve">111. В ячейках 246, 256, 266 графы 2 указывается вид транспортного средства в соответствии с кодом транспорта, отраженным в таблице 7, по признаку "б" - имеющие двигатель внутреннего сгорания, не предусмотренных подпунктом "а" пункта 3 </w:t>
      </w:r>
      <w:hyperlink w:history="1" r:id="rIdvgrbunvyrhl_tm3ijphqw">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 или не имеющих двигателя внутреннего сгорания.</w:t>
      </w:r>
    </w:p>
    <w:p>
      <w:pPr>
        <w:spacing w:after="120"/>
        <w:ind w:firstLine="567"/>
        <w:jc w:val="both"/>
      </w:pPr>
      <w:r>
        <w:rPr>
          <w:rFonts w:ascii="Arial" w:cs="Arial" w:eastAsia="Arial" w:hAnsi="Arial"/>
          <w:sz w:val="24"/>
          <w:szCs w:val="24"/>
        </w:rPr>
        <w:t xml:space="preserve">112. В ячейках 247, 257, 267 графы 3 указываются коды пользователей имущества согласно таблице 2.</w:t>
      </w:r>
    </w:p>
    <w:p>
      <w:pPr>
        <w:spacing w:after="120"/>
        <w:ind w:firstLine="567"/>
        <w:jc w:val="both"/>
      </w:pPr>
      <w:r>
        <w:rPr>
          <w:rFonts w:ascii="Arial" w:cs="Arial" w:eastAsia="Arial" w:hAnsi="Arial"/>
          <w:sz w:val="24"/>
          <w:szCs w:val="24"/>
        </w:rPr>
        <w:t xml:space="preserve">113. В ячейках 248, 258, 268 графы 4 указывается марка транспортного средства.</w:t>
      </w:r>
    </w:p>
    <w:p>
      <w:pPr>
        <w:spacing w:after="120"/>
        <w:ind w:firstLine="567"/>
        <w:jc w:val="both"/>
      </w:pPr>
      <w:r>
        <w:rPr>
          <w:rFonts w:ascii="Arial" w:cs="Arial" w:eastAsia="Arial" w:hAnsi="Arial"/>
          <w:sz w:val="24"/>
          <w:szCs w:val="24"/>
        </w:rPr>
        <w:t xml:space="preserve">114. В ячейках 249, 259, 269 графы 5 указываются серия и государственный номер транспорта.</w:t>
      </w:r>
    </w:p>
    <w:p>
      <w:pPr>
        <w:spacing w:after="120"/>
        <w:ind w:firstLine="567"/>
        <w:jc w:val="both"/>
      </w:pPr>
      <w:r>
        <w:rPr>
          <w:rFonts w:ascii="Arial" w:cs="Arial" w:eastAsia="Arial" w:hAnsi="Arial"/>
          <w:sz w:val="24"/>
          <w:szCs w:val="24"/>
        </w:rPr>
        <w:t xml:space="preserve">115. В ячейках 250, 260, 270 графы 6 указываются серия и номер свидетельства о регистрации транспортного средства.</w:t>
      </w:r>
    </w:p>
    <w:p>
      <w:pPr>
        <w:spacing w:after="120"/>
        <w:ind w:firstLine="567"/>
        <w:jc w:val="both"/>
      </w:pPr>
      <w:r>
        <w:rPr>
          <w:rFonts w:ascii="Arial" w:cs="Arial" w:eastAsia="Arial" w:hAnsi="Arial"/>
          <w:sz w:val="24"/>
          <w:szCs w:val="24"/>
        </w:rPr>
        <w:t xml:space="preserve">116. В ячейках 251, 261, 271 графы 8 указывается налоговая база - балансовая стоимость, определяемая в соответствии с подпунктом "б" пункта 2 </w:t>
      </w:r>
      <w:hyperlink w:history="1" r:id="rIdjuvgqsqo3g2vn_t4kcpei">
        <w:r>
          <w:rPr>
            <w:rFonts w:ascii="Arial" w:cs="Arial" w:eastAsia="Arial" w:hAnsi="Arial"/>
            <w:color w:val="1D4ED8"/>
            <w:sz w:val="24"/>
            <w:szCs w:val="24"/>
            <w:u w:val="single"/>
          </w:rPr>
          <w:t xml:space="preserve">статьи 325</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117. В ячейках 252, 262, 272 графы 9 указывается ставка налога согласно подпункта "б" пункта 3 </w:t>
      </w:r>
      <w:hyperlink w:history="1" r:id="rIduukpzf8qip1u0bhzc2dmf">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118. В ячейках 253, 263, 273 графы 10 указывается сумма налога (сом.) (графа 8 х графа 9), т.е. значения ячеек 251, 261, 271 графы 8 умножаются на значения ячеек 252, 262, 272 графы 9.</w:t>
      </w:r>
    </w:p>
    <w:p>
      <w:pPr>
        <w:spacing w:after="120"/>
        <w:ind w:firstLine="567"/>
        <w:jc w:val="both"/>
      </w:pPr>
      <w:r>
        <w:rPr>
          <w:rFonts w:ascii="Arial" w:cs="Arial" w:eastAsia="Arial" w:hAnsi="Arial"/>
          <w:sz w:val="24"/>
          <w:szCs w:val="24"/>
        </w:rPr>
        <w:t xml:space="preserve">119. В ячейках 254, 264, 274 графы 11 указываются сумма льготы, предусмотренная </w:t>
      </w:r>
      <w:hyperlink w:history="1" r:id="rIdls9ezntboa1lvxolm3ik_">
        <w:r>
          <w:rPr>
            <w:rFonts w:ascii="Arial" w:cs="Arial" w:eastAsia="Arial" w:hAnsi="Arial"/>
            <w:color w:val="1D4ED8"/>
            <w:sz w:val="24"/>
            <w:szCs w:val="24"/>
            <w:u w:val="single"/>
          </w:rPr>
          <w:t xml:space="preserve">статьей 330</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120. В ячейках 255, 265, 275 графы 12 указываются сумма налога к уплате (сом.) (графа 10 - графа 11), т.е. разность значений ячеек 253, 263, 273 графы 10 и ячеек 254, 264, 274 графы 11.</w:t>
      </w:r>
    </w:p>
    <w:p>
      <w:pPr>
        <w:spacing w:after="120"/>
        <w:ind w:firstLine="567"/>
        <w:jc w:val="both"/>
      </w:pPr>
      <w:r>
        <w:rPr>
          <w:rFonts w:ascii="Arial" w:cs="Arial" w:eastAsia="Arial" w:hAnsi="Arial"/>
          <w:sz w:val="24"/>
          <w:szCs w:val="24"/>
        </w:rPr>
        <w:t xml:space="preserve">121. В ячейках 276, 285 графы 2 указывается вид транспорта по признаку "в" - не имеющих двигателя внутреннего сгорания и балансовой стоимости в соответствии с кодом транспорта, отраженным в таблице 7.</w:t>
      </w:r>
    </w:p>
    <w:p>
      <w:pPr>
        <w:spacing w:after="120"/>
        <w:ind w:firstLine="567"/>
        <w:jc w:val="both"/>
      </w:pPr>
      <w:r>
        <w:rPr>
          <w:rFonts w:ascii="Arial" w:cs="Arial" w:eastAsia="Arial" w:hAnsi="Arial"/>
          <w:sz w:val="24"/>
          <w:szCs w:val="24"/>
        </w:rPr>
        <w:t xml:space="preserve">122. В ячейках 277, 286 графы 3 указываются коды пользователей имущества согласно таблице 2.</w:t>
      </w:r>
    </w:p>
    <w:p>
      <w:pPr>
        <w:spacing w:after="120"/>
        <w:ind w:firstLine="567"/>
        <w:jc w:val="both"/>
      </w:pPr>
      <w:r>
        <w:rPr>
          <w:rFonts w:ascii="Arial" w:cs="Arial" w:eastAsia="Arial" w:hAnsi="Arial"/>
          <w:sz w:val="24"/>
          <w:szCs w:val="24"/>
        </w:rPr>
        <w:t xml:space="preserve">123. В ячейках 278, 287 графы 4 указывается марка транспортного средства.</w:t>
      </w:r>
    </w:p>
    <w:p>
      <w:pPr>
        <w:spacing w:after="120"/>
        <w:ind w:firstLine="567"/>
        <w:jc w:val="both"/>
      </w:pPr>
      <w:r>
        <w:rPr>
          <w:rFonts w:ascii="Arial" w:cs="Arial" w:eastAsia="Arial" w:hAnsi="Arial"/>
          <w:sz w:val="24"/>
          <w:szCs w:val="24"/>
        </w:rPr>
        <w:t xml:space="preserve">124. В ячейках 279, 288 графы 6 указываются серия и номер свидетельства о регистрации транспортного средства.</w:t>
      </w:r>
    </w:p>
    <w:p>
      <w:pPr>
        <w:spacing w:after="120"/>
        <w:ind w:firstLine="567"/>
        <w:jc w:val="both"/>
      </w:pPr>
      <w:r>
        <w:rPr>
          <w:rFonts w:ascii="Arial" w:cs="Arial" w:eastAsia="Arial" w:hAnsi="Arial"/>
          <w:sz w:val="24"/>
          <w:szCs w:val="24"/>
        </w:rPr>
        <w:t xml:space="preserve">125. В ячейках 280, 289 графы 8 указывается налоговая база - стоимость, определяемая комиссией, созданной решением органа местного самоуправления. </w:t>
      </w:r>
      <w:hyperlink w:history="1" r:id="rIdfzyqynxiqvea0m9i1xypz">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определения стоимости объекта имущества 4 группы, не имеющего двигателя внутреннего сгорания и учетной стоимости, установлен </w:t>
      </w:r>
      <w:hyperlink w:history="1" r:id="rIdkx9rgez45geyz2dcmjkj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марта 2010 года № 163.</w:t>
      </w:r>
    </w:p>
    <w:p>
      <w:pPr>
        <w:spacing w:after="120"/>
        <w:ind w:firstLine="567"/>
        <w:jc w:val="both"/>
      </w:pPr>
      <w:r>
        <w:rPr>
          <w:rFonts w:ascii="Arial" w:cs="Arial" w:eastAsia="Arial" w:hAnsi="Arial"/>
          <w:sz w:val="24"/>
          <w:szCs w:val="24"/>
        </w:rPr>
        <w:t xml:space="preserve">126. В ячейках 281, 290 графы 9 указывается ставка налога согласно подпункту "в" пункта 3 </w:t>
      </w:r>
      <w:hyperlink w:history="1" r:id="rIdgxngc9c21_rh4rj1lyxjz">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127. В ячейках 282, 291 графы 10 указывается сумма налога (сом.) (графа 8 х графу 9), т.е. значения ячеек 280, 289 графы 8 умножаются на значения ячеек 281, 290 графы 9.</w:t>
      </w:r>
    </w:p>
    <w:p>
      <w:pPr>
        <w:spacing w:after="120"/>
        <w:ind w:firstLine="567"/>
        <w:jc w:val="both"/>
      </w:pPr>
      <w:r>
        <w:rPr>
          <w:rFonts w:ascii="Arial" w:cs="Arial" w:eastAsia="Arial" w:hAnsi="Arial"/>
          <w:sz w:val="24"/>
          <w:szCs w:val="24"/>
        </w:rPr>
        <w:t xml:space="preserve">128. В ячейках 283, 292 графы 11 указывается сумма льготы, предусмотренная </w:t>
      </w:r>
      <w:hyperlink w:history="1" r:id="rIdbulonewrbkkn-byn-tbs1">
        <w:r>
          <w:rPr>
            <w:rFonts w:ascii="Arial" w:cs="Arial" w:eastAsia="Arial" w:hAnsi="Arial"/>
            <w:color w:val="1D4ED8"/>
            <w:sz w:val="24"/>
            <w:szCs w:val="24"/>
            <w:u w:val="single"/>
          </w:rPr>
          <w:t xml:space="preserve">статьей 330</w:t>
        </w:r>
      </w:hyperlink>
      <w:r>
        <w:rPr>
          <w:rFonts w:ascii="Arial" w:cs="Arial" w:eastAsia="Arial" w:hAnsi="Arial"/>
          <w:sz w:val="24"/>
          <w:szCs w:val="24"/>
        </w:rPr>
        <w:t xml:space="preserve"> Налогового кодекса.</w:t>
      </w:r>
    </w:p>
    <w:p>
      <w:pPr>
        <w:spacing w:after="120"/>
        <w:ind w:firstLine="567"/>
        <w:jc w:val="both"/>
      </w:pPr>
      <w:r>
        <w:rPr>
          <w:rFonts w:ascii="Arial" w:cs="Arial" w:eastAsia="Arial" w:hAnsi="Arial"/>
          <w:sz w:val="24"/>
          <w:szCs w:val="24"/>
        </w:rPr>
        <w:t xml:space="preserve">129. В ячейках 284, 293 графы 12 указывается сумма налога к уплате (сом.) (графа 10 - графа 11), т.е. разность значений ячеек 282, 291 графы 10 и ячеек 283, 292 графы 11.</w:t>
      </w:r>
    </w:p>
    <w:p>
      <w:pPr>
        <w:spacing w:after="120"/>
        <w:ind w:firstLine="567"/>
        <w:jc w:val="both"/>
      </w:pPr>
      <w:r>
        <w:rPr>
          <w:rFonts w:ascii="Arial" w:cs="Arial" w:eastAsia="Arial" w:hAnsi="Arial"/>
          <w:sz w:val="24"/>
          <w:szCs w:val="24"/>
        </w:rPr>
        <w:t xml:space="preserve">130. В ячейке 294 указывается итоговая сумма налога по объектам 4 группы (сом.).</w:t>
      </w:r>
    </w:p>
    <w:p>
      <w:pPr>
        <w:spacing w:after="120"/>
        <w:ind w:firstLine="567"/>
        <w:jc w:val="both"/>
      </w:pPr>
      <w:r>
        <w:rPr>
          <w:rFonts w:ascii="Arial" w:cs="Arial" w:eastAsia="Arial" w:hAnsi="Arial"/>
          <w:sz w:val="24"/>
          <w:szCs w:val="24"/>
        </w:rPr>
        <w:t xml:space="preserve">Пример. Гражданин "А" имеет автомобиль, марка автомобиля - "Ровер", серия и госномер транспортного средства - E9200D, серия и номер свидетельства о регистрации транспортного средства - AB 398038, год выпуска - 1988, объем двигателя - 1798, ставка налога - 0,60.</w:t>
      </w:r>
    </w:p>
    <w:p>
      <w:pPr>
        <w:spacing w:after="120"/>
        <w:ind w:firstLine="567"/>
        <w:jc w:val="both"/>
      </w:pPr>
      <w:r>
        <w:rPr>
          <w:rFonts w:ascii="Arial" w:cs="Arial" w:eastAsia="Arial" w:hAnsi="Arial"/>
          <w:sz w:val="24"/>
          <w:szCs w:val="24"/>
        </w:rPr>
        <w:t xml:space="preserve">Сумма налога составляет 1078,8 сома (1798 х 0,60).</w:t>
      </w:r>
    </w:p>
    <w:p>
      <w:pPr>
        <w:spacing w:after="240" w:before="200"/>
        <w:jc w:val="center"/>
      </w:pPr>
      <w:r>
        <w:rPr>
          <w:rFonts w:ascii="Arial" w:cs="Arial" w:eastAsia="Arial" w:hAnsi="Arial"/>
          <w:b/>
          <w:bCs/>
          <w:sz w:val="32"/>
          <w:szCs w:val="32"/>
        </w:rPr>
        <w:t xml:space="preserve">7</w:t>
      </w:r>
      <w:r>
        <w:rPr>
          <w:rFonts w:ascii="Arial" w:cs="Arial" w:eastAsia="Arial" w:hAnsi="Arial"/>
          <w:b/>
          <w:bCs/>
          <w:sz w:val="32"/>
          <w:szCs w:val="32"/>
        </w:rPr>
        <w:t xml:space="preserve">. Порядок представления информационного расчета по налогу на имущество</w:t>
      </w:r>
    </w:p>
    <w:p>
      <w:pPr>
        <w:spacing w:after="120"/>
        <w:jc w:val="center"/>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Правительства КР от </w:t>
      </w:r>
      <w:hyperlink w:history="1" r:id="rIdyrx4xmocwyudrknkghg-e">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131. Расчет может быть представлен в явочном порядке в виде документа на бумажном носителе, отправлен по почте заказным письмом с уведомлением о вручении, а также представлен в виде электронного документа.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y0_vom9fpbr0j3r-28dab">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132. При представлении расчета в явочном порядке расчет заполняется в двух экземплярах: первый экземпляр остается в налоговом органе, второй экземпляр с отметкой налогового органа возвращается налогоплательщику.</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cshxuubsn0-pi81sar1u3">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133. При представлении расчета по почте расчет заполняется в двух экземплярах: первый экземпляр остается у налогоплательщика, второй экземпляр направляется в налоговый орган  заказным письмом с уведомлением. Датой представления расчета по почте заказным письмом является дата отправления по почте заказным письмом с обратным уведомлением. При представлении расчета по почте заказным письмом с уведомлением о вручении сотрудник налогового органа, принявший расчет, на втором экземпляре заполняет ячейки 901 и 902 расчета и ставит штамп налогового органа. В первом экземпляре расчета, который остается у налогоплательщика, ячейки 901 и 902 не заполняются.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m9urydrcckp4b2kvr0c4e">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134. Расчет в виде электронного документа представляется в порядке, определяемом Правительством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nhndcdhdzn1wmjdfhkcqd">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kfybgmsd3ssax9az2bvb">
      <w:r>
        <w:rPr>
          <w:rFonts w:ascii="Arial" w:cs="Arial" w:eastAsia="Arial" w:hAnsi="Arial"/>
          <w:color w:val="132D3F"/>
          <w:sz w:val="16"/>
          <w:szCs w:val="16"/>
          <w:u w:val="single"/>
        </w:rPr>
        <w:t xml:space="preserve">dalil.kg/document/91059</w:t>
      </w:r>
    </w:hyperlink>
  </w:p>
  <w:p>
    <w:pPr>
      <w:spacing w:after="0" w:before="40"/>
      <w:jc w:val="center"/>
    </w:pPr>
    <w:hyperlink w:history="1" r:id="rIdm9qtc3dia0dcsxfcxmev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euou7cji-kj9_evmlc__" Type="http://schemas.openxmlformats.org/officeDocument/2006/relationships/hyperlink" Target="https://dalil.kg/document/23370" TargetMode="External"/><Relationship Id="rId4hnxvi5w1wbbvzhctjoph" Type="http://schemas.openxmlformats.org/officeDocument/2006/relationships/hyperlink" Target="https://dalil.kg/document/92118" TargetMode="External"/><Relationship Id="rId1oddjuwghyiprapuol9jh" Type="http://schemas.openxmlformats.org/officeDocument/2006/relationships/hyperlink" Target="https://dalil.kg/document/93297" TargetMode="External"/><Relationship Id="rIdxxadry3kmdli_ojq2qxcl" Type="http://schemas.openxmlformats.org/officeDocument/2006/relationships/hyperlink" Target="https://dalil.kg/document/96623" TargetMode="External"/><Relationship Id="rIdulrd4gkpeggp9chq2a_6o" Type="http://schemas.openxmlformats.org/officeDocument/2006/relationships/hyperlink" Target="https://dalil.kg/document/12799" TargetMode="External"/><Relationship Id="rId64xpvzchros5ltx1khbt_" Type="http://schemas.openxmlformats.org/officeDocument/2006/relationships/hyperlink" Target="https://dalil.kg/document/96623" TargetMode="External"/><Relationship Id="rIdaew3w-ldqfvln6iivdqfa" Type="http://schemas.openxmlformats.org/officeDocument/2006/relationships/hyperlink" Target="https://dalil.kg/document/202445#st_330" TargetMode="External"/><Relationship Id="rIdbfyxm2xo43tvwbczackd6" Type="http://schemas.openxmlformats.org/officeDocument/2006/relationships/hyperlink" Target="https://dalil.kg/document/202445#st_327" TargetMode="External"/><Relationship Id="rIdcb4hrmt_yyappu49opr-p" Type="http://schemas.openxmlformats.org/officeDocument/2006/relationships/hyperlink" Target="https://dalil.kg/document/202445#st_327" TargetMode="External"/><Relationship Id="rIdqqgftnnjtvbjfj0v5yrsh" Type="http://schemas.openxmlformats.org/officeDocument/2006/relationships/hyperlink" Target="https://dalil.kg/document/202445#st_327" TargetMode="External"/><Relationship Id="rIdioempigd0ryw7ss0ox5ez" Type="http://schemas.openxmlformats.org/officeDocument/2006/relationships/hyperlink" Target="https://dalil.kg/document/202445#st_327" TargetMode="External"/><Relationship Id="rId3my1ekdjmbpxv_jzxtve3" Type="http://schemas.openxmlformats.org/officeDocument/2006/relationships/hyperlink" Target="https://dalil.kg/document/202445#st_328" TargetMode="External"/><Relationship Id="rIdurmo4nvkvvichanelc4ge" Type="http://schemas.openxmlformats.org/officeDocument/2006/relationships/hyperlink" Target="https://dalil.kg/document/202445#st_330" TargetMode="External"/><Relationship Id="rId3l1gor-msv8gtpi5cg43d" Type="http://schemas.openxmlformats.org/officeDocument/2006/relationships/hyperlink" Target="https://dalil.kg/document/202445#st_330" TargetMode="External"/><Relationship Id="rIdxappgkybv5npjxpgzkt9d" Type="http://schemas.openxmlformats.org/officeDocument/2006/relationships/hyperlink" Target="https://dalil.kg/document/202445#st_332" TargetMode="External"/><Relationship Id="rId9l9vclfc-83ghpdlgqfef" Type="http://schemas.openxmlformats.org/officeDocument/2006/relationships/hyperlink" Target="https://dalil.kg/document/202445#st_327" TargetMode="External"/><Relationship Id="rIdvpyi2tssokjco7kwmz0t4" Type="http://schemas.openxmlformats.org/officeDocument/2006/relationships/hyperlink" Target="https://dalil.kg/document/202445#st_327" TargetMode="External"/><Relationship Id="rIdrd1xt4imxkd1jg3zcsj6m" Type="http://schemas.openxmlformats.org/officeDocument/2006/relationships/hyperlink" Target="https://dalil.kg/document/202445#st_327" TargetMode="External"/><Relationship Id="rIdyoskmetzelsyllle_gai5" Type="http://schemas.openxmlformats.org/officeDocument/2006/relationships/hyperlink" Target="https://dalil.kg/document/202445#st_327" TargetMode="External"/><Relationship Id="rIdzqjxbbyioxawussazoocl" Type="http://schemas.openxmlformats.org/officeDocument/2006/relationships/hyperlink" Target="https://dalil.kg/document/202445#st_328" TargetMode="External"/><Relationship Id="rIdaz2hmummfkaqbo468kpf9" Type="http://schemas.openxmlformats.org/officeDocument/2006/relationships/hyperlink" Target="https://dalil.kg/document/202445#st_330" TargetMode="External"/><Relationship Id="rId8hciv8ev3lsalpo8n6i3t" Type="http://schemas.openxmlformats.org/officeDocument/2006/relationships/hyperlink" Target="https://dalil.kg/document/202445#st_332" TargetMode="External"/><Relationship Id="rIdc9p55bpwcewpzmw-wnk5x" Type="http://schemas.openxmlformats.org/officeDocument/2006/relationships/hyperlink" Target="https://dalil.kg/document/202445#st_331" TargetMode="External"/><Relationship Id="rIdcncciwytzk9x4zhwuqeha" Type="http://schemas.openxmlformats.org/officeDocument/2006/relationships/hyperlink" Target="https://dalil.kg/document/202445#st_327" TargetMode="External"/><Relationship Id="rIdtaplwmgv5pf8hihte7i-j" Type="http://schemas.openxmlformats.org/officeDocument/2006/relationships/hyperlink" Target="https://dalil.kg/document/202445#st_327" TargetMode="External"/><Relationship Id="rIdfiusm0vgmhtb7nkwlvyzy" Type="http://schemas.openxmlformats.org/officeDocument/2006/relationships/hyperlink" Target="https://dalil.kg/document/202445#st_327" TargetMode="External"/><Relationship Id="rIdu4a-2o7287pflqrxoeffv" Type="http://schemas.openxmlformats.org/officeDocument/2006/relationships/hyperlink" Target="https://dalil.kg/document/202445#st_327" TargetMode="External"/><Relationship Id="rIdawascwgxlu8gesgynjyc5" Type="http://schemas.openxmlformats.org/officeDocument/2006/relationships/hyperlink" Target="https://dalil.kg/document/202445#st_330" TargetMode="External"/><Relationship Id="rIdgujgqgxavdqhnts3dpcs3" Type="http://schemas.openxmlformats.org/officeDocument/2006/relationships/hyperlink" Target="https://dalil.kg/document/202445#st_330" TargetMode="External"/><Relationship Id="rIdazdypgsv5zj9twaajyjov" Type="http://schemas.openxmlformats.org/officeDocument/2006/relationships/hyperlink" Target="https://dalil.kg/document/202445#st_332" TargetMode="External"/><Relationship Id="rIduol7-gnepr7owx6ctwqrt" Type="http://schemas.openxmlformats.org/officeDocument/2006/relationships/hyperlink" Target="https://dalil.kg/document/202445#st_328" TargetMode="External"/><Relationship Id="rIdciwv_r1j9iz_mt5wrwrey" Type="http://schemas.openxmlformats.org/officeDocument/2006/relationships/hyperlink" Target="https://dalil.kg/document/202445#st_328" TargetMode="External"/><Relationship Id="rIdzn-sncpt4ovqcfpubxgz5" Type="http://schemas.openxmlformats.org/officeDocument/2006/relationships/hyperlink" Target="https://dalil.kg/document/202445#st_328" TargetMode="External"/><Relationship Id="rIdgrc92kwtlc8h6odaor3ty" Type="http://schemas.openxmlformats.org/officeDocument/2006/relationships/hyperlink" Target="https://dalil.kg/document/202445#st_330" TargetMode="External"/><Relationship Id="rIdinr-eu02mya9-rekiwm1p" Type="http://schemas.openxmlformats.org/officeDocument/2006/relationships/hyperlink" Target="https://dalil.kg/document/202445#st_328" TargetMode="External"/><Relationship Id="rIdeg0_6g65br8kjti9xwmgi" Type="http://schemas.openxmlformats.org/officeDocument/2006/relationships/hyperlink" Target="https://dalil.kg/document/202445#st_328" TargetMode="External"/><Relationship Id="rIdkhyq0xr2i5q2beh48w3nm" Type="http://schemas.openxmlformats.org/officeDocument/2006/relationships/hyperlink" Target="https://dalil.kg/document/202445#st_330" TargetMode="External"/><Relationship Id="rId1p4nzojc5avrn1cozjsc2" Type="http://schemas.openxmlformats.org/officeDocument/2006/relationships/hyperlink" Target="https://dalil.kg/document/91058" TargetMode="External"/><Relationship Id="rIdzry2eajycf2yacawtwp1d" Type="http://schemas.openxmlformats.org/officeDocument/2006/relationships/hyperlink" Target="https://dalil.kg/document/92118" TargetMode="External"/><Relationship Id="rIda9obpm7necsdcdcnpvuln" Type="http://schemas.openxmlformats.org/officeDocument/2006/relationships/hyperlink" Target="https://dalil.kg/document/202445#st_328" TargetMode="External"/><Relationship Id="rIdsoz0e_v2fcqrevlfslmkt" Type="http://schemas.openxmlformats.org/officeDocument/2006/relationships/hyperlink" Target="https://dalil.kg/document/202445#st_330" TargetMode="External"/><Relationship Id="rId9nyemfje7gwdeqclb7x1y" Type="http://schemas.openxmlformats.org/officeDocument/2006/relationships/hyperlink" Target="https://dalil.kg/document/202445#st_328" TargetMode="External"/><Relationship Id="rId9p59qufchiy8tdh7k7dt7" Type="http://schemas.openxmlformats.org/officeDocument/2006/relationships/hyperlink" Target="https://dalil.kg/document/202445#st_330" TargetMode="External"/><Relationship Id="rIdvgrbunvyrhl_tm3ijphqw" Type="http://schemas.openxmlformats.org/officeDocument/2006/relationships/hyperlink" Target="https://dalil.kg/document/202445#st_328" TargetMode="External"/><Relationship Id="rIdjuvgqsqo3g2vn_t4kcpei" Type="http://schemas.openxmlformats.org/officeDocument/2006/relationships/hyperlink" Target="https://dalil.kg/document/202445#st_325" TargetMode="External"/><Relationship Id="rIduukpzf8qip1u0bhzc2dmf" Type="http://schemas.openxmlformats.org/officeDocument/2006/relationships/hyperlink" Target="https://dalil.kg/document/202445#st_328" TargetMode="External"/><Relationship Id="rIdls9ezntboa1lvxolm3ik_" Type="http://schemas.openxmlformats.org/officeDocument/2006/relationships/hyperlink" Target="https://dalil.kg/document/202445#st_330" TargetMode="External"/><Relationship Id="rIdfzyqynxiqvea0m9i1xypz" Type="http://schemas.openxmlformats.org/officeDocument/2006/relationships/hyperlink" Target="https://dalil.kg/document/91058" TargetMode="External"/><Relationship Id="rIdkx9rgez45geyz2dcmjkjr" Type="http://schemas.openxmlformats.org/officeDocument/2006/relationships/hyperlink" Target="https://dalil.kg/document/92118" TargetMode="External"/><Relationship Id="rIdgxngc9c21_rh4rj1lyxjz" Type="http://schemas.openxmlformats.org/officeDocument/2006/relationships/hyperlink" Target="https://dalil.kg/document/202445#st_328" TargetMode="External"/><Relationship Id="rIdbulonewrbkkn-byn-tbs1" Type="http://schemas.openxmlformats.org/officeDocument/2006/relationships/hyperlink" Target="https://dalil.kg/document/202445#st_330" TargetMode="External"/><Relationship Id="rIdyrx4xmocwyudrknkghg-e" Type="http://schemas.openxmlformats.org/officeDocument/2006/relationships/hyperlink" Target="https://dalil.kg/document/12799" TargetMode="External"/><Relationship Id="rIdy0_vom9fpbr0j3r-28dab" Type="http://schemas.openxmlformats.org/officeDocument/2006/relationships/hyperlink" Target="https://dalil.kg/document/12799" TargetMode="External"/><Relationship Id="rIdcshxuubsn0-pi81sar1u3" Type="http://schemas.openxmlformats.org/officeDocument/2006/relationships/hyperlink" Target="https://dalil.kg/document/12799" TargetMode="External"/><Relationship Id="rIdm9urydrcckp4b2kvr0c4e" Type="http://schemas.openxmlformats.org/officeDocument/2006/relationships/hyperlink" Target="https://dalil.kg/document/12799" TargetMode="External"/><Relationship Id="rIdnhndcdhdzn1wmjdfhkcqd" Type="http://schemas.openxmlformats.org/officeDocument/2006/relationships/hyperlink" Target="https://dalil.kg/document/12799" TargetMode="External"/><Relationship Id="rId8" Type="http://schemas.openxmlformats.org/officeDocument/2006/relationships/image" Target="media/8de64316e95979c063c17bcd5380dc052a2594e9.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kfybgmsd3ssax9az2bvb" Type="http://schemas.openxmlformats.org/officeDocument/2006/relationships/hyperlink" Target="https://dalil.kg/document/91059" TargetMode="External"/><Relationship Id="rIdm9qtc3dia0dcsxfcxmev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2026-09-23T16:31:00.008Z</dcterms:created>
  <dcterms:modified xsi:type="dcterms:W3CDTF">2026-09-23T16:31:00.008Z</dcterms:modified>
</cp:coreProperties>
</file>

<file path=docProps/custom.xml><?xml version="1.0" encoding="utf-8"?>
<Properties xmlns="http://schemas.openxmlformats.org/officeDocument/2006/custom-properties" xmlns:vt="http://schemas.openxmlformats.org/officeDocument/2006/docPropsVTypes"/>
</file>