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clopggvw0ftk4-tmkjpc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w:t>
      </w:r>
    </w:p>
    <w:p>
      <w:pPr>
        <w:spacing w:after="120"/>
        <w:jc w:val="center"/>
      </w:pPr>
      <w:r>
        <w:rPr>
          <w:rFonts w:ascii="Arial" w:cs="Arial" w:eastAsia="Arial" w:hAnsi="Arial"/>
          <w:i/>
          <w:iCs/>
          <w:sz w:val="24"/>
          <w:szCs w:val="24"/>
        </w:rPr>
        <w:t xml:space="preserve">от 24 июня 2022 года № 335</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19 февраля 2010 года № 112</w:t>
      </w:r>
    </w:p>
    <w:p>
      <w:pPr>
        <w:spacing w:after="120"/>
        <w:jc w:val="both"/>
      </w:pPr>
      <w:r>
        <w:rPr>
          <w:rFonts w:ascii="Arial" w:cs="Arial" w:eastAsia="Arial" w:hAnsi="Arial"/>
          <w:sz w:val="24"/>
          <w:szCs w:val="24"/>
        </w:rPr>
        <w:t xml:space="preserve">О толковании (разъяснении) постановления Правительства Кыргызской Республики от 5 ноября 2009 года № 692 «О введении защитных мер при ввозе муки пшеничной на территорию Кыргызской Республики» </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eqcg23fsq3jfrcqqqdk4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прилагаемое </w:t>
      </w:r>
      <w:hyperlink w:history="1" r:id="rIdawjdk9vgducigyqxcrzsu">
        <w:r>
          <w:rPr>
            <w:rFonts w:ascii="Arial" w:cs="Arial" w:eastAsia="Arial" w:hAnsi="Arial"/>
            <w:color w:val="1D4ED8"/>
            <w:sz w:val="24"/>
            <w:szCs w:val="24"/>
            <w:u w:val="single"/>
          </w:rPr>
          <w:t xml:space="preserve">толкование (разъяснение)</w:t>
        </w:r>
      </w:hyperlink>
      <w:r>
        <w:rPr>
          <w:rFonts w:ascii="Arial" w:cs="Arial" w:eastAsia="Arial" w:hAnsi="Arial"/>
          <w:sz w:val="24"/>
          <w:szCs w:val="24"/>
        </w:rPr>
        <w:t xml:space="preserve"> </w:t>
      </w:r>
      <w:hyperlink w:history="1" r:id="rIdfkcgshzgx-78gxeqg5miq">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5 ноября 2009 года № 692 «О введении защитных мер при ввозе муки пшеничной на территорию Кыргызской Республики».</w:t>
      </w:r>
    </w:p>
    <w:p>
      <w:pPr>
        <w:spacing w:after="120"/>
        <w:jc w:val="both"/>
      </w:pPr>
      <w:r>
        <w:rPr>
          <w:rFonts w:ascii="Arial" w:cs="Arial" w:eastAsia="Arial" w:hAnsi="Arial"/>
          <w:sz w:val="24"/>
          <w:szCs w:val="24"/>
        </w:rPr>
        <w:t xml:space="preserve">2. Направить настоящее постановление соответствующим государственным органам Кыргызской Республики для использования в работе.</w:t>
      </w:r>
    </w:p>
    <w:p>
      <w:pPr>
        <w:spacing w:after="120"/>
        <w:jc w:val="both"/>
      </w:pPr>
      <w:r>
        <w:rPr>
          <w:rFonts w:ascii="Arial" w:cs="Arial" w:eastAsia="Arial" w:hAnsi="Arial"/>
          <w:sz w:val="24"/>
          <w:szCs w:val="24"/>
        </w:rPr>
        <w:t xml:space="preserve">3. Опубликовать настоящее постановление в средствах массовой информации.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 Усенов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w:t>
      </w:r>
      <w:hyperlink w:history="1" r:id="rIdlj7tyl7vz2efqxkkhnnt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февраля 2010 года № 112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Толкование (разъяснение) 
 постановления Правительства Кыргызской Республики от 5 ноября 2009 года № 692 «О введении защитных мер при ввозе муки пшеничной на территорию Кыргызской Республики»</w:t>
      </w:r>
    </w:p>
    <w:p>
      <w:pPr>
        <w:spacing w:after="120"/>
        <w:jc w:val="both"/>
      </w:pPr>
      <w:r>
        <w:rPr>
          <w:rFonts w:ascii="Arial" w:cs="Arial" w:eastAsia="Arial" w:hAnsi="Arial"/>
          <w:sz w:val="24"/>
          <w:szCs w:val="24"/>
        </w:rPr>
        <w:t xml:space="preserve"/>
      </w:r>
    </w:p>
    <w:p>
      <w:pPr>
        <w:spacing w:after="120"/>
        <w:jc w:val="both"/>
      </w:pPr>
      <w:hyperlink w:history="1" r:id="rId8notqyfz-d3nez4itg2o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ноября 2009 года № 692 «О введении защитных мер при ввозе муки пшеничной на территорию Кыргызской Республики» сроком на один год введены защитные меры в виде пошлин на импорт муки из твердых и мягких сортов пшеницы (коды ТНВЭД ЕврАзЭС 1101 00 110 0, 1101 00 150 0) в размере 3 сомов за 1 кг.</w:t>
      </w:r>
    </w:p>
    <w:p>
      <w:pPr>
        <w:spacing w:after="120"/>
        <w:jc w:val="both"/>
      </w:pPr>
      <w:r>
        <w:rPr>
          <w:rFonts w:ascii="Arial" w:cs="Arial" w:eastAsia="Arial" w:hAnsi="Arial"/>
          <w:sz w:val="24"/>
          <w:szCs w:val="24"/>
        </w:rPr>
        <w:t xml:space="preserve">В соответствии с пунктом 4 указанное постановление Правительства Кыргызской Республики вступило в силу с 10 ноября 2009 года.</w:t>
      </w:r>
    </w:p>
    <w:p>
      <w:pPr>
        <w:spacing w:after="120"/>
        <w:jc w:val="both"/>
      </w:pPr>
      <w:r>
        <w:rPr>
          <w:rFonts w:ascii="Arial" w:cs="Arial" w:eastAsia="Arial" w:hAnsi="Arial"/>
          <w:sz w:val="24"/>
          <w:szCs w:val="24"/>
        </w:rPr>
        <w:t xml:space="preserve">Соответственно, с этой даты и в течение года при импорте муки из твердых и мягких сортов пшеницы, классифицируемой кодами ТНВЭД ЕврАзЭС 1101 00 110 0, 1101 00 150 0 взимается пошлина в размере 3 сом за 1 кг.</w:t>
      </w:r>
    </w:p>
    <w:p>
      <w:pPr>
        <w:spacing w:after="120"/>
        <w:jc w:val="both"/>
      </w:pPr>
      <w:r>
        <w:rPr>
          <w:rFonts w:ascii="Arial" w:cs="Arial" w:eastAsia="Arial" w:hAnsi="Arial"/>
          <w:sz w:val="24"/>
          <w:szCs w:val="24"/>
        </w:rPr>
        <w:t xml:space="preserve">В соответствии с </w:t>
      </w:r>
      <w:r>
        <w:rPr>
          <w:rFonts w:ascii="Arial" w:cs="Arial" w:eastAsia="Arial" w:hAnsi="Arial"/>
          <w:sz w:val="24"/>
          <w:szCs w:val="24"/>
        </w:rPr>
        <w:t xml:space="preserve">пунктом 5 статьи 31</w:t>
      </w:r>
      <w:r>
        <w:rPr>
          <w:rFonts w:ascii="Arial" w:cs="Arial" w:eastAsia="Arial" w:hAnsi="Arial"/>
          <w:sz w:val="24"/>
          <w:szCs w:val="24"/>
        </w:rPr>
        <w:t xml:space="preserve"> </w:t>
      </w:r>
      <w:hyperlink w:history="1" r:id="rIdoevhewlvtncjle2kw6vh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нормы, содержащиеся в нормативных правовых актах, должны толковаться в соответствии с </w:t>
      </w:r>
      <w:hyperlink w:history="1" r:id="rId0bxtbyopjdq-eeyipgz6i">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конституционными законами, кодексами и законами.</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статьями 87</w:t>
      </w:r>
      <w:r>
        <w:rPr>
          <w:rFonts w:ascii="Arial" w:cs="Arial" w:eastAsia="Arial" w:hAnsi="Arial"/>
          <w:sz w:val="24"/>
          <w:szCs w:val="24"/>
        </w:rPr>
        <w:t xml:space="preserve"> и </w:t>
      </w:r>
      <w:r>
        <w:rPr>
          <w:rFonts w:ascii="Arial" w:cs="Arial" w:eastAsia="Arial" w:hAnsi="Arial"/>
          <w:sz w:val="24"/>
          <w:szCs w:val="24"/>
        </w:rPr>
        <w:t xml:space="preserve">88</w:t>
      </w:r>
      <w:r>
        <w:rPr>
          <w:rFonts w:ascii="Arial" w:cs="Arial" w:eastAsia="Arial" w:hAnsi="Arial"/>
          <w:sz w:val="24"/>
          <w:szCs w:val="24"/>
        </w:rPr>
        <w:t xml:space="preserve"> Таможенного </w:t>
      </w:r>
      <w:hyperlink w:history="1" r:id="rIdvvy82zcgvi7nzp3f67zi2">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таможенный режим выпуска для свободного обращения предусматривает уплату в отношении товаров таможенных пошлин, налогов и иных таможенных платежей, а также соблюдение нетарифных мер регулирования в соответствии с законодательством Кыргызской Республики о государственном регулировании внешнеторговой деятельности.</w:t>
      </w:r>
    </w:p>
    <w:p>
      <w:pPr>
        <w:spacing w:after="120"/>
        <w:jc w:val="both"/>
      </w:pPr>
      <w:r>
        <w:rPr>
          <w:rFonts w:ascii="Arial" w:cs="Arial" w:eastAsia="Arial" w:hAnsi="Arial"/>
          <w:sz w:val="24"/>
          <w:szCs w:val="24"/>
        </w:rPr>
        <w:t xml:space="preserve">Статьей 3</w:t>
      </w:r>
      <w:r>
        <w:rPr>
          <w:rFonts w:ascii="Arial" w:cs="Arial" w:eastAsia="Arial" w:hAnsi="Arial"/>
          <w:sz w:val="24"/>
          <w:szCs w:val="24"/>
        </w:rPr>
        <w:t xml:space="preserve"> Гражданского </w:t>
      </w:r>
      <w:hyperlink w:history="1" r:id="rId8bdw1mobwi6dj2btxgtf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w:t>
      </w:r>
      <w:r>
        <w:rPr>
          <w:rFonts w:ascii="Arial" w:cs="Arial" w:eastAsia="Arial" w:hAnsi="Arial"/>
          <w:sz w:val="24"/>
          <w:szCs w:val="24"/>
        </w:rPr>
        <w:t xml:space="preserve">пунктом 5 статьи 9</w:t>
      </w:r>
      <w:r>
        <w:rPr>
          <w:rFonts w:ascii="Arial" w:cs="Arial" w:eastAsia="Arial" w:hAnsi="Arial"/>
          <w:sz w:val="24"/>
          <w:szCs w:val="24"/>
        </w:rPr>
        <w:t xml:space="preserve"> </w:t>
      </w:r>
      <w:hyperlink w:history="1" r:id="rIdeupscbwcsvkat1omym5g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предусматривается, что акты гражданского законодательства не имеют обратной силы и применяются к отношениям, возникшим после введения их в действие. Действие нормативного правового акта распространяется на отношения, возникшие до введения его в действие, только в случаях, когда это прямо предусмотрено самим актом.</w:t>
      </w:r>
    </w:p>
    <w:p>
      <w:pPr>
        <w:spacing w:after="120"/>
        <w:jc w:val="both"/>
      </w:pPr>
      <w:r>
        <w:rPr>
          <w:rFonts w:ascii="Arial" w:cs="Arial" w:eastAsia="Arial" w:hAnsi="Arial"/>
          <w:sz w:val="24"/>
          <w:szCs w:val="24"/>
        </w:rPr>
        <w:t xml:space="preserve">По отношениям, возникшим до введения в действие акта гражданского законодательства, он применяется к правам и обязанностям, возникшим после введения его в действие, за исключением отношений сторон по договору, заключенному до введения в действие акта гражданского законодательства. Если после заключения договора принят закон, устанавливающий обязательные для сторон правила, иные, чем те, которые действовали при заключении договора, условия заключенного договора сохраняют силу, кроме случаев, когда в законе установлено, что его действие распространяется на отношения, возникшие из ранее заключенных договоров.</w:t>
      </w:r>
    </w:p>
    <w:p>
      <w:pPr>
        <w:spacing w:after="120"/>
        <w:jc w:val="both"/>
      </w:pPr>
      <w:r>
        <w:rPr>
          <w:rFonts w:ascii="Arial" w:cs="Arial" w:eastAsia="Arial" w:hAnsi="Arial"/>
          <w:sz w:val="24"/>
          <w:szCs w:val="24"/>
        </w:rPr>
        <w:t xml:space="preserve">На основании изложенного, действие </w:t>
      </w:r>
      <w:hyperlink w:history="1" r:id="rIdkvjuhbxq0po7u0ztmgpqq">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5 ноября 2009 года № 692 «О введении защитных мер при ввозе муки пшеничной на территорию Кыргызской Республики» не распространяется на гражданские правоотношения, возникшие до его вступления в силу, то есть в отношении импорта муки твердых и мягких сортов пшеницы, классифицируемой кодами ТНВЭД ЕврАзЭС 1101 00 110 0, 1101 00 150 0:</w:t>
      </w:r>
    </w:p>
    <w:p>
      <w:pPr>
        <w:spacing w:after="120"/>
        <w:jc w:val="both"/>
      </w:pPr>
      <w:r>
        <w:rPr>
          <w:rFonts w:ascii="Arial" w:cs="Arial" w:eastAsia="Arial" w:hAnsi="Arial"/>
          <w:sz w:val="24"/>
          <w:szCs w:val="24"/>
        </w:rPr>
        <w:t xml:space="preserve">- перемещенной через государственную границу Кыргызской Республики до 10 ноября 2009 года (включительно);</w:t>
      </w:r>
    </w:p>
    <w:p>
      <w:pPr>
        <w:spacing w:after="120"/>
        <w:jc w:val="both"/>
      </w:pPr>
      <w:r>
        <w:rPr>
          <w:rFonts w:ascii="Arial" w:cs="Arial" w:eastAsia="Arial" w:hAnsi="Arial"/>
          <w:sz w:val="24"/>
          <w:szCs w:val="24"/>
        </w:rPr>
        <w:t xml:space="preserve">- отгруженной до 10 ноября 2009 года (включительно) и находящейся в пути;</w:t>
      </w:r>
    </w:p>
    <w:p>
      <w:pPr>
        <w:spacing w:after="120"/>
        <w:jc w:val="both"/>
      </w:pPr>
      <w:r>
        <w:rPr>
          <w:rFonts w:ascii="Arial" w:cs="Arial" w:eastAsia="Arial" w:hAnsi="Arial"/>
          <w:sz w:val="24"/>
          <w:szCs w:val="24"/>
        </w:rPr>
        <w:t xml:space="preserve">- оплаченной и/или оплаченной ее доставки до 10 ноября 2009 года, по контрактам, заключенным до 10 ноября 2009 года.</w:t>
      </w:r>
    </w:p>
    <w:p>
      <w:pPr>
        <w:spacing w:after="120"/>
        <w:jc w:val="left"/>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lopggvw0ftk4-tmkjpcz" Type="http://schemas.openxmlformats.org/officeDocument/2006/relationships/hyperlink" Target="http://kodeks.duckdns.org/document/159262" TargetMode="External"/><Relationship Id="rIdeqcg23fsq3jfrcqqqdk4n" Type="http://schemas.openxmlformats.org/officeDocument/2006/relationships/hyperlink" Target="http://kodeks.duckdns.org/document/202591" TargetMode="External"/><Relationship Id="rIdawjdk9vgducigyqxcrzsu" Type="http://schemas.openxmlformats.org/officeDocument/2006/relationships/hyperlink" Target="http://kodeks.duckdns.org/document/92066#p1" TargetMode="External"/><Relationship Id="rIdfkcgshzgx-78gxeqg5miq" Type="http://schemas.openxmlformats.org/officeDocument/2006/relationships/hyperlink" Target="http://kodeks.duckdns.org/document/90330" TargetMode="External"/><Relationship Id="rIdlj7tyl7vz2efqxkkhnntl" Type="http://schemas.openxmlformats.org/officeDocument/2006/relationships/hyperlink" Target="http://kodeks.duckdns.org/document/92066" TargetMode="External"/><Relationship Id="rId8notqyfz-d3nez4itg2od" Type="http://schemas.openxmlformats.org/officeDocument/2006/relationships/hyperlink" Target="http://kodeks.duckdns.org/document/90330" TargetMode="External"/><Relationship Id="rIdoevhewlvtncjle2kw6vhx" Type="http://schemas.openxmlformats.org/officeDocument/2006/relationships/hyperlink" Target="http://kodeks.duckdns.org/document/202591" TargetMode="External"/><Relationship Id="rId0bxtbyopjdq-eeyipgz6i" Type="http://schemas.openxmlformats.org/officeDocument/2006/relationships/hyperlink" Target="http://kodeks.duckdns.org/document/1" TargetMode="External"/><Relationship Id="rIdvvy82zcgvi7nzp3f67zi2" Type="http://schemas.openxmlformats.org/officeDocument/2006/relationships/hyperlink" Target="http://kodeks.duckdns.org/document/1587" TargetMode="External"/><Relationship Id="rId8bdw1mobwi6dj2btxgtfs" Type="http://schemas.openxmlformats.org/officeDocument/2006/relationships/hyperlink" Target="http://kodeks.duckdns.org/document/4" TargetMode="External"/><Relationship Id="rIdeupscbwcsvkat1omym5g2" Type="http://schemas.openxmlformats.org/officeDocument/2006/relationships/hyperlink" Target="http://kodeks.duckdns.org/document/202591" TargetMode="External"/><Relationship Id="rIdkvjuhbxq0po7u0ztmgpqq" Type="http://schemas.openxmlformats.org/officeDocument/2006/relationships/hyperlink" Target="http://kodeks.duckdns.org/document/90330" TargetMode="External"/><Relationship Id="rId7" Type="http://schemas.openxmlformats.org/officeDocument/2006/relationships/image" Target="media/93bec1c1538034512fe33c1434ae0ea86b639d33.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2026-09-23T05:38:09.214Z</dcterms:created>
  <dcterms:modified xsi:type="dcterms:W3CDTF">2026-09-23T05:38:09.214Z</dcterms:modified>
</cp:coreProperties>
</file>

<file path=docProps/custom.xml><?xml version="1.0" encoding="utf-8"?>
<Properties xmlns="http://schemas.openxmlformats.org/officeDocument/2006/custom-properties" xmlns:vt="http://schemas.openxmlformats.org/officeDocument/2006/docPropsVTypes"/>
</file>