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26 февраля 2010 года № 113</w:t>
      </w:r>
    </w:p>
    <w:p>
      <w:pPr>
        <w:spacing w:after="480" w:before="200"/>
        <w:jc w:val="center"/>
      </w:pPr>
      <w:r>
        <w:rPr>
          <w:rFonts w:ascii="Arial" w:cs="Arial" w:eastAsia="Arial" w:hAnsi="Arial"/>
          <w:b/>
          <w:bCs/>
          <w:sz w:val="28"/>
          <w:szCs w:val="28"/>
        </w:rPr>
        <w:t xml:space="preserve">Об утверждении страховых тарифов и размеров страховых сумм (лимиты ответственности) обязательного страхования гражданской ответственности</w:t>
      </w:r>
    </w:p>
    <w:p>
      <w:pPr>
        <w:spacing w:after="480"/>
        <w:jc w:val="center"/>
      </w:pPr>
      <w:r>
        <w:rPr>
          <w:rFonts w:ascii="Arial" w:cs="Arial" w:eastAsia="Arial" w:hAnsi="Arial"/>
          <w:i/>
          <w:iCs/>
          <w:sz w:val="24"/>
          <w:szCs w:val="24"/>
        </w:rPr>
        <w:t xml:space="preserve">(В редакции постановлений Правительства КР от </w:t>
      </w:r>
      <w:hyperlink w:history="1" r:id="rId6j2b0ta2fg-pcjqcyhfzg">
        <w:r>
          <w:rPr>
            <w:rFonts w:ascii="Arial" w:cs="Arial" w:eastAsia="Arial" w:hAnsi="Arial"/>
            <w:i/>
            <w:iCs/>
            <w:color w:val="1D4ED8"/>
            <w:sz w:val="24"/>
            <w:szCs w:val="24"/>
            <w:u w:val="single"/>
          </w:rPr>
          <w:t xml:space="preserve">30 марта 2015 года № 171</w:t>
        </w:r>
      </w:hyperlink>
      <w:r>
        <w:rPr>
          <w:rFonts w:ascii="Arial" w:cs="Arial" w:eastAsia="Arial" w:hAnsi="Arial"/>
          <w:i/>
          <w:iCs/>
          <w:sz w:val="24"/>
          <w:szCs w:val="24"/>
        </w:rPr>
        <w:t xml:space="preserve">, </w:t>
      </w:r>
      <w:hyperlink w:history="1" r:id="rIdtf7ej0v_u19f5egpc1v7e">
        <w:r>
          <w:rPr>
            <w:rFonts w:ascii="Arial" w:cs="Arial" w:eastAsia="Arial" w:hAnsi="Arial"/>
            <w:i/>
            <w:iCs/>
            <w:color w:val="1D4ED8"/>
            <w:sz w:val="24"/>
            <w:szCs w:val="24"/>
            <w:u w:val="single"/>
          </w:rPr>
          <w:t xml:space="preserve">18 января 2016 года № 16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ji876sax6z4w188_p4ktz">
        <w:r>
          <w:rPr>
            <w:rFonts w:ascii="Arial" w:cs="Arial" w:eastAsia="Arial" w:hAnsi="Arial"/>
            <w:i/>
            <w:iCs/>
            <w:color w:val="1D4ED8"/>
            <w:sz w:val="24"/>
            <w:szCs w:val="24"/>
            <w:u w:val="single"/>
          </w:rPr>
          <w:t xml:space="preserve">8 апреля 2022 года № 200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z9pnxr46bjto7krkflrix">
        <w:r>
          <w:rPr>
            <w:rFonts w:ascii="Arial" w:cs="Arial" w:eastAsia="Arial" w:hAnsi="Arial"/>
            <w:color w:val="1D4ED8"/>
            <w:sz w:val="24"/>
            <w:szCs w:val="24"/>
            <w:u w:val="single"/>
          </w:rPr>
          <w:t xml:space="preserve">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w:t>
        </w:r>
      </w:hyperlink>
      <w:r>
        <w:rPr>
          <w:rFonts w:ascii="Arial" w:cs="Arial" w:eastAsia="Arial" w:hAnsi="Arial"/>
          <w:sz w:val="24"/>
          <w:szCs w:val="24"/>
        </w:rPr>
        <w:t xml:space="preserve">», </w:t>
      </w:r>
      <w:hyperlink w:history="1" r:id="rIdhyjkvv9qqvbe3ytkdijzs">
        <w:r>
          <w:rPr>
            <w:rFonts w:ascii="Arial" w:cs="Arial" w:eastAsia="Arial" w:hAnsi="Arial"/>
            <w:color w:val="1D4ED8"/>
            <w:sz w:val="24"/>
            <w:szCs w:val="24"/>
            <w:u w:val="single"/>
          </w:rPr>
          <w:t xml:space="preserve">«Об обязательном страховании гражданской ответственности перевозчика опасных грузов</w:t>
        </w:r>
      </w:hyperlink>
      <w:r>
        <w:rPr>
          <w:rFonts w:ascii="Arial" w:cs="Arial" w:eastAsia="Arial" w:hAnsi="Arial"/>
          <w:sz w:val="24"/>
          <w:szCs w:val="24"/>
        </w:rPr>
        <w:t xml:space="preserve">», «</w:t>
      </w:r>
      <w:hyperlink w:history="1" r:id="rIdgutzg7zpgoz_tldylgnrz">
        <w:r>
          <w:rPr>
            <w:rFonts w:ascii="Arial" w:cs="Arial" w:eastAsia="Arial" w:hAnsi="Arial"/>
            <w:color w:val="1D4ED8"/>
            <w:sz w:val="24"/>
            <w:szCs w:val="24"/>
            <w:u w:val="single"/>
          </w:rPr>
          <w:t xml:space="preserve">Об обязательном страховании гражданской ответственности организаций, эксплуатирующих опасные производственные объекты</w:t>
        </w:r>
      </w:hyperlink>
      <w:r>
        <w:rPr>
          <w:rFonts w:ascii="Arial" w:cs="Arial" w:eastAsia="Arial" w:hAnsi="Arial"/>
          <w:sz w:val="24"/>
          <w:szCs w:val="24"/>
        </w:rPr>
        <w:t xml:space="preserve">», «</w:t>
      </w:r>
      <w:hyperlink w:history="1" r:id="rIdeutu3xq43dqzvps21ck1s">
        <w:r>
          <w:rPr>
            <w:rFonts w:ascii="Arial" w:cs="Arial" w:eastAsia="Arial" w:hAnsi="Arial"/>
            <w:color w:val="1D4ED8"/>
            <w:sz w:val="24"/>
            <w:szCs w:val="24"/>
            <w:u w:val="single"/>
          </w:rPr>
          <w:t xml:space="preserve">Об обязательном страховании гражданской ответственности перевозчика перед пассажирами</w:t>
        </w:r>
      </w:hyperlink>
      <w:r>
        <w:rPr>
          <w:rFonts w:ascii="Arial" w:cs="Arial" w:eastAsia="Arial" w:hAnsi="Arial"/>
          <w:sz w:val="24"/>
          <w:szCs w:val="24"/>
        </w:rPr>
        <w:t xml:space="preserve">» Правительство Кыргызской Республики</w:t>
      </w:r>
    </w:p>
    <w:p>
      <w:pPr>
        <w:spacing w:after="240" w:before="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jtwuh5je1sow6cetywnem">
        <w:r>
          <w:rPr>
            <w:rFonts w:ascii="Arial" w:cs="Arial" w:eastAsia="Arial" w:hAnsi="Arial"/>
            <w:color w:val="1D4ED8"/>
            <w:sz w:val="24"/>
            <w:szCs w:val="24"/>
            <w:u w:val="single"/>
          </w:rPr>
          <w:t xml:space="preserve">пределы</w:t>
        </w:r>
      </w:hyperlink>
      <w:r>
        <w:rPr>
          <w:rFonts w:ascii="Arial" w:cs="Arial" w:eastAsia="Arial" w:hAnsi="Arial"/>
          <w:sz w:val="24"/>
          <w:szCs w:val="24"/>
        </w:rPr>
        <w:t xml:space="preserve"> страховых тарифов, дифференцированных по видам экономической деятельности в зависимости от класса профессионального риска и категорий персонала, по обязательному страхованию гражданской ответственности работодателя за причинение вреда жизни и здоровью работника при исполнении им трудовых (служебных) обязанностей;</w:t>
      </w:r>
    </w:p>
    <w:p>
      <w:pPr>
        <w:spacing w:after="120"/>
        <w:jc w:val="both"/>
      </w:pPr>
      <w:r>
        <w:rPr>
          <w:rFonts w:ascii="Arial" w:cs="Arial" w:eastAsia="Arial" w:hAnsi="Arial"/>
          <w:sz w:val="24"/>
          <w:szCs w:val="24"/>
        </w:rPr>
        <w:t xml:space="preserve">- </w:t>
      </w:r>
      <w:hyperlink w:history="1" r:id="rIdnieh9dlzxy5hxjzlf2nrf">
        <w:r>
          <w:rPr>
            <w:rFonts w:ascii="Arial" w:cs="Arial" w:eastAsia="Arial" w:hAnsi="Arial"/>
            <w:color w:val="1D4ED8"/>
            <w:sz w:val="24"/>
            <w:szCs w:val="24"/>
            <w:u w:val="single"/>
          </w:rPr>
          <w:t xml:space="preserve">минимальные размеры</w:t>
        </w:r>
      </w:hyperlink>
      <w:r>
        <w:rPr>
          <w:rFonts w:ascii="Arial" w:cs="Arial" w:eastAsia="Arial" w:hAnsi="Arial"/>
          <w:sz w:val="24"/>
          <w:szCs w:val="24"/>
        </w:rPr>
        <w:t xml:space="preserve"> страховой суммы и тарифы страховой премии обязательного страхования гражданской ответственности перевозчика опасных грузов;</w:t>
      </w:r>
    </w:p>
    <w:p>
      <w:pPr>
        <w:spacing w:after="120"/>
        <w:jc w:val="both"/>
      </w:pPr>
      <w:r>
        <w:rPr>
          <w:rFonts w:ascii="Arial" w:cs="Arial" w:eastAsia="Arial" w:hAnsi="Arial"/>
          <w:sz w:val="24"/>
          <w:szCs w:val="24"/>
        </w:rPr>
        <w:t xml:space="preserve">- </w:t>
      </w:r>
      <w:hyperlink w:history="1" r:id="rId7u6rhxlhc22-jq6y7ae04">
        <w:r>
          <w:rPr>
            <w:rFonts w:ascii="Arial" w:cs="Arial" w:eastAsia="Arial" w:hAnsi="Arial"/>
            <w:color w:val="1D4ED8"/>
            <w:sz w:val="24"/>
            <w:szCs w:val="24"/>
            <w:u w:val="single"/>
          </w:rPr>
          <w:t xml:space="preserve">размеры страховой суммы</w:t>
        </w:r>
      </w:hyperlink>
      <w:r>
        <w:rPr>
          <w:rFonts w:ascii="Arial" w:cs="Arial" w:eastAsia="Arial" w:hAnsi="Arial"/>
          <w:sz w:val="24"/>
          <w:szCs w:val="24"/>
        </w:rPr>
        <w:t xml:space="preserve"> (лимиты ответственности) и страховые тарифы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 </w:t>
      </w:r>
      <w:hyperlink w:history="1" r:id="rIdogdj1s02cxg2e-hvl_5vb">
        <w:r>
          <w:rPr>
            <w:rFonts w:ascii="Arial" w:cs="Arial" w:eastAsia="Arial" w:hAnsi="Arial"/>
            <w:color w:val="1D4ED8"/>
            <w:sz w:val="24"/>
            <w:szCs w:val="24"/>
            <w:u w:val="single"/>
          </w:rPr>
          <w:t xml:space="preserve">тарифы</w:t>
        </w:r>
      </w:hyperlink>
      <w:r>
        <w:rPr>
          <w:rFonts w:ascii="Arial" w:cs="Arial" w:eastAsia="Arial" w:hAnsi="Arial"/>
          <w:sz w:val="24"/>
          <w:szCs w:val="24"/>
        </w:rPr>
        <w:t xml:space="preserve"> страховой премии и лимиты ответственности обязательного страхования гражданской ответственности перевозчика перед пассажирами.</w:t>
      </w:r>
    </w:p>
    <w:p>
      <w:pPr>
        <w:spacing w:after="120"/>
        <w:jc w:val="both"/>
      </w:pPr>
      <w:r>
        <w:rPr>
          <w:rFonts w:ascii="Arial" w:cs="Arial" w:eastAsia="Arial" w:hAnsi="Arial"/>
          <w:sz w:val="24"/>
          <w:szCs w:val="24"/>
        </w:rPr>
        <w:t xml:space="preserve">- структуру тарифов по обязательному страхованию гражданской ответственности.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db8kas1plcfw4eumpm1e3">
        <w:r>
          <w:rPr>
            <w:rFonts w:ascii="Arial" w:cs="Arial" w:eastAsia="Arial" w:hAnsi="Arial"/>
            <w:i/>
            <w:iCs/>
            <w:color w:val="1D4ED8"/>
            <w:sz w:val="24"/>
            <w:szCs w:val="24"/>
            <w:u w:val="single"/>
          </w:rPr>
          <w:t xml:space="preserve">8 апреля 2022 года № 200</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2. (Утратил силу в соответствии с </w:t>
      </w:r>
      <w:hyperlink w:history="1" r:id="rId9rwlwiau9kxiubbabyhw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апреля 2022 года № 200)</w:t>
      </w:r>
    </w:p>
    <w:p>
      <w:pPr>
        <w:spacing w:after="120"/>
        <w:jc w:val="both"/>
      </w:pPr>
      <w:r>
        <w:rPr>
          <w:rFonts w:ascii="Arial" w:cs="Arial" w:eastAsia="Arial" w:hAnsi="Arial"/>
          <w:sz w:val="24"/>
          <w:szCs w:val="24"/>
        </w:rPr>
        <w:t xml:space="preserve">3. Признать утратившим силу </w:t>
      </w:r>
      <w:hyperlink w:history="1" r:id="rIdhsbc-b9n4lv6mmsqd-g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июня 2009 года № 354 «Об утверждении страховых тарифов и размеров страховых сумм (лимитов ответственности) обязательного страхования гражданской ответственности».</w:t>
      </w:r>
    </w:p>
    <w:p>
      <w:pPr>
        <w:spacing w:after="120"/>
        <w:jc w:val="both"/>
      </w:pPr>
      <w:r>
        <w:rPr>
          <w:rFonts w:ascii="Arial" w:cs="Arial" w:eastAsia="Arial" w:hAnsi="Arial"/>
          <w:sz w:val="24"/>
          <w:szCs w:val="24"/>
        </w:rPr>
        <w:t xml:space="preserve">4. Настоящее постановление вступает в силу с 1 июля 2010 года.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Опубликовать</w:t>
      </w:r>
      <w:r>
        <w:rPr>
          <w:rFonts w:ascii="Arial" w:cs="Arial" w:eastAsia="Arial" w:hAnsi="Arial"/>
          <w:sz w:val="24"/>
          <w:szCs w:val="24"/>
        </w:rPr>
        <w:t xml:space="preserve"> настоящее постановление в средствах массовой информации.</w:t>
      </w:r>
    </w:p>
    <w:p>
      <w:pPr>
        <w:spacing w:after="120"/>
        <w:jc w:val="both"/>
      </w:pPr>
      <w:r>
        <w:rPr>
          <w:rFonts w:ascii="Arial" w:cs="Arial" w:eastAsia="Arial" w:hAnsi="Arial"/>
          <w:sz w:val="24"/>
          <w:szCs w:val="24"/>
        </w:rPr>
        <w:t xml:space="preserve">6. Контроль за выполнением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r>
        <w:rPr>
          <w:rFonts w:ascii="Arial" w:cs="Arial" w:eastAsia="Arial" w:hAnsi="Arial"/>
          <w:sz w:val="24"/>
          <w:szCs w:val="24"/>
        </w:rPr>
        <w:t xml:space="preserve"> </w:t>
      </w:r>
      <w:hyperlink w:history="1" r:id="rIdhji3woz3uw58yoiy73cn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февраля 2010 года № 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Пределы</w:t>
      </w:r>
    </w:p>
    <w:p>
      <w:pPr>
        <w:spacing w:after="120"/>
        <w:jc w:val="both"/>
      </w:pPr>
      <w:r>
        <w:rPr>
          <w:rFonts w:ascii="Arial" w:cs="Arial" w:eastAsia="Arial" w:hAnsi="Arial"/>
          <w:sz w:val="24"/>
          <w:szCs w:val="24"/>
        </w:rPr>
        <w:t xml:space="preserve">страховых тарифов, дифференцированных по видам экономической деятельности в зависимости от класса профессионального риска и категорий персонала, по обязательному страхованию гражданской ответственности работодателя за причинение вреда жизни и здоровью работника при исполнении им трудовых (служебных)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Годовая страховая премия по договору равна сумме годовых страховых премий по всем категориям персонала предприятия.</w:t>
      </w:r>
    </w:p>
    <w:p>
      <w:pPr>
        <w:spacing w:after="120"/>
        <w:jc w:val="both"/>
      </w:pPr>
      <w:r>
        <w:rPr>
          <w:rFonts w:ascii="Arial" w:cs="Arial" w:eastAsia="Arial" w:hAnsi="Arial"/>
          <w:sz w:val="24"/>
          <w:szCs w:val="24"/>
        </w:rPr>
        <w:t xml:space="preserve">Годовая страховая премия по категории персонала (производственного, административно-управленческого и вспомогательного) равна произведению страхового тарифа по соответствующему классу профессионального риска на годовой фонд оплаты труда по соответствующей категории персонала, на выбранное количество годовых фондов оплаты труда и на поправочный коэффициент к страховому тарифу.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размеры</w:t>
      </w:r>
    </w:p>
    <w:p>
      <w:pPr>
        <w:spacing w:after="120"/>
        <w:jc w:val="both"/>
      </w:pPr>
      <w:r>
        <w:rPr>
          <w:rFonts w:ascii="Arial" w:cs="Arial" w:eastAsia="Arial" w:hAnsi="Arial"/>
          <w:sz w:val="24"/>
          <w:szCs w:val="24"/>
        </w:rPr>
        <w:t xml:space="preserve">страховых тарифов для производственного персонала по классам профессионального риска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Классы профессионального риска</w:t>
      </w:r>
      <w:r>
        <w:rPr>
          <w:rFonts w:ascii="Arial" w:cs="Arial" w:eastAsia="Arial" w:hAnsi="Arial"/>
          <w:sz w:val="24"/>
          <w:szCs w:val="24"/>
        </w:rPr>
        <w:t xml:space="preserve">	</w:t>
      </w:r>
      <w:r>
        <w:rPr>
          <w:rFonts w:ascii="Arial" w:cs="Arial" w:eastAsia="Arial" w:hAnsi="Arial"/>
          <w:sz w:val="24"/>
          <w:szCs w:val="24"/>
        </w:rPr>
        <w:t xml:space="preserve">Минимальные страховые тарифы, в %</w:t>
      </w:r>
    </w:p>
    <w:p>
      <w:pPr>
        <w:tabs>
          <w:tab w:val="right" w:pos="10178"/>
        </w:tabs>
        <w:spacing w:after="120"/>
      </w:pPr>
      <w:r>
        <w:rPr>
          <w:rFonts w:ascii="Arial" w:cs="Arial" w:eastAsia="Arial" w:hAnsi="Arial"/>
          <w:sz w:val="24"/>
          <w:szCs w:val="24"/>
        </w:rPr>
        <w:t xml:space="preserve">Горнодобывающая промышленность</w:t>
      </w:r>
      <w:r>
        <w:rPr>
          <w:rFonts w:ascii="Arial" w:cs="Arial" w:eastAsia="Arial" w:hAnsi="Arial"/>
          <w:sz w:val="24"/>
          <w:szCs w:val="24"/>
        </w:rPr>
        <w:t xml:space="preserve">	</w:t>
      </w:r>
      <w:r>
        <w:rPr>
          <w:rFonts w:ascii="Arial" w:cs="Arial" w:eastAsia="Arial" w:hAnsi="Arial"/>
          <w:sz w:val="24"/>
          <w:szCs w:val="24"/>
        </w:rPr>
        <w:t xml:space="preserve">0,47</w:t>
      </w:r>
    </w:p>
    <w:p>
      <w:pPr>
        <w:tabs>
          <w:tab w:val="right" w:pos="10178"/>
        </w:tabs>
        <w:spacing w:after="120"/>
      </w:pPr>
      <w:r>
        <w:rPr>
          <w:rFonts w:ascii="Arial" w:cs="Arial" w:eastAsia="Arial" w:hAnsi="Arial"/>
          <w:sz w:val="24"/>
          <w:szCs w:val="24"/>
        </w:rPr>
        <w:t xml:space="preserve">Гостиницы и рестораны</w:t>
      </w:r>
      <w:r>
        <w:rPr>
          <w:rFonts w:ascii="Arial" w:cs="Arial" w:eastAsia="Arial" w:hAnsi="Arial"/>
          <w:sz w:val="24"/>
          <w:szCs w:val="24"/>
        </w:rPr>
        <w:t xml:space="preserve">	</w:t>
      </w:r>
      <w:r>
        <w:rPr>
          <w:rFonts w:ascii="Arial" w:cs="Arial" w:eastAsia="Arial" w:hAnsi="Arial"/>
          <w:sz w:val="24"/>
          <w:szCs w:val="24"/>
        </w:rPr>
        <w:t xml:space="preserve">0,12</w:t>
      </w:r>
    </w:p>
    <w:p>
      <w:pPr>
        <w:tabs>
          <w:tab w:val="right" w:pos="10178"/>
        </w:tabs>
        <w:spacing w:after="120"/>
      </w:pPr>
      <w:r>
        <w:rPr>
          <w:rFonts w:ascii="Arial" w:cs="Arial" w:eastAsia="Arial" w:hAnsi="Arial"/>
          <w:sz w:val="24"/>
          <w:szCs w:val="24"/>
        </w:rPr>
        <w:t xml:space="preserve">Здравоохранение и предоставление социальных услуг</w:t>
      </w:r>
      <w:r>
        <w:rPr>
          <w:rFonts w:ascii="Arial" w:cs="Arial" w:eastAsia="Arial" w:hAnsi="Arial"/>
          <w:sz w:val="24"/>
          <w:szCs w:val="24"/>
        </w:rPr>
        <w:t xml:space="preserve">	</w:t>
      </w:r>
      <w:r>
        <w:rPr>
          <w:rFonts w:ascii="Arial" w:cs="Arial" w:eastAsia="Arial" w:hAnsi="Arial"/>
          <w:sz w:val="24"/>
          <w:szCs w:val="24"/>
        </w:rPr>
        <w:t xml:space="preserve">0,07</w:t>
      </w:r>
    </w:p>
    <w:p>
      <w:pPr>
        <w:tabs>
          <w:tab w:val="right" w:pos="10178"/>
        </w:tabs>
        <w:spacing w:after="120"/>
      </w:pPr>
      <w:r>
        <w:rPr>
          <w:rFonts w:ascii="Arial" w:cs="Arial" w:eastAsia="Arial" w:hAnsi="Arial"/>
          <w:sz w:val="24"/>
          <w:szCs w:val="24"/>
        </w:rPr>
        <w:t xml:space="preserve">Обрабатывающая промышленность</w:t>
      </w:r>
      <w:r>
        <w:rPr>
          <w:rFonts w:ascii="Arial" w:cs="Arial" w:eastAsia="Arial" w:hAnsi="Arial"/>
          <w:sz w:val="24"/>
          <w:szCs w:val="24"/>
        </w:rPr>
        <w:t xml:space="preserve">	</w:t>
      </w:r>
      <w:r>
        <w:rPr>
          <w:rFonts w:ascii="Arial" w:cs="Arial" w:eastAsia="Arial" w:hAnsi="Arial"/>
          <w:sz w:val="24"/>
          <w:szCs w:val="24"/>
        </w:rPr>
        <w:t xml:space="preserve">0,19</w:t>
      </w:r>
    </w:p>
    <w:p>
      <w:pPr>
        <w:tabs>
          <w:tab w:val="right" w:pos="10178"/>
        </w:tabs>
        <w:spacing w:after="120"/>
      </w:pPr>
      <w:r>
        <w:rPr>
          <w:rFonts w:ascii="Arial" w:cs="Arial" w:eastAsia="Arial" w:hAnsi="Arial"/>
          <w:sz w:val="24"/>
          <w:szCs w:val="24"/>
        </w:rPr>
        <w:t xml:space="preserve">Образование</w:t>
      </w:r>
      <w:r>
        <w:rPr>
          <w:rFonts w:ascii="Arial" w:cs="Arial" w:eastAsia="Arial" w:hAnsi="Arial"/>
          <w:sz w:val="24"/>
          <w:szCs w:val="24"/>
        </w:rPr>
        <w:t xml:space="preserve">	</w:t>
      </w:r>
      <w:r>
        <w:rPr>
          <w:rFonts w:ascii="Arial" w:cs="Arial" w:eastAsia="Arial" w:hAnsi="Arial"/>
          <w:sz w:val="24"/>
          <w:szCs w:val="24"/>
        </w:rPr>
        <w:t xml:space="preserve">0,02</w:t>
      </w:r>
    </w:p>
    <w:p>
      <w:pPr>
        <w:tabs>
          <w:tab w:val="right" w:pos="10178"/>
        </w:tabs>
        <w:spacing w:after="120"/>
      </w:pPr>
      <w:r>
        <w:rPr>
          <w:rFonts w:ascii="Arial" w:cs="Arial" w:eastAsia="Arial" w:hAnsi="Arial"/>
          <w:sz w:val="24"/>
          <w:szCs w:val="24"/>
        </w:rPr>
        <w:t xml:space="preserve">Операции с недвижимым имуществом, аренда и предоставление услуг потребителям</w:t>
      </w:r>
      <w:r>
        <w:rPr>
          <w:rFonts w:ascii="Arial" w:cs="Arial" w:eastAsia="Arial" w:hAnsi="Arial"/>
          <w:sz w:val="24"/>
          <w:szCs w:val="24"/>
        </w:rPr>
        <w:t xml:space="preserve">	</w:t>
      </w:r>
      <w:r>
        <w:rPr>
          <w:rFonts w:ascii="Arial" w:cs="Arial" w:eastAsia="Arial" w:hAnsi="Arial"/>
          <w:sz w:val="24"/>
          <w:szCs w:val="24"/>
        </w:rPr>
        <w:t xml:space="preserve">0,07</w:t>
      </w:r>
    </w:p>
    <w:p>
      <w:pPr>
        <w:tabs>
          <w:tab w:val="right" w:pos="10178"/>
        </w:tabs>
        <w:spacing w:after="120"/>
      </w:pPr>
      <w:r>
        <w:rPr>
          <w:rFonts w:ascii="Arial" w:cs="Arial" w:eastAsia="Arial" w:hAnsi="Arial"/>
          <w:sz w:val="24"/>
          <w:szCs w:val="24"/>
        </w:rPr>
        <w:t xml:space="preserve">Предоставление коммунальных, социальных и персональных услуг</w:t>
      </w:r>
      <w:r>
        <w:rPr>
          <w:rFonts w:ascii="Arial" w:cs="Arial" w:eastAsia="Arial" w:hAnsi="Arial"/>
          <w:sz w:val="24"/>
          <w:szCs w:val="24"/>
        </w:rPr>
        <w:t xml:space="preserve">	</w:t>
      </w:r>
      <w:r>
        <w:rPr>
          <w:rFonts w:ascii="Arial" w:cs="Arial" w:eastAsia="Arial" w:hAnsi="Arial"/>
          <w:sz w:val="24"/>
          <w:szCs w:val="24"/>
        </w:rPr>
        <w:t xml:space="preserve">0,08</w:t>
      </w:r>
    </w:p>
    <w:p>
      <w:pPr>
        <w:tabs>
          <w:tab w:val="right" w:pos="10178"/>
        </w:tabs>
        <w:spacing w:after="120"/>
      </w:pPr>
      <w:r>
        <w:rPr>
          <w:rFonts w:ascii="Arial" w:cs="Arial" w:eastAsia="Arial" w:hAnsi="Arial"/>
          <w:sz w:val="24"/>
          <w:szCs w:val="24"/>
        </w:rPr>
        <w:t xml:space="preserve">Производство электроэнергии, газа и воды</w:t>
      </w:r>
      <w:r>
        <w:rPr>
          <w:rFonts w:ascii="Arial" w:cs="Arial" w:eastAsia="Arial" w:hAnsi="Arial"/>
          <w:sz w:val="24"/>
          <w:szCs w:val="24"/>
        </w:rPr>
        <w:t xml:space="preserve">	</w:t>
      </w:r>
      <w:r>
        <w:rPr>
          <w:rFonts w:ascii="Arial" w:cs="Arial" w:eastAsia="Arial" w:hAnsi="Arial"/>
          <w:sz w:val="24"/>
          <w:szCs w:val="24"/>
        </w:rPr>
        <w:t xml:space="preserve">0,15</w:t>
      </w:r>
    </w:p>
    <w:p>
      <w:pPr>
        <w:tabs>
          <w:tab w:val="right" w:pos="10178"/>
        </w:tabs>
        <w:spacing w:after="120"/>
      </w:pPr>
      <w:r>
        <w:rPr>
          <w:rFonts w:ascii="Arial" w:cs="Arial" w:eastAsia="Arial" w:hAnsi="Arial"/>
          <w:sz w:val="24"/>
          <w:szCs w:val="24"/>
        </w:rPr>
        <w:t xml:space="preserve">Рыболовство, рыбоводство</w:t>
      </w:r>
      <w:r>
        <w:rPr>
          <w:rFonts w:ascii="Arial" w:cs="Arial" w:eastAsia="Arial" w:hAnsi="Arial"/>
          <w:sz w:val="24"/>
          <w:szCs w:val="24"/>
        </w:rPr>
        <w:t xml:space="preserve">	</w:t>
      </w:r>
      <w:r>
        <w:rPr>
          <w:rFonts w:ascii="Arial" w:cs="Arial" w:eastAsia="Arial" w:hAnsi="Arial"/>
          <w:sz w:val="24"/>
          <w:szCs w:val="24"/>
        </w:rPr>
        <w:t xml:space="preserve">0,21</w:t>
      </w:r>
    </w:p>
    <w:p>
      <w:pPr>
        <w:tabs>
          <w:tab w:val="right" w:pos="10178"/>
        </w:tabs>
        <w:spacing w:after="120"/>
      </w:pPr>
      <w:r>
        <w:rPr>
          <w:rFonts w:ascii="Arial" w:cs="Arial" w:eastAsia="Arial" w:hAnsi="Arial"/>
          <w:sz w:val="24"/>
          <w:szCs w:val="24"/>
        </w:rPr>
        <w:t xml:space="preserve">Сельское хозяйство, охота и лесное хозяйство</w:t>
      </w:r>
      <w:r>
        <w:rPr>
          <w:rFonts w:ascii="Arial" w:cs="Arial" w:eastAsia="Arial" w:hAnsi="Arial"/>
          <w:sz w:val="24"/>
          <w:szCs w:val="24"/>
        </w:rPr>
        <w:t xml:space="preserve">	</w:t>
      </w:r>
      <w:r>
        <w:rPr>
          <w:rFonts w:ascii="Arial" w:cs="Arial" w:eastAsia="Arial" w:hAnsi="Arial"/>
          <w:sz w:val="24"/>
          <w:szCs w:val="24"/>
        </w:rPr>
        <w:t xml:space="preserve">0,21</w:t>
      </w:r>
    </w:p>
    <w:p>
      <w:pPr>
        <w:tabs>
          <w:tab w:val="right" w:pos="10178"/>
        </w:tabs>
        <w:spacing w:after="120"/>
      </w:pPr>
      <w:r>
        <w:rPr>
          <w:rFonts w:ascii="Arial" w:cs="Arial" w:eastAsia="Arial" w:hAnsi="Arial"/>
          <w:sz w:val="24"/>
          <w:szCs w:val="24"/>
        </w:rPr>
        <w:t xml:space="preserve">Строительство</w:t>
      </w:r>
      <w:r>
        <w:rPr>
          <w:rFonts w:ascii="Arial" w:cs="Arial" w:eastAsia="Arial" w:hAnsi="Arial"/>
          <w:sz w:val="24"/>
          <w:szCs w:val="24"/>
        </w:rPr>
        <w:t xml:space="preserve">	</w:t>
      </w:r>
      <w:r>
        <w:rPr>
          <w:rFonts w:ascii="Arial" w:cs="Arial" w:eastAsia="Arial" w:hAnsi="Arial"/>
          <w:sz w:val="24"/>
          <w:szCs w:val="24"/>
        </w:rPr>
        <w:t xml:space="preserve">0,14</w:t>
      </w:r>
    </w:p>
    <w:p>
      <w:pPr>
        <w:tabs>
          <w:tab w:val="right" w:pos="10178"/>
        </w:tabs>
        <w:spacing w:after="120"/>
      </w:pPr>
      <w:r>
        <w:rPr>
          <w:rFonts w:ascii="Arial" w:cs="Arial" w:eastAsia="Arial" w:hAnsi="Arial"/>
          <w:sz w:val="24"/>
          <w:szCs w:val="24"/>
        </w:rPr>
        <w:t xml:space="preserve">Торговля, ремонт автомобилей, бытовых изделий и предметов личного пользования</w:t>
      </w:r>
      <w:r>
        <w:rPr>
          <w:rFonts w:ascii="Arial" w:cs="Arial" w:eastAsia="Arial" w:hAnsi="Arial"/>
          <w:sz w:val="24"/>
          <w:szCs w:val="24"/>
        </w:rPr>
        <w:t xml:space="preserve">	</w:t>
      </w:r>
      <w:r>
        <w:rPr>
          <w:rFonts w:ascii="Arial" w:cs="Arial" w:eastAsia="Arial" w:hAnsi="Arial"/>
          <w:sz w:val="24"/>
          <w:szCs w:val="24"/>
        </w:rPr>
        <w:t xml:space="preserve">0,11</w:t>
      </w:r>
    </w:p>
    <w:p>
      <w:pPr>
        <w:tabs>
          <w:tab w:val="right" w:pos="10178"/>
        </w:tabs>
        <w:spacing w:after="120"/>
      </w:pPr>
      <w:r>
        <w:rPr>
          <w:rFonts w:ascii="Arial" w:cs="Arial" w:eastAsia="Arial" w:hAnsi="Arial"/>
          <w:sz w:val="24"/>
          <w:szCs w:val="24"/>
        </w:rPr>
        <w:t xml:space="preserve">Транспорт и связь</w:t>
      </w:r>
      <w:r>
        <w:rPr>
          <w:rFonts w:ascii="Arial" w:cs="Arial" w:eastAsia="Arial" w:hAnsi="Arial"/>
          <w:sz w:val="24"/>
          <w:szCs w:val="24"/>
        </w:rPr>
        <w:t xml:space="preserve">	</w:t>
      </w:r>
      <w:r>
        <w:rPr>
          <w:rFonts w:ascii="Arial" w:cs="Arial" w:eastAsia="Arial" w:hAnsi="Arial"/>
          <w:sz w:val="24"/>
          <w:szCs w:val="24"/>
        </w:rPr>
        <w:t xml:space="preserve">0,08</w:t>
      </w:r>
    </w:p>
    <w:p>
      <w:pPr>
        <w:tabs>
          <w:tab w:val="right" w:pos="10178"/>
        </w:tabs>
        <w:spacing w:after="120"/>
      </w:pPr>
      <w:r>
        <w:rPr>
          <w:rFonts w:ascii="Arial" w:cs="Arial" w:eastAsia="Arial" w:hAnsi="Arial"/>
          <w:sz w:val="24"/>
          <w:szCs w:val="24"/>
        </w:rPr>
        <w:t xml:space="preserve">Финансовая деятельность</w:t>
      </w:r>
      <w:r>
        <w:rPr>
          <w:rFonts w:ascii="Arial" w:cs="Arial" w:eastAsia="Arial" w:hAnsi="Arial"/>
          <w:sz w:val="24"/>
          <w:szCs w:val="24"/>
        </w:rPr>
        <w:t xml:space="preserve">	</w:t>
      </w:r>
      <w:r>
        <w:rPr>
          <w:rFonts w:ascii="Arial" w:cs="Arial" w:eastAsia="Arial" w:hAnsi="Arial"/>
          <w:sz w:val="24"/>
          <w:szCs w:val="24"/>
        </w:rPr>
        <w:t xml:space="preserve">0,06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всех классов профессионального риска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Классы профессионального риска</w:t>
      </w:r>
      <w:r>
        <w:rPr>
          <w:rFonts w:ascii="Arial" w:cs="Arial" w:eastAsia="Arial" w:hAnsi="Arial"/>
          <w:sz w:val="24"/>
          <w:szCs w:val="24"/>
        </w:rPr>
        <w:t xml:space="preserve">	</w:t>
      </w:r>
      <w:r>
        <w:rPr>
          <w:rFonts w:ascii="Arial" w:cs="Arial" w:eastAsia="Arial" w:hAnsi="Arial"/>
          <w:sz w:val="24"/>
          <w:szCs w:val="24"/>
        </w:rPr>
        <w:t xml:space="preserve">Минимальные страховые тарифы, в %</w:t>
      </w:r>
    </w:p>
    <w:p>
      <w:pPr>
        <w:tabs>
          <w:tab w:val="right" w:pos="10178"/>
        </w:tabs>
        <w:spacing w:after="120"/>
      </w:pPr>
      <w:r>
        <w:rPr>
          <w:rFonts w:ascii="Arial" w:cs="Arial" w:eastAsia="Arial" w:hAnsi="Arial"/>
          <w:sz w:val="24"/>
          <w:szCs w:val="24"/>
        </w:rPr>
        <w:t xml:space="preserve">Административно-управленческий персонал</w:t>
      </w:r>
      <w:r>
        <w:rPr>
          <w:rFonts w:ascii="Arial" w:cs="Arial" w:eastAsia="Arial" w:hAnsi="Arial"/>
          <w:sz w:val="24"/>
          <w:szCs w:val="24"/>
        </w:rPr>
        <w:t xml:space="preserve">	</w:t>
      </w:r>
      <w:r>
        <w:rPr>
          <w:rFonts w:ascii="Arial" w:cs="Arial" w:eastAsia="Arial" w:hAnsi="Arial"/>
          <w:sz w:val="24"/>
          <w:szCs w:val="24"/>
        </w:rPr>
        <w:t xml:space="preserve">0,03</w:t>
      </w:r>
    </w:p>
    <w:p>
      <w:pPr>
        <w:tabs>
          <w:tab w:val="right" w:pos="10178"/>
        </w:tabs>
        <w:spacing w:after="120"/>
      </w:pPr>
      <w:r>
        <w:rPr>
          <w:rFonts w:ascii="Arial" w:cs="Arial" w:eastAsia="Arial" w:hAnsi="Arial"/>
          <w:sz w:val="24"/>
          <w:szCs w:val="24"/>
        </w:rPr>
        <w:t xml:space="preserve">Вспомогательный персонал</w:t>
      </w:r>
      <w:r>
        <w:rPr>
          <w:rFonts w:ascii="Arial" w:cs="Arial" w:eastAsia="Arial" w:hAnsi="Arial"/>
          <w:sz w:val="24"/>
          <w:szCs w:val="24"/>
        </w:rPr>
        <w:t xml:space="preserve">	</w:t>
      </w:r>
      <w:r>
        <w:rPr>
          <w:rFonts w:ascii="Arial" w:cs="Arial" w:eastAsia="Arial" w:hAnsi="Arial"/>
          <w:sz w:val="24"/>
          <w:szCs w:val="24"/>
        </w:rPr>
        <w:t xml:space="preserve">0,12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Страховые тарифы являются минимальными, страховая организация вправе по согласованию с работодателем устанавливать для предприятия более высокие тарифы. Минимальные страховые тарифы применяются для предприятий с высоким уровнем системы безопасности труда. Максимальные пределы тарифов не устанавливаются в виду наличия конкурентной среды.</w:t>
      </w:r>
    </w:p>
    <w:p>
      <w:pPr>
        <w:spacing w:after="120"/>
        <w:jc w:val="both"/>
      </w:pPr>
      <w:r>
        <w:rPr>
          <w:rFonts w:ascii="Arial" w:cs="Arial" w:eastAsia="Arial" w:hAnsi="Arial"/>
          <w:sz w:val="24"/>
          <w:szCs w:val="24"/>
        </w:rPr>
        <w:t xml:space="preserve">В качестве базы для расчета премии используется годовой фонд оплаты труда по каждой категории персонала.</w:t>
      </w:r>
    </w:p>
    <w:p>
      <w:pPr>
        <w:spacing w:after="120"/>
        <w:jc w:val="both"/>
      </w:pPr>
      <w:r>
        <w:rPr>
          <w:rFonts w:ascii="Arial" w:cs="Arial" w:eastAsia="Arial" w:hAnsi="Arial"/>
          <w:sz w:val="24"/>
          <w:szCs w:val="24"/>
        </w:rPr>
        <w:t xml:space="preserve">Страховая сумма определяется договором обязательного страхования гражданской ответственности работодателя и не должна быть менее годового фонда оплаты труда всех работников по категориям персонала (производственного, административно-управленческого и вспомогательного).</w:t>
      </w:r>
    </w:p>
    <w:p>
      <w:pPr>
        <w:spacing w:after="120"/>
        <w:jc w:val="both"/>
      </w:pPr>
      <w:r>
        <w:rPr>
          <w:rFonts w:ascii="Arial" w:cs="Arial" w:eastAsia="Arial" w:hAnsi="Arial"/>
          <w:sz w:val="24"/>
          <w:szCs w:val="24"/>
        </w:rPr>
        <w:t xml:space="preserve">На каждого работника устанавливается лимит ответственности, являющийся максимальным размером выплачиваемого страховщиком страхового возмещения по одному страховому случаю на данного работника. Этот лимит не должен быть менее годового размера заработной платы этого работника.</w:t>
      </w:r>
    </w:p>
    <w:p>
      <w:pPr>
        <w:spacing w:after="120"/>
        <w:jc w:val="both"/>
      </w:pPr>
      <w:r>
        <w:rPr>
          <w:rFonts w:ascii="Arial" w:cs="Arial" w:eastAsia="Arial" w:hAnsi="Arial"/>
          <w:sz w:val="24"/>
          <w:szCs w:val="24"/>
        </w:rPr>
        <w:t xml:space="preserve">Лимит ответственности на одного работника определяется как произведение годового размера заработной платы данного работника на количество годовых фондов оплаты труда, используемых для установления страховой суммы по договору страхования.</w:t>
      </w:r>
    </w:p>
    <w:p>
      <w:pPr>
        <w:spacing w:after="120"/>
        <w:jc w:val="both"/>
      </w:pPr>
      <w:r>
        <w:rPr>
          <w:rFonts w:ascii="Arial" w:cs="Arial" w:eastAsia="Arial" w:hAnsi="Arial"/>
          <w:sz w:val="24"/>
          <w:szCs w:val="24"/>
        </w:rPr>
        <w:t xml:space="preserve">Порядок выплат страхового возмещения определяется в соответствии с </w:t>
      </w:r>
      <w:r>
        <w:rPr>
          <w:rFonts w:ascii="Arial" w:cs="Arial" w:eastAsia="Arial" w:hAnsi="Arial"/>
          <w:sz w:val="24"/>
          <w:szCs w:val="24"/>
        </w:rPr>
        <w:t xml:space="preserve">главой 51</w:t>
      </w:r>
      <w:r>
        <w:rPr>
          <w:rFonts w:ascii="Arial" w:cs="Arial" w:eastAsia="Arial" w:hAnsi="Arial"/>
          <w:sz w:val="24"/>
          <w:szCs w:val="24"/>
        </w:rPr>
        <w:t xml:space="preserve"> Гражданского </w:t>
      </w:r>
      <w:hyperlink w:history="1" r:id="rIdqe2ihyd5et0mmub9bo0h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пределах страховой суммы и лимитов ответственности согласно договору страхования.</w:t>
      </w:r>
    </w:p>
    <w:p>
      <w:pPr>
        <w:spacing w:after="120"/>
        <w:jc w:val="both"/>
      </w:pPr>
      <w:r>
        <w:rPr>
          <w:rFonts w:ascii="Arial" w:cs="Arial" w:eastAsia="Arial" w:hAnsi="Arial"/>
          <w:sz w:val="24"/>
          <w:szCs w:val="24"/>
        </w:rPr>
        <w:t xml:space="preserve">При заключении договора страхования со страховой суммой выше годового фонда оплаты труда применяются следующие поправочные коэффициенты к страховому тарифу: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Количество фондов оплаты труда, применяемое для установления страховой суммы по договору страхования</w:t>
      </w:r>
      <w:r>
        <w:rPr>
          <w:rFonts w:ascii="Arial" w:cs="Arial" w:eastAsia="Arial" w:hAnsi="Arial"/>
          <w:sz w:val="24"/>
          <w:szCs w:val="24"/>
        </w:rPr>
        <w:t xml:space="preserve">	</w:t>
      </w:r>
      <w:r>
        <w:rPr>
          <w:rFonts w:ascii="Arial" w:cs="Arial" w:eastAsia="Arial" w:hAnsi="Arial"/>
          <w:sz w:val="24"/>
          <w:szCs w:val="24"/>
        </w:rPr>
        <w:t xml:space="preserve">Поправочный коэффициент к страховому тарифу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1,84</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2,63</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3,39</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4,13</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4,85</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5,55</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6,25</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6,93</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7,60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8,27</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8,93</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9,58</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10,23</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10,87</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11,50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12,13</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12,76</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13,38</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14,00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заключении договора страхования на срок менее двенадцати месяцев устанавливаются следующие размеры страховых премий: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Размер страховой премии (в процентах от годовой страховой премии)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75</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85</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90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95</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nxn_pxrzarbaoner_cin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февраля 2010 года № 113</w:t>
      </w:r>
    </w:p>
    <w:p>
      <w:pPr>
        <w:spacing w:after="400" w:before="400"/>
        <w:jc w:val="center"/>
      </w:pPr>
      <w:r>
        <w:rPr>
          <w:rFonts w:ascii="Arial" w:cs="Arial" w:eastAsia="Arial" w:hAnsi="Arial"/>
          <w:b/>
          <w:bCs/>
          <w:sz w:val="32"/>
          <w:szCs w:val="32"/>
        </w:rPr>
        <w:t xml:space="preserve">МИНИМАЛЬНЫЕ РАЗМЕРЫ
 страховой суммы и тарифы страховой премии обязательного страхования гражданской ответственности перевозчика опасных грузов</w:t>
      </w:r>
    </w:p>
    <w:p>
      <w:pPr>
        <w:spacing w:after="200"/>
        <w:jc w:val="center"/>
      </w:pPr>
      <w:r>
        <w:rPr>
          <w:rFonts w:ascii="Arial" w:cs="Arial" w:eastAsia="Arial" w:hAnsi="Arial"/>
          <w:i/>
          <w:iCs/>
          <w:sz w:val="24"/>
          <w:szCs w:val="24"/>
        </w:rPr>
        <w:t xml:space="preserve">(В редакции постановления Кабинета Министров КР </w:t>
      </w:r>
      <w:hyperlink w:history="1" r:id="rIdi6gie7klurjdx4matf9fy">
        <w:r>
          <w:rPr>
            <w:rFonts w:ascii="Arial" w:cs="Arial" w:eastAsia="Arial" w:hAnsi="Arial"/>
            <w:i/>
            <w:iCs/>
            <w:color w:val="1D4ED8"/>
            <w:sz w:val="24"/>
            <w:szCs w:val="24"/>
            <w:u w:val="single"/>
          </w:rPr>
          <w:t xml:space="preserve">8 апреля 2022 года № 200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Годовая страховая премия за одну единицу грузового транспортного средства равна произведению базового страхового тарифа на минимальный размер страховой суммы.</w:t>
      </w:r>
    </w:p>
    <w:p>
      <w:pPr>
        <w:spacing w:after="60"/>
        <w:ind w:firstLine="567"/>
        <w:jc w:val="both"/>
      </w:pPr>
      <w:r>
        <w:rPr>
          <w:rFonts w:ascii="Arial" w:cs="Arial" w:eastAsia="Arial" w:hAnsi="Arial"/>
          <w:sz w:val="24"/>
          <w:szCs w:val="24"/>
        </w:rPr>
        <w:t xml:space="preserve">Договор страхования заключается отдельно на каждое грузовое транспортное средство.</w:t>
      </w:r>
    </w:p>
    <w:p>
      <w:pPr>
        <w:spacing w:after="60"/>
        <w:ind w:firstLine="567"/>
        <w:jc w:val="both"/>
      </w:pPr>
      <w:r>
        <w:rPr>
          <w:rFonts w:ascii="Arial" w:cs="Arial" w:eastAsia="Arial" w:hAnsi="Arial"/>
          <w:sz w:val="24"/>
          <w:szCs w:val="24"/>
        </w:rPr>
        <w:t xml:space="preserve">Базовый страховой тариф для всех категорий транспортных средств равен 0,2 процента.</w:t>
      </w:r>
    </w:p>
    <w:p>
      <w:pPr>
        <w:spacing w:after="120"/>
        <w:ind w:firstLine="567"/>
        <w:jc w:val="both"/>
      </w:pPr>
      <w:r>
        <w:rPr>
          <w:rFonts w:ascii="Arial" w:cs="Arial" w:eastAsia="Arial" w:hAnsi="Arial"/>
          <w:sz w:val="24"/>
          <w:szCs w:val="24"/>
        </w:rPr>
        <w:t xml:space="preserve">Страховая сумма по договору страхования зависит от класса опасного груза и грузоподъемности грузового транспортного средства и не может быть меньше установленных минимальных страховых сумм согласно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2691"/>
        <w:gridCol w:w="1008"/>
        <w:gridCol w:w="1008"/>
        <w:gridCol w:w="1008"/>
        <w:gridCol w:w="1008"/>
        <w:gridCol w:w="1008"/>
        <w:gridCol w:w="1008"/>
        <w:gridCol w:w="1008"/>
      </w:tblGrid>
      <w:tr>
        <w:tc>
          <w:tcPr>
            <w:tcW w:type="dxa" w:w="4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6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Классы риска</w:t>
            </w:r>
          </w:p>
        </w:tc>
        <w:tc>
          <w:tcPr>
            <w:tcW w:type="dxa" w:w="7056"/>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Минимальный размер страховой суммы,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56"/>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Грузовое транспортное средство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5 тонн</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7,5 тонны</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10 тонны</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12,5 тонны</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15 тонн</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20 тонн</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20 тонн</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1 - взрывчатые вещества</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2 - газы сжатые, сжиженные и растворенные под давлением</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3 - легковоспламеняющиеся жидкости</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4 - легковоспламеняющиеся вещества и материалы</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5 - окисляющие вещества и органические перекиси</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6 - ядовитые (токсичные) вещества</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7 - радиоактивные и инфекционные вещества</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8 - едкие и коррозийные вещества</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9 - прочие опасные вещества</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8000000</w:t>
            </w:r>
          </w:p>
        </w:tc>
      </w:tr>
    </w:tbl>
    <w:p>
      <w:pPr>
        <w:spacing w:after="60" w:before="120"/>
        <w:ind w:firstLine="567"/>
        <w:jc w:val="both"/>
      </w:pPr>
      <w:r>
        <w:rPr>
          <w:rFonts w:ascii="Arial" w:cs="Arial" w:eastAsia="Arial" w:hAnsi="Arial"/>
          <w:sz w:val="24"/>
          <w:szCs w:val="24"/>
        </w:rPr>
        <w:t xml:space="preserve">Лимит ответственности по риску нанесения вреда жизни и здоровью третьих лиц составляет 300000 (триста тысяч) сомов на одного потерпевшего.</w:t>
      </w:r>
    </w:p>
    <w:p>
      <w:pPr>
        <w:spacing w:after="200" w:before="200"/>
        <w:jc w:val="center"/>
      </w:pPr>
      <w:r>
        <w:rPr>
          <w:rFonts w:ascii="Arial" w:cs="Arial" w:eastAsia="Arial" w:hAnsi="Arial"/>
          <w:b/>
          <w:bCs/>
          <w:sz w:val="32"/>
          <w:szCs w:val="32"/>
        </w:rPr>
        <w:t xml:space="preserve">Для железнодорожного транспорта</w:t>
      </w:r>
    </w:p>
    <w:p>
      <w:pPr>
        <w:spacing w:after="60"/>
        <w:ind w:firstLine="567"/>
        <w:jc w:val="both"/>
      </w:pPr>
      <w:r>
        <w:rPr>
          <w:rFonts w:ascii="Arial" w:cs="Arial" w:eastAsia="Arial" w:hAnsi="Arial"/>
          <w:sz w:val="24"/>
          <w:szCs w:val="24"/>
        </w:rPr>
        <w:t xml:space="preserve">Транспортным средством при страховании гражданской ответственности перевозчика опасных грузов железнодорожным транспортом является локомотив (магистральный тепловоз), осуществляющий грузовые перевозки, находящийся в эксплуатации.</w:t>
      </w:r>
    </w:p>
    <w:p>
      <w:pPr>
        <w:spacing w:after="60"/>
        <w:ind w:firstLine="567"/>
        <w:jc w:val="both"/>
      </w:pPr>
      <w:r>
        <w:rPr>
          <w:rFonts w:ascii="Arial" w:cs="Arial" w:eastAsia="Arial" w:hAnsi="Arial"/>
          <w:sz w:val="24"/>
          <w:szCs w:val="24"/>
        </w:rPr>
        <w:t xml:space="preserve">Единый минимальный размер страховой суммы для всех классов рисков устанавливается в размере 6000000 (шесть миллионов) сомов.</w:t>
      </w:r>
    </w:p>
    <w:p>
      <w:pPr>
        <w:spacing w:after="200" w:before="200"/>
        <w:jc w:val="center"/>
      </w:pPr>
      <w:r>
        <w:rPr>
          <w:rFonts w:ascii="Arial" w:cs="Arial" w:eastAsia="Arial" w:hAnsi="Arial"/>
          <w:b/>
          <w:bCs/>
          <w:sz w:val="32"/>
          <w:szCs w:val="32"/>
        </w:rPr>
        <w:t xml:space="preserve">Таблица
 краткосрочности по обязательному страхованию гражданской ответственности перевозчика опасных грузов</w:t>
      </w:r>
    </w:p>
    <w:p>
      <w:pPr>
        <w:spacing w:after="120"/>
        <w:ind w:firstLine="567"/>
        <w:jc w:val="both"/>
      </w:pPr>
      <w:r>
        <w:rPr>
          <w:rFonts w:ascii="Arial" w:cs="Arial" w:eastAsia="Arial" w:hAnsi="Arial"/>
          <w:sz w:val="24"/>
          <w:szCs w:val="24"/>
        </w:rPr>
        <w:t xml:space="preserve">При заключении договора страхования на срок менее двенадцати месяцев устанавливаются следующие размеры страховых премий: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2593"/>
        <w:gridCol w:w="7155"/>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страхования</w:t>
            </w:r>
          </w:p>
        </w:tc>
        <w:tc>
          <w:tcPr>
            <w:tcW w:type="dxa" w:w="71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страховой премии (в процентах от годовой страховой премии)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дней включительно</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месяца</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4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7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8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9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11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12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постановлением Правительства 
 Кыргызской Республики 
 от 26 февраля 2010 года № 113</w:t>
      </w:r>
    </w:p>
    <w:p>
      <w:pPr>
        <w:spacing w:after="400" w:before="400"/>
        <w:jc w:val="center"/>
      </w:pPr>
      <w:r>
        <w:rPr>
          <w:rFonts w:ascii="Arial" w:cs="Arial" w:eastAsia="Arial" w:hAnsi="Arial"/>
          <w:b/>
          <w:bCs/>
          <w:sz w:val="32"/>
          <w:szCs w:val="32"/>
        </w:rPr>
        <w:t xml:space="preserve">РАЗМЕРЫ 
 страховой суммы (лимиты ответственности) и страховые тарифы обязательного страхования гражданской ответственности организаций, эксплуатирующих опасные производственные объекты</w:t>
      </w:r>
    </w:p>
    <w:p>
      <w:pPr>
        <w:spacing w:after="60"/>
        <w:ind w:firstLine="567"/>
        <w:jc w:val="both"/>
      </w:pPr>
      <w:r>
        <w:rPr>
          <w:rFonts w:ascii="Arial" w:cs="Arial" w:eastAsia="Arial" w:hAnsi="Arial"/>
          <w:sz w:val="24"/>
          <w:szCs w:val="24"/>
        </w:rPr>
        <w:t xml:space="preserve">Годовая страховая премия за один опасный производственный объект равна произведению базового страхового тарифа на коэффициент в зависимости от территориального расположения объекта и на лимит ответственности по одному опасному производственному объекту.</w:t>
      </w:r>
    </w:p>
    <w:p>
      <w:pPr>
        <w:spacing w:after="60"/>
        <w:ind w:firstLine="567"/>
        <w:jc w:val="both"/>
      </w:pPr>
      <w:r>
        <w:rPr>
          <w:rFonts w:ascii="Arial" w:cs="Arial" w:eastAsia="Arial" w:hAnsi="Arial"/>
          <w:sz w:val="24"/>
          <w:szCs w:val="24"/>
        </w:rPr>
        <w:t xml:space="preserve">Базовый страховой тариф равен 0,144 процента.</w:t>
      </w:r>
    </w:p>
    <w:p>
      <w:pPr>
        <w:spacing w:after="60"/>
        <w:ind w:firstLine="567"/>
        <w:jc w:val="both"/>
      </w:pPr>
      <w:r>
        <w:rPr>
          <w:rFonts w:ascii="Arial" w:cs="Arial" w:eastAsia="Arial" w:hAnsi="Arial"/>
          <w:sz w:val="24"/>
          <w:szCs w:val="24"/>
        </w:rPr>
        <w:t xml:space="preserve">В случае территориального расположения производственного опасного объекта вблизи населенных пунктов, охраняемых государством природных зон, рек, озер, сельскохозяйственных угодий, к базовому тарифу применяется повышающий коэффициент 1,5 за исключением объектов, на которых используются стационарно установленные и передвижные грузоподъемные механизмы, эскалаторы, канатные дороги, фуникулеры.</w:t>
      </w:r>
    </w:p>
    <w:p>
      <w:pPr>
        <w:spacing w:after="60"/>
        <w:ind w:firstLine="567"/>
        <w:jc w:val="both"/>
      </w:pPr>
      <w:r>
        <w:rPr>
          <w:rFonts w:ascii="Arial" w:cs="Arial" w:eastAsia="Arial" w:hAnsi="Arial"/>
          <w:sz w:val="24"/>
          <w:szCs w:val="24"/>
        </w:rPr>
        <w:t xml:space="preserve">Договор страхования заключается отдельно по каждому опасному производственному объекту.</w:t>
      </w:r>
    </w:p>
    <w:p>
      <w:pPr>
        <w:spacing w:after="120"/>
        <w:ind w:firstLine="567"/>
        <w:jc w:val="both"/>
      </w:pPr>
      <w:r>
        <w:rPr>
          <w:rFonts w:ascii="Arial" w:cs="Arial" w:eastAsia="Arial" w:hAnsi="Arial"/>
          <w:sz w:val="24"/>
          <w:szCs w:val="24"/>
        </w:rPr>
        <w:t xml:space="preserve">Размер страховой суммы (лимит ответственности) по договору страхования зависит от типа опасного производственного объекта и не может быть меньше установленных минимальных страховых сумм, согласно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29"/>
        <w:gridCol w:w="2349"/>
      </w:tblGrid>
      <w:tr>
        <w:tc>
          <w:tcPr>
            <w:tcW w:type="dxa" w:w="78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Типы опасных производственных объектов, на которых:</w:t>
            </w:r>
          </w:p>
        </w:tc>
        <w:tc>
          <w:tcPr>
            <w:tcW w:type="dxa" w:w="23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Минимальный общий лимит ответственности, в сомах</w:t>
            </w:r>
          </w:p>
        </w:tc>
      </w:tr>
      <w:tr>
        <w:tc>
          <w:tcPr>
            <w:tcW w:type="dxa" w:w="7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ведутся горные работы, работы по обогащению полезных ископаемых, а также работы в подземных условиях</w:t>
            </w:r>
          </w:p>
        </w:tc>
        <w:tc>
          <w:tcPr>
            <w:tcW w:type="dxa" w:w="2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10000000</w:t>
            </w:r>
          </w:p>
        </w:tc>
      </w:tr>
      <w:tr>
        <w:tc>
          <w:tcPr>
            <w:tcW w:type="dxa" w:w="7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получаются расплавы черных, цветных металлов, горных пород и сплавы на основе этих расплавов</w:t>
            </w:r>
          </w:p>
        </w:tc>
        <w:tc>
          <w:tcPr>
            <w:tcW w:type="dxa" w:w="2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10000000</w:t>
            </w:r>
          </w:p>
        </w:tc>
      </w:tr>
      <w:tr>
        <w:tc>
          <w:tcPr>
            <w:tcW w:type="dxa" w:w="7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используется оборудование, работающее под давлением более 0,07 МПа или при температуре нагрева воды 115 градусов Цельсия и выше</w:t>
            </w:r>
          </w:p>
        </w:tc>
        <w:tc>
          <w:tcPr>
            <w:tcW w:type="dxa" w:w="2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7000000</w:t>
            </w:r>
          </w:p>
        </w:tc>
      </w:tr>
      <w:tr>
        <w:tc>
          <w:tcPr>
            <w:tcW w:type="dxa" w:w="7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используются стационарно установленные и передвижные грузоподъемные механизмы, эскалаторы, канатные дороги, фуникулеры</w:t>
            </w:r>
          </w:p>
        </w:tc>
        <w:tc>
          <w:tcPr>
            <w:tcW w:type="dxa" w:w="2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w:t>
            </w:r>
          </w:p>
        </w:tc>
      </w:tr>
      <w:tr>
        <w:tc>
          <w:tcPr>
            <w:tcW w:type="dxa" w:w="7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получаются, образуются, перерабатываются, используются, хранятся, транспортируются, уничтожаются, реализуются воспламеняющиеся, горючие, окисляющие, взрывчатые, токсичные и радиоактивные вещества (порядок отнесения к опасным производственным объектам, на которых используются указанные вредные и опасные вещества, устанавливается Правительством Кыргызской Республики)</w:t>
            </w:r>
          </w:p>
        </w:tc>
        <w:tc>
          <w:tcPr>
            <w:tcW w:type="dxa" w:w="2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15000000</w:t>
            </w:r>
          </w:p>
        </w:tc>
      </w:tr>
      <w:tr>
        <w:tc>
          <w:tcPr>
            <w:tcW w:type="dxa" w:w="7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ведутся захоронения отходов горно-металлургического производства, содержащих вещества, опасные для жизнедеятельности человека и окружающей среды</w:t>
            </w:r>
          </w:p>
        </w:tc>
        <w:tc>
          <w:tcPr>
            <w:tcW w:type="dxa" w:w="2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10000000</w:t>
            </w:r>
          </w:p>
        </w:tc>
      </w:tr>
    </w:tbl>
    <w:p>
      <w:pPr>
        <w:spacing w:after="60" w:before="120"/>
        <w:ind w:firstLine="567"/>
        <w:jc w:val="both"/>
      </w:pPr>
      <w:r>
        <w:rPr>
          <w:rFonts w:ascii="Arial" w:cs="Arial" w:eastAsia="Arial" w:hAnsi="Arial"/>
          <w:sz w:val="24"/>
          <w:szCs w:val="24"/>
        </w:rPr>
        <w:t xml:space="preserve">Лимит ответственности по риску нанесения ущерба жизни и здоровью третьих лиц составляет 300000 сомов на одного человека.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постановлением Правительства 
 Кыргызской Республики 
 от 26 февраля 2010 года № 113</w:t>
      </w:r>
    </w:p>
    <w:p>
      <w:pPr>
        <w:spacing w:after="400" w:before="400"/>
        <w:jc w:val="center"/>
      </w:pPr>
      <w:r>
        <w:rPr>
          <w:rFonts w:ascii="Arial" w:cs="Arial" w:eastAsia="Arial" w:hAnsi="Arial"/>
          <w:b/>
          <w:bCs/>
          <w:sz w:val="32"/>
          <w:szCs w:val="32"/>
        </w:rPr>
        <w:t xml:space="preserve">ТАРИФЫ
 страховой премии и лимиты ответственности обязательного страхования гражданской ответственности перевозчика перед пассажирами</w:t>
      </w:r>
    </w:p>
    <w:p>
      <w:pPr>
        <w:spacing w:after="200"/>
        <w:jc w:val="center"/>
      </w:pPr>
      <w:r>
        <w:rPr>
          <w:rFonts w:ascii="Arial" w:cs="Arial" w:eastAsia="Arial" w:hAnsi="Arial"/>
          <w:i/>
          <w:iCs/>
          <w:sz w:val="24"/>
          <w:szCs w:val="24"/>
        </w:rPr>
        <w:t xml:space="preserve">(В редакции постановления Кабинета Министров КР </w:t>
      </w:r>
      <w:hyperlink w:history="1" r:id="rIdmcief1z8bhhrysnut2hnl">
        <w:r>
          <w:rPr>
            <w:rFonts w:ascii="Arial" w:cs="Arial" w:eastAsia="Arial" w:hAnsi="Arial"/>
            <w:i/>
            <w:iCs/>
            <w:color w:val="1D4ED8"/>
            <w:sz w:val="24"/>
            <w:szCs w:val="24"/>
            <w:u w:val="single"/>
          </w:rPr>
          <w:t xml:space="preserve">8 апреля 2022 года № 200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Для автомобильного транспорта</w:t>
      </w:r>
    </w:p>
    <w:p>
      <w:pPr>
        <w:spacing w:after="60"/>
        <w:ind w:firstLine="567"/>
        <w:jc w:val="both"/>
      </w:pPr>
      <w:r>
        <w:rPr>
          <w:rFonts w:ascii="Arial" w:cs="Arial" w:eastAsia="Arial" w:hAnsi="Arial"/>
          <w:sz w:val="24"/>
          <w:szCs w:val="24"/>
        </w:rPr>
        <w:t xml:space="preserve">Годовая страховая премия равна произведению базового тарифа на коэффициент, в зависимости от типа транспортного средства, на коэффициент, в зависимости от типа перевозки, на количество посадочных мест в транспортном средстве и на лимит ответственности по одному пассажиру.</w:t>
      </w:r>
    </w:p>
    <w:p>
      <w:pPr>
        <w:spacing w:after="120"/>
        <w:ind w:firstLine="567"/>
        <w:jc w:val="both"/>
      </w:pPr>
      <w:r>
        <w:rPr>
          <w:rFonts w:ascii="Arial" w:cs="Arial" w:eastAsia="Arial" w:hAnsi="Arial"/>
          <w:sz w:val="24"/>
          <w:szCs w:val="24"/>
        </w:rPr>
        <w:t xml:space="preserve">Базовый страховой тариф равен 0,045 процента.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0"/>
        <w:gridCol w:w="2758"/>
      </w:tblGrid>
      <w:tr>
        <w:tc>
          <w:tcPr>
            <w:tcW w:type="dxa" w:w="74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типу транспортного средства</w:t>
            </w:r>
          </w:p>
        </w:tc>
        <w:tc>
          <w:tcPr>
            <w:tcW w:type="dxa" w:w="27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r>
      <w:tr>
        <w:tc>
          <w:tcPr>
            <w:tcW w:type="dxa" w:w="7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автобусы, микроавтобусы</w:t>
            </w:r>
          </w:p>
        </w:tc>
        <w:tc>
          <w:tcPr>
            <w:tcW w:type="dxa" w:w="2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7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Троллейбусы</w:t>
            </w:r>
          </w:p>
        </w:tc>
        <w:tc>
          <w:tcPr>
            <w:tcW w:type="dxa" w:w="2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7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типу перевозок</w:t>
            </w:r>
          </w:p>
        </w:tc>
        <w:tc>
          <w:tcPr>
            <w:tcW w:type="dxa" w:w="27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r>
      <w:tr>
        <w:tc>
          <w:tcPr>
            <w:tcW w:type="dxa" w:w="7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Внутригородские</w:t>
            </w:r>
          </w:p>
        </w:tc>
        <w:tc>
          <w:tcPr>
            <w:tcW w:type="dxa" w:w="2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7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Междугородние и международные</w:t>
            </w:r>
          </w:p>
        </w:tc>
        <w:tc>
          <w:tcPr>
            <w:tcW w:type="dxa" w:w="2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60" w:before="120"/>
        <w:ind w:firstLine="567"/>
        <w:jc w:val="both"/>
      </w:pPr>
      <w:r>
        <w:rPr>
          <w:rFonts w:ascii="Arial" w:cs="Arial" w:eastAsia="Arial" w:hAnsi="Arial"/>
          <w:sz w:val="24"/>
          <w:szCs w:val="24"/>
        </w:rPr>
        <w:t xml:space="preserve">Лимит ответственности по риску нанесения вреда жизни и здоровью пассажиров составляет 300000 сомов на одного пассажира.</w:t>
      </w:r>
    </w:p>
    <w:p>
      <w:pPr>
        <w:spacing w:after="60"/>
        <w:ind w:firstLine="567"/>
        <w:jc w:val="both"/>
      </w:pPr>
      <w:r>
        <w:rPr>
          <w:rFonts w:ascii="Arial" w:cs="Arial" w:eastAsia="Arial" w:hAnsi="Arial"/>
          <w:sz w:val="24"/>
          <w:szCs w:val="24"/>
        </w:rPr>
        <w:t xml:space="preserve">Лимит ответственности по риску нанесения вреда имуществу одного пассажира составляет 10000 сомов.</w:t>
      </w:r>
    </w:p>
    <w:p>
      <w:pPr>
        <w:spacing w:after="60"/>
        <w:ind w:firstLine="567"/>
        <w:jc w:val="both"/>
      </w:pPr>
      <w:r>
        <w:rPr>
          <w:rFonts w:ascii="Arial" w:cs="Arial" w:eastAsia="Arial" w:hAnsi="Arial"/>
          <w:sz w:val="24"/>
          <w:szCs w:val="24"/>
        </w:rPr>
        <w:t xml:space="preserve">Общий лимит ответственности по договору составляет произведение лимита ответственности на одного пассажира (310000 сомов) на количество пассажирских мест в автомобильном транспортном средстве.</w:t>
      </w:r>
    </w:p>
    <w:p>
      <w:pPr>
        <w:spacing w:after="200" w:before="200"/>
        <w:jc w:val="center"/>
      </w:pPr>
      <w:r>
        <w:rPr>
          <w:rFonts w:ascii="Arial" w:cs="Arial" w:eastAsia="Arial" w:hAnsi="Arial"/>
          <w:b/>
          <w:bCs/>
          <w:sz w:val="32"/>
          <w:szCs w:val="32"/>
        </w:rPr>
        <w:t xml:space="preserve">2. Для авиационного транспорта</w:t>
      </w:r>
    </w:p>
    <w:p>
      <w:pPr>
        <w:spacing w:after="60"/>
        <w:ind w:firstLine="567"/>
        <w:jc w:val="both"/>
      </w:pPr>
      <w:r>
        <w:rPr>
          <w:rFonts w:ascii="Arial" w:cs="Arial" w:eastAsia="Arial" w:hAnsi="Arial"/>
          <w:sz w:val="24"/>
          <w:szCs w:val="24"/>
        </w:rPr>
        <w:t xml:space="preserve">Страховая премия за один рейс равна произведению базового страхового тарифа на количество фактически заполненных пассажирских кресел на воздушном транспортном средстве и на лимит ответственности на одного пассажира.</w:t>
      </w:r>
    </w:p>
    <w:p>
      <w:pPr>
        <w:spacing w:after="60"/>
        <w:ind w:firstLine="567"/>
        <w:jc w:val="both"/>
      </w:pPr>
      <w:r>
        <w:rPr>
          <w:rFonts w:ascii="Arial" w:cs="Arial" w:eastAsia="Arial" w:hAnsi="Arial"/>
          <w:sz w:val="24"/>
          <w:szCs w:val="24"/>
        </w:rPr>
        <w:t xml:space="preserve">Базовый страховой тариф равен 0,007 процента. Договор страхования заключается с перевозчиком на каждый год, с отражением каждого рейса.</w:t>
      </w:r>
    </w:p>
    <w:p>
      <w:pPr>
        <w:spacing w:after="60"/>
        <w:ind w:firstLine="567"/>
        <w:jc w:val="both"/>
      </w:pPr>
      <w:r>
        <w:rPr>
          <w:rFonts w:ascii="Arial" w:cs="Arial" w:eastAsia="Arial" w:hAnsi="Arial"/>
          <w:sz w:val="24"/>
          <w:szCs w:val="24"/>
        </w:rPr>
        <w:t xml:space="preserve">Лимит ответственности по риску нанесения вреда жизни и здоровью пассажиров составляет 300000 сомов на одного пассажира.</w:t>
      </w:r>
    </w:p>
    <w:p>
      <w:pPr>
        <w:spacing w:after="60"/>
        <w:ind w:firstLine="567"/>
        <w:jc w:val="both"/>
      </w:pPr>
      <w:r>
        <w:rPr>
          <w:rFonts w:ascii="Arial" w:cs="Arial" w:eastAsia="Arial" w:hAnsi="Arial"/>
          <w:sz w:val="24"/>
          <w:szCs w:val="24"/>
        </w:rPr>
        <w:t xml:space="preserve">Лимит ответственности по риску нанесения вреда имуществу одного пассажира составляет 10000 сомов.</w:t>
      </w:r>
    </w:p>
    <w:p>
      <w:pPr>
        <w:spacing w:after="60"/>
        <w:ind w:firstLine="567"/>
        <w:jc w:val="both"/>
      </w:pPr>
      <w:r>
        <w:rPr>
          <w:rFonts w:ascii="Arial" w:cs="Arial" w:eastAsia="Arial" w:hAnsi="Arial"/>
          <w:sz w:val="24"/>
          <w:szCs w:val="24"/>
        </w:rPr>
        <w:t xml:space="preserve">Общий лимит ответственности по договору обязательного страхования составляет произведение лимита ответственности на одного пассажира (310000 сомов) на количество фактически заполненных пассажирских кресел на воздушном транспортном средстве.</w:t>
      </w:r>
    </w:p>
    <w:p>
      <w:pPr>
        <w:spacing w:after="200" w:before="200"/>
        <w:jc w:val="center"/>
      </w:pPr>
      <w:r>
        <w:rPr>
          <w:rFonts w:ascii="Arial" w:cs="Arial" w:eastAsia="Arial" w:hAnsi="Arial"/>
          <w:b/>
          <w:bCs/>
          <w:sz w:val="32"/>
          <w:szCs w:val="32"/>
        </w:rPr>
        <w:t xml:space="preserve">3. Для железнодорожного транспорта</w:t>
      </w:r>
    </w:p>
    <w:p>
      <w:pPr>
        <w:spacing w:after="60"/>
        <w:ind w:firstLine="567"/>
        <w:jc w:val="both"/>
      </w:pPr>
      <w:r>
        <w:rPr>
          <w:rFonts w:ascii="Arial" w:cs="Arial" w:eastAsia="Arial" w:hAnsi="Arial"/>
          <w:sz w:val="24"/>
          <w:szCs w:val="24"/>
        </w:rPr>
        <w:t xml:space="preserve">Годовая страховая премия внутриреспубликанских пассажирских перевозок равна произведению базового тарифа на годовой доход перевозчика от продажи билетов на пассажирские поезда внутриреспубликанского сообщения.</w:t>
      </w:r>
    </w:p>
    <w:p>
      <w:pPr>
        <w:spacing w:after="60"/>
        <w:ind w:firstLine="567"/>
        <w:jc w:val="both"/>
      </w:pPr>
      <w:r>
        <w:rPr>
          <w:rFonts w:ascii="Arial" w:cs="Arial" w:eastAsia="Arial" w:hAnsi="Arial"/>
          <w:sz w:val="24"/>
          <w:szCs w:val="24"/>
        </w:rPr>
        <w:t xml:space="preserve">Базовый страховой тариф равен 0,2 процента.</w:t>
      </w:r>
    </w:p>
    <w:p>
      <w:pPr>
        <w:spacing w:after="60"/>
        <w:ind w:firstLine="567"/>
        <w:jc w:val="both"/>
      </w:pPr>
      <w:r>
        <w:rPr>
          <w:rFonts w:ascii="Arial" w:cs="Arial" w:eastAsia="Arial" w:hAnsi="Arial"/>
          <w:sz w:val="24"/>
          <w:szCs w:val="24"/>
        </w:rPr>
        <w:t xml:space="preserve">Договор страхования заключается на фактически перевезенных пассажиров в течение года.</w:t>
      </w:r>
    </w:p>
    <w:p>
      <w:pPr>
        <w:spacing w:after="60"/>
        <w:ind w:firstLine="567"/>
        <w:jc w:val="both"/>
      </w:pPr>
      <w:r>
        <w:rPr>
          <w:rFonts w:ascii="Arial" w:cs="Arial" w:eastAsia="Arial" w:hAnsi="Arial"/>
          <w:sz w:val="24"/>
          <w:szCs w:val="24"/>
        </w:rPr>
        <w:t xml:space="preserve">Лимит ответственности по риску нанесения вреда жизни и здоровью пассажиров составляет 300000 сомов на одного пассажира.</w:t>
      </w:r>
    </w:p>
    <w:p>
      <w:pPr>
        <w:spacing w:after="60"/>
        <w:ind w:firstLine="567"/>
        <w:jc w:val="both"/>
      </w:pPr>
      <w:r>
        <w:rPr>
          <w:rFonts w:ascii="Arial" w:cs="Arial" w:eastAsia="Arial" w:hAnsi="Arial"/>
          <w:sz w:val="24"/>
          <w:szCs w:val="24"/>
        </w:rPr>
        <w:t xml:space="preserve">Лимит ответственности по риску нанесения вреда имуществу одного пассажира составляет 10000 сомов.</w:t>
      </w:r>
    </w:p>
    <w:p>
      <w:pPr>
        <w:spacing w:after="60"/>
        <w:ind w:firstLine="567"/>
        <w:jc w:val="both"/>
      </w:pPr>
      <w:r>
        <w:rPr>
          <w:rFonts w:ascii="Arial" w:cs="Arial" w:eastAsia="Arial" w:hAnsi="Arial"/>
          <w:sz w:val="24"/>
          <w:szCs w:val="24"/>
        </w:rPr>
        <w:t xml:space="preserve">Общий лимит ответственности на одного пассажира составляет 310000 сомов.</w:t>
      </w:r>
    </w:p>
    <w:p>
      <w:pPr>
        <w:spacing w:after="200" w:before="200"/>
        <w:jc w:val="center"/>
      </w:pPr>
      <w:r>
        <w:rPr>
          <w:rFonts w:ascii="Arial" w:cs="Arial" w:eastAsia="Arial" w:hAnsi="Arial"/>
          <w:b/>
          <w:bCs/>
          <w:sz w:val="32"/>
          <w:szCs w:val="32"/>
        </w:rPr>
        <w:t xml:space="preserve">4. Для водного транспорта</w:t>
      </w:r>
    </w:p>
    <w:p>
      <w:pPr>
        <w:spacing w:after="60"/>
        <w:ind w:firstLine="567"/>
        <w:jc w:val="both"/>
      </w:pPr>
      <w:r>
        <w:rPr>
          <w:rFonts w:ascii="Arial" w:cs="Arial" w:eastAsia="Arial" w:hAnsi="Arial"/>
          <w:sz w:val="24"/>
          <w:szCs w:val="24"/>
        </w:rPr>
        <w:t xml:space="preserve">Страховая премия равна произведению 1 процента от стоимости билета на количество фактически перевезенных пассажиров в течение года страхования.</w:t>
      </w:r>
    </w:p>
    <w:p>
      <w:pPr>
        <w:spacing w:after="60"/>
        <w:ind w:firstLine="567"/>
        <w:jc w:val="both"/>
      </w:pPr>
      <w:r>
        <w:rPr>
          <w:rFonts w:ascii="Arial" w:cs="Arial" w:eastAsia="Arial" w:hAnsi="Arial"/>
          <w:sz w:val="24"/>
          <w:szCs w:val="24"/>
        </w:rPr>
        <w:t xml:space="preserve">Договор страхования заключается сроком на один год на каждого фактически перевезенного пассажира.</w:t>
      </w:r>
    </w:p>
    <w:p>
      <w:pPr>
        <w:spacing w:after="60"/>
        <w:ind w:firstLine="567"/>
        <w:jc w:val="both"/>
      </w:pPr>
      <w:r>
        <w:rPr>
          <w:rFonts w:ascii="Arial" w:cs="Arial" w:eastAsia="Arial" w:hAnsi="Arial"/>
          <w:sz w:val="24"/>
          <w:szCs w:val="24"/>
        </w:rPr>
        <w:t xml:space="preserve">Лимит ответственности по риску нанесения вреда жизни и здоровью пассажиров составляет 300000 сомов на одного пассажира.</w:t>
      </w:r>
    </w:p>
    <w:p>
      <w:pPr>
        <w:spacing w:after="60"/>
        <w:ind w:firstLine="567"/>
        <w:jc w:val="both"/>
      </w:pPr>
      <w:r>
        <w:rPr>
          <w:rFonts w:ascii="Arial" w:cs="Arial" w:eastAsia="Arial" w:hAnsi="Arial"/>
          <w:sz w:val="24"/>
          <w:szCs w:val="24"/>
        </w:rPr>
        <w:t xml:space="preserve">Лимит по риску нанесения вреда имуществу одного пассажира составляет 10000 сомов.</w:t>
      </w:r>
    </w:p>
    <w:p>
      <w:pPr>
        <w:spacing w:after="60"/>
        <w:ind w:firstLine="567"/>
        <w:jc w:val="both"/>
      </w:pPr>
      <w:r>
        <w:rPr>
          <w:rFonts w:ascii="Arial" w:cs="Arial" w:eastAsia="Arial" w:hAnsi="Arial"/>
          <w:sz w:val="24"/>
          <w:szCs w:val="24"/>
        </w:rPr>
        <w:t xml:space="preserve">Общий лимит ответственности на одного пассажира составляет 310000 сомов.</w:t>
      </w:r>
    </w:p>
    <w:p>
      <w:pPr>
        <w:spacing w:after="200" w:before="200"/>
        <w:jc w:val="center"/>
      </w:pPr>
      <w:r>
        <w:rPr>
          <w:rFonts w:ascii="Arial" w:cs="Arial" w:eastAsia="Arial" w:hAnsi="Arial"/>
          <w:b/>
          <w:bCs/>
          <w:sz w:val="32"/>
          <w:szCs w:val="32"/>
        </w:rPr>
        <w:t xml:space="preserve">Таблица
 краткосрочности по обязательному страхованию гражданской ответственности перевозчика перед пассажирами</w:t>
      </w:r>
    </w:p>
    <w:p>
      <w:pPr>
        <w:spacing w:after="120"/>
        <w:ind w:firstLine="567"/>
        <w:jc w:val="both"/>
      </w:pPr>
      <w:r>
        <w:rPr>
          <w:rFonts w:ascii="Arial" w:cs="Arial" w:eastAsia="Arial" w:hAnsi="Arial"/>
          <w:sz w:val="24"/>
          <w:szCs w:val="24"/>
        </w:rPr>
        <w:t xml:space="preserve">При заключении договора страхования на срок менее двенадцати месяцев устанавливаются следующие размеры страховых премий: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2593"/>
        <w:gridCol w:w="7155"/>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страхования</w:t>
            </w:r>
          </w:p>
        </w:tc>
        <w:tc>
          <w:tcPr>
            <w:tcW w:type="dxa" w:w="71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страховой премии (в процентах от годовой страховой премии)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дней включительно</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месяца</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4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7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8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9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11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12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СТРУКТУРА
 тарифа по обязательному страхованию гражданской ответственности</w:t>
      </w:r>
    </w:p>
    <w:p>
      <w:pPr>
        <w:spacing w:after="200"/>
        <w:jc w:val="center"/>
      </w:pPr>
      <w:r>
        <w:rPr>
          <w:rFonts w:ascii="Arial" w:cs="Arial" w:eastAsia="Arial" w:hAnsi="Arial"/>
          <w:i/>
          <w:iCs/>
          <w:sz w:val="24"/>
          <w:szCs w:val="24"/>
        </w:rPr>
        <w:t xml:space="preserve">(В редакции постановления Кабинета Министров КР </w:t>
      </w:r>
      <w:hyperlink w:history="1" r:id="rId442mxqvo_tps_foyxlfqr">
        <w:r>
          <w:rPr>
            <w:rFonts w:ascii="Arial" w:cs="Arial" w:eastAsia="Arial" w:hAnsi="Arial"/>
            <w:i/>
            <w:iCs/>
            <w:color w:val="1D4ED8"/>
            <w:sz w:val="24"/>
            <w:szCs w:val="24"/>
            <w:u w:val="single"/>
          </w:rPr>
          <w:t xml:space="preserve">8 апреля 2022 года № 200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8959"/>
        <w:gridCol w:w="794"/>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Часть страхового тарифа</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Брутто-ставка страховой премии</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Нетто-ставка (часть брутто-ставки, предназначенная для обеспечения текущих страховых возмещений по договорам обязательного страхования)</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осуществление обязательного страхования</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 резерв предупредительных мероприятий по предотвращению и предупреждению наступления страховых случаев</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xib6wgmnntp32-byg9r">
      <w:r>
        <w:rPr>
          <w:rFonts w:ascii="Arial" w:cs="Arial" w:eastAsia="Arial" w:hAnsi="Arial"/>
          <w:color w:val="132D3F"/>
          <w:sz w:val="16"/>
          <w:szCs w:val="16"/>
          <w:u w:val="single"/>
        </w:rPr>
        <w:t xml:space="preserve">dalil.kg/document/92067</w:t>
      </w:r>
    </w:hyperlink>
  </w:p>
  <w:p>
    <w:pPr>
      <w:spacing w:after="0" w:before="40"/>
      <w:jc w:val="center"/>
    </w:pPr>
    <w:hyperlink w:history="1" r:id="rIdlc9olrfkh_jy9wzofzim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j2b0ta2fg-pcjqcyhfzg" Type="http://schemas.openxmlformats.org/officeDocument/2006/relationships/hyperlink" Target="https://dalil.kg/document/97422" TargetMode="External"/><Relationship Id="rIdtf7ej0v_u19f5egpc1v7e" Type="http://schemas.openxmlformats.org/officeDocument/2006/relationships/hyperlink" Target="https://dalil.kg/document/98317" TargetMode="External"/><Relationship Id="rIdji876sax6z4w188_p4ktz" Type="http://schemas.openxmlformats.org/officeDocument/2006/relationships/hyperlink" Target="https://dalil.kg/document/159104" TargetMode="External"/><Relationship Id="rIdz9pnxr46bjto7krkflrix" Type="http://schemas.openxmlformats.org/officeDocument/2006/relationships/hyperlink" Target="https://dalil.kg/document/202408" TargetMode="External"/><Relationship Id="rIdhyjkvv9qqvbe3ytkdijzs" Type="http://schemas.openxmlformats.org/officeDocument/2006/relationships/hyperlink" Target="https://dalil.kg/document/202402" TargetMode="External"/><Relationship Id="rIdgutzg7zpgoz_tldylgnrz" Type="http://schemas.openxmlformats.org/officeDocument/2006/relationships/hyperlink" Target="https://dalil.kg/document/202416" TargetMode="External"/><Relationship Id="rIdeutu3xq43dqzvps21ck1s" Type="http://schemas.openxmlformats.org/officeDocument/2006/relationships/hyperlink" Target="https://dalil.kg/document/202403" TargetMode="External"/><Relationship Id="rIdjtwuh5je1sow6cetywnem" Type="http://schemas.openxmlformats.org/officeDocument/2006/relationships/hyperlink" Target="https://dalil.kg/document/92067#p1" TargetMode="External"/><Relationship Id="rIdnieh9dlzxy5hxjzlf2nrf" Type="http://schemas.openxmlformats.org/officeDocument/2006/relationships/hyperlink" Target="https://dalil.kg/document/92067#p2" TargetMode="External"/><Relationship Id="rId7u6rhxlhc22-jq6y7ae04" Type="http://schemas.openxmlformats.org/officeDocument/2006/relationships/hyperlink" Target="https://dalil.kg/document/92067#p3" TargetMode="External"/><Relationship Id="rIdogdj1s02cxg2e-hvl_5vb" Type="http://schemas.openxmlformats.org/officeDocument/2006/relationships/hyperlink" Target="https://dalil.kg/document/92067#p4" TargetMode="External"/><Relationship Id="rIddb8kas1plcfw4eumpm1e3" Type="http://schemas.openxmlformats.org/officeDocument/2006/relationships/hyperlink" Target="https://dalil.kg/document/159104" TargetMode="External"/><Relationship Id="rId9rwlwiau9kxiubbabyhwb" Type="http://schemas.openxmlformats.org/officeDocument/2006/relationships/hyperlink" Target="https://dalil.kg/document/159104" TargetMode="External"/><Relationship Id="rIdhsbc-b9n4lv6mmsqd-gys" Type="http://schemas.openxmlformats.org/officeDocument/2006/relationships/hyperlink" Target="https://dalil.kg/document/59902" TargetMode="External"/><Relationship Id="rIdhji3woz3uw58yoiy73cn7" Type="http://schemas.openxmlformats.org/officeDocument/2006/relationships/hyperlink" Target="https://dalil.kg/document/92067" TargetMode="External"/><Relationship Id="rIdqe2ihyd5et0mmub9bo0ho" Type="http://schemas.openxmlformats.org/officeDocument/2006/relationships/hyperlink" Target="https://dalil.kg/document/4" TargetMode="External"/><Relationship Id="rIdnxn_pxrzarbaoner_ciny" Type="http://schemas.openxmlformats.org/officeDocument/2006/relationships/hyperlink" Target="https://dalil.kg/document/92067" TargetMode="External"/><Relationship Id="rIdi6gie7klurjdx4matf9fy" Type="http://schemas.openxmlformats.org/officeDocument/2006/relationships/hyperlink" Target="https://dalil.kg/document/159104" TargetMode="External"/><Relationship Id="rIdmcief1z8bhhrysnut2hnl" Type="http://schemas.openxmlformats.org/officeDocument/2006/relationships/hyperlink" Target="https://dalil.kg/document/159104" TargetMode="External"/><Relationship Id="rId442mxqvo_tps_foyxlfqr" Type="http://schemas.openxmlformats.org/officeDocument/2006/relationships/hyperlink" Target="https://dalil.kg/document/159104"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xib6wgmnntp32-byg9r" Type="http://schemas.openxmlformats.org/officeDocument/2006/relationships/hyperlink" Target="https://dalil.kg/document/92067" TargetMode="External"/><Relationship Id="rIdlc9olrfkh_jy9wzofzim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2026-09-25T02:15:33.858Z</dcterms:created>
  <dcterms:modified xsi:type="dcterms:W3CDTF">2026-09-25T02:15:33.858Z</dcterms:modified>
</cp:coreProperties>
</file>

<file path=docProps/custom.xml><?xml version="1.0" encoding="utf-8"?>
<Properties xmlns="http://schemas.openxmlformats.org/officeDocument/2006/custom-properties" xmlns:vt="http://schemas.openxmlformats.org/officeDocument/2006/docPropsVTypes"/>
</file>