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7xw0gfnpkawl_5eb3vnr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марта 2010 года № 149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В соответствии со статьей 34 </w:t>
      </w:r>
      <w:hyperlink w:history="1" r:id="rIdmka0iakrr2fa9zahm6wu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Правительство Кыргызской Республики не поддерживает проект Закона Кыргызской Республики "О внесении изменения и дополнений в </w:t>
      </w:r>
      <w:hyperlink w:history="1" r:id="rIdjxpb_8moj_eu7egvnpc3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инициированный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2. Одобрить прилагаемое </w:t>
      </w:r>
      <w:hyperlink w:history="1" r:id="rIdjovomr3k7wu5oowexo7d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 проекту Закона Кыргызской Республики "О внесении изменения и дополнений в </w:t>
      </w:r>
      <w:hyperlink w:history="1" r:id="rIdo5qnkefmfqccsnuj5zmt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инициированному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3.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cul8raqibgkynqc-dynu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марта 2010 года № 149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инициированный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Конституции Кыргызской Республики, подпунктом 7 пункта 1 статьи 11, статьями 28, 29 и 34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(далее - проект Закона), инициированный депутатом Жогорку Кенеша Кыргызской Республики Молдошевой Д.А.,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Как следует из справки-обоснования к проекту Закона, данным законопроектом предусматривается введение нормы о проведении анализа регулятивного воздействия не разработчиком, а уполномоченным органом, определяемым Правительством Кыргызской Республики, в целях повышения качества анализа регулятивного воздействия (далее - АРВ) и эффективного применения Методики, утвержденной Правительством Кыргызской Республики.</w:t>
      </w:r>
    </w:p>
    <w:p>
      <w:pPr>
        <w:spacing w:after="120"/>
        <w:jc w:val="both"/>
      </w:pPr>
      <w:r>
        <w:rPr>
          <w:rFonts w:ascii="Arial" w:cs="Arial" w:eastAsia="Arial" w:hAnsi="Arial"/>
          <w:sz w:val="24"/>
          <w:szCs w:val="24"/>
        </w:rPr>
        <w:t xml:space="preserve">Однако, министерства и ведомства Кыргызской Республики считают нецелесообразным проведение АРВ уполномоченным органом, определяемым Правительством Кыргызской Республики.</w:t>
      </w:r>
    </w:p>
    <w:p>
      <w:pPr>
        <w:spacing w:after="120"/>
        <w:jc w:val="both"/>
      </w:pPr>
      <w:r>
        <w:rPr>
          <w:rFonts w:ascii="Arial" w:cs="Arial" w:eastAsia="Arial" w:hAnsi="Arial"/>
          <w:sz w:val="24"/>
          <w:szCs w:val="24"/>
        </w:rPr>
        <w:t xml:space="preserve">Целью АРВ является принятие качественного управленческого решения, поскольку АРВ представляет собой аналитическую справку о существующем положении в рассматриваемой области.</w:t>
      </w:r>
    </w:p>
    <w:p>
      <w:pPr>
        <w:spacing w:after="120"/>
        <w:jc w:val="both"/>
      </w:pPr>
      <w:r>
        <w:rPr>
          <w:rFonts w:ascii="Arial" w:cs="Arial" w:eastAsia="Arial" w:hAnsi="Arial"/>
          <w:sz w:val="24"/>
          <w:szCs w:val="24"/>
        </w:rPr>
        <w:t xml:space="preserve">По своей сути АРВ является способом системного осмысления и решения задач государственного регулирования. АРВ можно определить как инструмент или метод, позволяющий, во-первых, давать систематическую оценку потенциальным последствиям государственного воздействия на экономику, во-вторых, обеспечить передачу этой информации лицам, принимающим решение. Готовящаяся мера государственного регулирования (законопроект или проект подзаконного акта) на ранней стадии подвергается анализу, который должен дать ответ на вопросы:</w:t>
      </w:r>
    </w:p>
    <w:p>
      <w:pPr>
        <w:spacing w:after="120"/>
        <w:jc w:val="both"/>
      </w:pPr>
      <w:r>
        <w:rPr>
          <w:rFonts w:ascii="Arial" w:cs="Arial" w:eastAsia="Arial" w:hAnsi="Arial"/>
          <w:sz w:val="24"/>
          <w:szCs w:val="24"/>
        </w:rPr>
        <w:t xml:space="preserve">- насколько необходимым является государственное вмешательство для решения существующих проблем;</w:t>
      </w:r>
    </w:p>
    <w:p>
      <w:pPr>
        <w:spacing w:after="120"/>
        <w:jc w:val="both"/>
      </w:pPr>
      <w:r>
        <w:rPr>
          <w:rFonts w:ascii="Arial" w:cs="Arial" w:eastAsia="Arial" w:hAnsi="Arial"/>
          <w:sz w:val="24"/>
          <w:szCs w:val="24"/>
        </w:rPr>
        <w:t xml:space="preserve">- будут ли достигнуты поставленные цели государственного регулирования;</w:t>
      </w:r>
    </w:p>
    <w:p>
      <w:pPr>
        <w:spacing w:after="120"/>
        <w:jc w:val="both"/>
      </w:pPr>
      <w:r>
        <w:rPr>
          <w:rFonts w:ascii="Arial" w:cs="Arial" w:eastAsia="Arial" w:hAnsi="Arial"/>
          <w:sz w:val="24"/>
          <w:szCs w:val="24"/>
        </w:rPr>
        <w:t xml:space="preserve">- является ли данная мера лучшим способом достичь этих целей;</w:t>
      </w:r>
    </w:p>
    <w:p>
      <w:pPr>
        <w:spacing w:after="120"/>
        <w:jc w:val="both"/>
      </w:pPr>
      <w:r>
        <w:rPr>
          <w:rFonts w:ascii="Arial" w:cs="Arial" w:eastAsia="Arial" w:hAnsi="Arial"/>
          <w:sz w:val="24"/>
          <w:szCs w:val="24"/>
        </w:rPr>
        <w:t xml:space="preserve">- каковы издержки государственного вмешательства.</w:t>
      </w:r>
    </w:p>
    <w:p>
      <w:pPr>
        <w:spacing w:after="120"/>
        <w:jc w:val="both"/>
      </w:pPr>
      <w:r>
        <w:rPr>
          <w:rFonts w:ascii="Arial" w:cs="Arial" w:eastAsia="Arial" w:hAnsi="Arial"/>
          <w:sz w:val="24"/>
          <w:szCs w:val="24"/>
        </w:rPr>
        <w:t xml:space="preserve">Говоря об анализе, предполагаемом АРВ, под АРВ понимают также само проведение эмпирических исследований, направленных на прогнозирование либо оценку фактического воздействия предложенных регулирующих актов на целевую аудиторию, рыночные структуры, государственный сектор, при этом анализ включает, в том числе, определение объемов, продолжительности и вероятности позитивных и негативных воздействий, пересчет позитивных и негативных эффектов в стоимостные показатели. Итогом проведенного АРВ может быть заключение о необходимости государственного вмешательства, только в случае государственного вмешательства готовится проект нормативного правового акта.</w:t>
      </w:r>
    </w:p>
    <w:p>
      <w:pPr>
        <w:spacing w:after="120"/>
        <w:jc w:val="both"/>
      </w:pPr>
      <w:r>
        <w:rPr>
          <w:rFonts w:ascii="Arial" w:cs="Arial" w:eastAsia="Arial" w:hAnsi="Arial"/>
          <w:sz w:val="24"/>
          <w:szCs w:val="24"/>
        </w:rPr>
        <w:t xml:space="preserve">АРВ является полезным средством, который предоставляет инициаторам разработки проектов нормативных правовых актов ценные эмпирические данные и всеобъемлющую структуру, в рамках которой они могут оценить возможности государства и потенциальные последствия принятия тех или иных решений. Недостаточное понимание существующих проблем или косвенного влияния государственных действий может подорвать регуляторные меры и привести к регуляторным ошибкам. Возложение на один орган проведение АРВ не решает проблемы качественной разработки АРВ, так как этот орган не может быть специалистом во всех отраслях экономики для выявления проблем и обеспечения того, что государственные действия будут оправданными и надлежащими.</w:t>
      </w:r>
    </w:p>
    <w:p>
      <w:pPr>
        <w:spacing w:after="120"/>
        <w:jc w:val="both"/>
      </w:pPr>
      <w:r>
        <w:rPr>
          <w:rFonts w:ascii="Arial" w:cs="Arial" w:eastAsia="Arial" w:hAnsi="Arial"/>
          <w:sz w:val="24"/>
          <w:szCs w:val="24"/>
        </w:rPr>
        <w:t xml:space="preserve">Таким образом, АРВ и проект нормативного правового акта не могут быть отдельными друг от друга документами, так как проект нормативного правового акта может быть только следствием АРВ и инструментом для принятия решения.</w:t>
      </w:r>
    </w:p>
    <w:p>
      <w:pPr>
        <w:spacing w:after="120"/>
        <w:jc w:val="both"/>
      </w:pPr>
      <w:r>
        <w:rPr>
          <w:rFonts w:ascii="Arial" w:cs="Arial" w:eastAsia="Arial" w:hAnsi="Arial"/>
          <w:sz w:val="24"/>
          <w:szCs w:val="24"/>
        </w:rPr>
        <w:t xml:space="preserve">Проект нормативного правового акта разрабатывается в зависимости от результата проведенного АРВ. В связи с чем и существует требование о том, что АРВ обеспечивается разработчиком.</w:t>
      </w:r>
    </w:p>
    <w:p>
      <w:pPr>
        <w:spacing w:after="120"/>
        <w:jc w:val="both"/>
      </w:pPr>
      <w:r>
        <w:rPr>
          <w:rFonts w:ascii="Arial" w:cs="Arial" w:eastAsia="Arial" w:hAnsi="Arial"/>
          <w:sz w:val="24"/>
          <w:szCs w:val="24"/>
        </w:rPr>
        <w:t xml:space="preserve">Проектом Закона также предлагается внести дополнения в статью 20 Закона Кыргызской Республики "О нормативных правовых актах Кыргызской Республики", которой предусматривается, что проекты нормативных правовых актов по вопросам обеспечения конституционных прав, свобод и обязанностей граждан; правового статуса общественных объединений, средств массовой информации; государственного бюджета,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должны подлежать правовой, правозащитной, гендерной, экологической, антикоррупционной и иной научной экспертизе (в зависимости от правоотношений, на регулирование которых направлен проект нормативного правового акта) должны подлежать экспертизе проведенного анализа регулятивного воздействия.</w:t>
      </w:r>
    </w:p>
    <w:p>
      <w:pPr>
        <w:spacing w:after="120"/>
        <w:jc w:val="both"/>
      </w:pPr>
      <w:r>
        <w:rPr>
          <w:rFonts w:ascii="Arial" w:cs="Arial" w:eastAsia="Arial" w:hAnsi="Arial"/>
          <w:sz w:val="24"/>
          <w:szCs w:val="24"/>
        </w:rPr>
        <w:t xml:space="preserve">Вместе с тем, необходимо отметить, что предметом регулирования названной статьи Закона является регламентация вопросов проведения правовой и иной научной экспертизы проектов нормативных правовых актов, в то время как АРВ посвящена статья 19 вышеназванного Закона.</w:t>
      </w:r>
    </w:p>
    <w:p>
      <w:pPr>
        <w:spacing w:after="120"/>
        <w:jc w:val="both"/>
      </w:pPr>
      <w:r>
        <w:rPr>
          <w:rFonts w:ascii="Arial" w:cs="Arial" w:eastAsia="Arial" w:hAnsi="Arial"/>
          <w:sz w:val="24"/>
          <w:szCs w:val="24"/>
        </w:rPr>
        <w:t xml:space="preserve">Кроме того, АРВ подлежат только проекты нормативных правовых актов, направленных на регулирование предпринимательской деятельности.</w:t>
      </w:r>
    </w:p>
    <w:p>
      <w:pPr>
        <w:spacing w:after="120"/>
        <w:jc w:val="both"/>
      </w:pPr>
      <w:r>
        <w:rPr>
          <w:rFonts w:ascii="Arial" w:cs="Arial" w:eastAsia="Arial" w:hAnsi="Arial"/>
          <w:sz w:val="24"/>
          <w:szCs w:val="24"/>
        </w:rPr>
        <w:t xml:space="preserve">Наряду с этим, рассматриваемым проектом предлагается часть вторую статьи 29 Закона Кыргызской Республики "О нормативных правовых актах Кыргызской Республики" дополнить частью девятой, устанавливающей, что соответствующий орган, издающий материалы, будет нести ответственность за качество подготовки и полноту помещаемых в нем нормативных правовых актов.</w:t>
      </w:r>
    </w:p>
    <w:p>
      <w:pPr>
        <w:spacing w:after="120"/>
        <w:jc w:val="both"/>
      </w:pPr>
      <w:r>
        <w:rPr>
          <w:rFonts w:ascii="Arial" w:cs="Arial" w:eastAsia="Arial" w:hAnsi="Arial"/>
          <w:sz w:val="24"/>
          <w:szCs w:val="24"/>
        </w:rPr>
        <w:t xml:space="preserve">В этой связи необходимо отметить, что за качество подготовки нормативных правовых актов ответственность несет непосредственно разработчик проекта. При этом, под опубликованием понимается точное воспроизведение в печатных изданиях принятых нормативных правовых актов, виновные лица привлекаются к ответственности по статьям 403 и 400 Кодекса Кыргызской Республики об административной ответственности. В связи с чем, Закон Кыргызской Республики "О нормативных правовых актах Кыргызской Республики" не требует указанного дополнения.</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не поддерживает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инициированный депутатом Жогорку Кенеша Кыргызской Республики Молдошевой 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xw0gfnpkawl_5eb3vnr0" Type="http://schemas.openxmlformats.org/officeDocument/2006/relationships/hyperlink" Target="http://kodeks.duckdns.org/document/159126" TargetMode="External"/><Relationship Id="rIdmka0iakrr2fa9zahm6wun" Type="http://schemas.openxmlformats.org/officeDocument/2006/relationships/hyperlink" Target="http://kodeks.duckdns.org/document/1754" TargetMode="External"/><Relationship Id="rIdjxpb_8moj_eu7egvnpc3a" Type="http://schemas.openxmlformats.org/officeDocument/2006/relationships/hyperlink" Target="http://kodeks.duckdns.org/document/202591" TargetMode="External"/><Relationship Id="rIdjovomr3k7wu5oowexo7dw" Type="http://schemas.openxmlformats.org/officeDocument/2006/relationships/hyperlink" Target="http://kodeks.duckdns.org/document/92104#p1" TargetMode="External"/><Relationship Id="rIdo5qnkefmfqccsnuj5zmt9" Type="http://schemas.openxmlformats.org/officeDocument/2006/relationships/hyperlink" Target="http://kodeks.duckdns.org/document/202591" TargetMode="External"/><Relationship Id="rIdcul8raqibgkynqc-dynum" Type="http://schemas.openxmlformats.org/officeDocument/2006/relationships/hyperlink" Target="http://kodeks.duckdns.org/document/9210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2026-09-23T13:15:25.042Z</dcterms:created>
  <dcterms:modified xsi:type="dcterms:W3CDTF">2026-09-23T13:15:25.042Z</dcterms:modified>
</cp:coreProperties>
</file>

<file path=docProps/custom.xml><?xml version="1.0" encoding="utf-8"?>
<Properties xmlns="http://schemas.openxmlformats.org/officeDocument/2006/custom-properties" xmlns:vt="http://schemas.openxmlformats.org/officeDocument/2006/docPropsVTypes"/>
</file>