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gpw_1730jgjh8q3lzxhw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13 февраля 2020 года № 79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марта 2010 года № 185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утверждении Требований к инфраструктуре, техническому оснащению и режиму работы складов временного хранения и таможенных складов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kaq3xsdf7cftx-0fhugz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марта 2012 года № 217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82swikcbhyi2dplkrvho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августа 2015 года № 563)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65 и 96 </w:t>
      </w:r>
      <w:hyperlink w:history="1" r:id="rIdnvvzfsavtygkn3zvtsi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таможенном регулировании в Кыргызской Республике"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hfbauscykoowyiuo3ag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августа 2015 года № 563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 </w:t>
      </w:r>
      <w:hyperlink w:history="1" r:id="rIdng4hgejkfn_qmwa3c9q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Требования</w:t>
        </w:r>
      </w:hyperlink>
      <w:r>
        <w:rPr>
          <w:rFonts w:ascii="Arial" w:cs="Arial" w:eastAsia="Arial" w:hAnsi="Arial"/>
          <w:sz w:val="24"/>
          <w:szCs w:val="24"/>
        </w:rPr>
        <w:t xml:space="preserve"> к инфраструктуре, техническому оснащению и режиму работы складов временного хранения и таможенных складов (далее - Требования).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срок приведения складов временного хранения и таможенных складов в соответствие с Требованиями в течение 180 (сто восемьдесят) дней со дня вступления в силу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15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4 мая 2010 года № 36-37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Государственную таможенную службу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Д. Усенов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Утверждены 
 постановлением Правительства 
 Кыргызской Республики 
 от 25 марта 2010 года № 185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ТРЕБОВАНИЯ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к инфраструктуре, техническому оснащению и режиму работы складов временного хранения и таможенных складов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x_8g0py-wksvy5rt7s6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марта 2012 года № 217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6 августа 2015 года № 563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Требования к инфраструктуре, техническому оснащению и режиму работы складов временного хранения и таможенных складов (далее - Требования) разработаны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65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96</w:t>
      </w:r>
      <w:hyperlink w:history="1" r:id="rIdgihv0fqdavzf4obkq7k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таможенном регулировании в Кыргызской Республике" и определяют условия при обустройстве и оборудовании складов временного хранения и таможенных складов.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caxtnjprtiqceuwwqnf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августа 2015 года № 563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настоящих Требованиях используются основные термины и определения в значениях, установленных таможенным законодательством Евразийского экономического союза, законодательством Кыргызской Республики в сфере таможенного дела, а также следующие термины и их определения: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таможенный склад - сооружение (помещение), в пределах которого могут размещаться иностранные товары, помещенные под таможенную процедуру таможенного склада, а также товары Таможенного союза, помещенные под таможенную процедуру экспорта;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сооружение (помещение) - здание (его часть), комплекс зданий, обустроенные и оборудованные территории и (или) открытые площадки, находящиеся под охраной либо имеющие режим контроля доступа физических лиц.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</w:t>
      </w:r>
      <w:hyperlink w:history="1" r:id="rId8lnee-odfdqzjcgnukk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6 августа 2015 года № 563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Помещения и (или) открытые площадки, предназначенные для использования в качестве склада временного хранения и таможенных складов (далее - склады), должны быть обустроены и оборудованы таким образом, чтобы: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обеспечить сохранность товаров;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исключить доступ к ним посторонних лиц (не являющихся работниками склада, не обладающих полномочиями в отношении товаров либо не являющихся представителями лиц, обладающих такими полномочиями);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обеспечить возможность проведения в отношении этих товаров таможенного контроля.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Склады должны соответствовать требованиям пожарной безопасности, санитарно-эпидемиологическим и техническим нормам, установленным нормативными правовыми актами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Территория склада не должна включать объекты, не связанные с функционированием склада.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Склады не могут располагаться на передвижных транспортных средствах или передвижном транспортном оборудовании любых видов.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Требования к инфраструктуре складов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К инфраструктуре (обустройству) складов предъявляются следующие обязательные требования: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наличие подъездных путей (в зависимости от вида транспорта);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наличие служебных помещений для сотрудников таможенных органов, производящих таможенные операции, связанные с помещением товаров под таможенную процедуру и таможенный контроль;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наличие крытой, обустроенной площадки, эстакады (или досмотровые ямы) для проведения таможенного досмотра товаров и транспортных средств;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наличие прилегаемой, охраняемой территории, оборудованной для стоянки транспортных средств, перевозящих товары, на время, необходимое для завершения таможенной операции перевозки товаров с применением автоматизированной системы доставки товаров;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д) наличие на территории складов или вблизи от места их расположения: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пунктов общественного питания (столовая, буфет и т.п.);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санитарно-бытовых удобств (уборная, душевая);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е) наличие на складах служебных помещений для таможенных представителей и уполномоченных контролирующих органов Кыргызской Республики по соблюдению нетарифных мер регулирования.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zhh1gnriotwbbfypmkv0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августа 2015 года № 563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Территория склада, включая примыкающие разгрузочные площадки (одно или несколько складских помещений и площадок при условии их местонахождения на единой территории по одному адресу), должна быть: охраняема, обозначена и ограждена по всему периметру и иметь твердое покрытие, обеспечивающее безопасное передвижение транспортных средств.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Ограждение территории склада должно представлять собой непрерывную конструкцию из: железобетона, бетона, кирпича, металлоконструкций, либо из комбинаций данных материалов и быть высотой не менее 2,2 метра, за исключением ограждения, расположенного внутри склада, капитального здания (строения), обеспечивающего сохранность товаров.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 фасаде ограждения (возле входных ворот или на контрольно-пропускных пунктах) должны быть вывешены знаки установленной формы, обозначающие зону таможенного контроля, на государственном, официальном и иностранном языках, в соответствии с Порядком создания и обозначения зон таможенного контроля, утверждаемым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r>
        <w:rPr>
          <w:rFonts w:ascii="Arial" w:cs="Arial" w:eastAsia="Arial" w:hAnsi="Arial"/>
          <w:sz w:val="24"/>
          <w:szCs w:val="24"/>
        </w:rPr>
        <w:t xml:space="preserve">6 августа 2015 года № 563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случае одновременного использования помещений и (или) открытых площадок для хранения товаров, находящихся на временном хранении, и товаров, помещенных под таможенную процедуру таможенного склада, части таких помещений и площадок должны быть изолированы друг от друга и иметь подъездные пути.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me0jgy1pco_4znipgey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августа 2015 года № 563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На складах, предназначенных для хранения товаров, требующих особых условий хранения, должны быть выделены: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обустроенные и специально приспособленные помещения, емкости - предназначенные для хранения товаров, которые могут причинить вред другим товарам или требующие особых условий хранения;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холодильные установки - для хранения скоропортящейся продукции;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специальные помещения с определенным температурным режимом - для хранения лекарственных средств.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lnn8pav0l1tn_l6jltj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28 марта 2012 года № 217)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Требования к техническому оснащению складов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К техническому оснащению складов предъявляются следующие обязательные требования: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наличие автоматизированной системы учета товаров, совместимой с программными продуктами, используемыми таможенными органами, оснащение соответствующими средствами защиты информации от несанкционированного доступа;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наличие телефонной и факсимильной связи, оргтехники и множительной техники, компьютеров, с доступом к глобальной сети Интернет, наличие локальной сети в служебных помещениях;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наличие погрузо-разгрузочной техники (например, автопогрузчики, электропогрузчики и электрокары, механические тележки, краны, тельферы, подъемники и т.п.);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наличие генератора для выработки электрического тока на случай необходимости обеспечения бесперебойного электроснабжения;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д) наличие сертифицированного весового оборудования с различными пределами взвешивания, обеспечивающего возможность взвешивания товаров и транспортных средств для осуществления таможенного контроля;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е) наличие двойных запорных устройств на воротах, помещениях, емкостях и других местах нахождения товаров и транспортных средств;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ж) (утратил силу в соответствии с </w:t>
      </w:r>
      <w:hyperlink w:history="1" r:id="rIdlwj6pbn89da0k3xfl5y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28 марта 2012 года № 217)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з) наличие информационного стенда, отражающих все сведения о складе и о порядке его функционирования;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и) наличие видеонаблюдения, функционирующего в круглосуточном режиме, позволяющего осуществлять просмотр видеоинформации о прошедших событиях в течение последних тридцати календарных дней на территории склада.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rbuzhffxfosb0af4qjdb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марта 2012 года № 217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9zdhb5nriuoxqgxasg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августа 2015 года № 563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Требования, указанные в подпункте "г" пункта 7, в пункте 12, к обустройству и оборудованию складов закрытого типа, находящихся на территориях предприятий и владельцами которых являются лица, осуществляющие производственную деятельность, могут не применяться, если помещения и (или) площади, предназначенные для использования в качестве склада, будут обустроены и оборудованы таким образом, чтобы обеспечить сохранность товаров, исключающие доступ к ним посторонних лиц (лиц, не являющихся работниками склада, не обладающих полномочиями в отношении товаров либо не являющихся представителями лиц, обладающих такими полномочиями), а также будут обеспечены возможностью проведения в отношении этих товаров таможенного контроля.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qb5zpk4yxvdl3twxx4s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марта 2012 года № 217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6 августа 2015 года № 563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Режим работы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Режим работы склада временного хранения - круглосуточный (для обеспечения въезда в любое время суток транспортных средств, перевозящих товары, находящихся под таможенным контролем).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Режим работы таможенного склада - согласно режиму работы таможенного органа, осуществляющего контроль за деятельностью склада.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pw_1730jgjh8q3lzxhwt" Type="http://schemas.openxmlformats.org/officeDocument/2006/relationships/hyperlink" Target="http://kodeks.duckdns.org/document/157558" TargetMode="External"/><Relationship Id="rIdkaq3xsdf7cftx-0fhugzt" Type="http://schemas.openxmlformats.org/officeDocument/2006/relationships/hyperlink" Target="http://kodeks.duckdns.org/document/93000" TargetMode="External"/><Relationship Id="rId82swikcbhyi2dplkrvhoe" Type="http://schemas.openxmlformats.org/officeDocument/2006/relationships/hyperlink" Target="http://kodeks.duckdns.org/document/98338" TargetMode="External"/><Relationship Id="rIdnvvzfsavtygkn3zvtsiot" Type="http://schemas.openxmlformats.org/officeDocument/2006/relationships/hyperlink" Target="http://kodeks.duckdns.org/document/205436" TargetMode="External"/><Relationship Id="rIdhfbauscykoowyiuo3agqk" Type="http://schemas.openxmlformats.org/officeDocument/2006/relationships/hyperlink" Target="http://kodeks.duckdns.org/document/98338" TargetMode="External"/><Relationship Id="rIdng4hgejkfn_qmwa3c9qfo" Type="http://schemas.openxmlformats.org/officeDocument/2006/relationships/hyperlink" Target="http://kodeks.duckdns.org/document/92140#p1" TargetMode="External"/><Relationship Id="rIdx_8g0py-wksvy5rt7s6jk" Type="http://schemas.openxmlformats.org/officeDocument/2006/relationships/hyperlink" Target="http://kodeks.duckdns.org/document/93000" TargetMode="External"/><Relationship Id="rIdgihv0fqdavzf4obkq7kps" Type="http://schemas.openxmlformats.org/officeDocument/2006/relationships/hyperlink" Target="http://kodeks.duckdns.org/document/205436" TargetMode="External"/><Relationship Id="rIdcaxtnjprtiqceuwwqnfll" Type="http://schemas.openxmlformats.org/officeDocument/2006/relationships/hyperlink" Target="http://kodeks.duckdns.org/document/98338" TargetMode="External"/><Relationship Id="rId8lnee-odfdqzjcgnukkwn" Type="http://schemas.openxmlformats.org/officeDocument/2006/relationships/hyperlink" Target="http://kodeks.duckdns.org/document/98338" TargetMode="External"/><Relationship Id="rIdzhh1gnriotwbbfypmkv0p" Type="http://schemas.openxmlformats.org/officeDocument/2006/relationships/hyperlink" Target="http://kodeks.duckdns.org/document/98338" TargetMode="External"/><Relationship Id="rIdme0jgy1pco_4znipgeyol" Type="http://schemas.openxmlformats.org/officeDocument/2006/relationships/hyperlink" Target="http://kodeks.duckdns.org/document/98338" TargetMode="External"/><Relationship Id="rIdlnn8pav0l1tn_l6jltjcu" Type="http://schemas.openxmlformats.org/officeDocument/2006/relationships/hyperlink" Target="http://kodeks.duckdns.org/document/93000" TargetMode="External"/><Relationship Id="rIdlwj6pbn89da0k3xfl5ysv" Type="http://schemas.openxmlformats.org/officeDocument/2006/relationships/hyperlink" Target="http://kodeks.duckdns.org/document/93000" TargetMode="External"/><Relationship Id="rIdrbuzhffxfosb0af4qjdb_" Type="http://schemas.openxmlformats.org/officeDocument/2006/relationships/hyperlink" Target="http://kodeks.duckdns.org/document/93000" TargetMode="External"/><Relationship Id="rIdn9zdhb5nriuoxqgxasgrg" Type="http://schemas.openxmlformats.org/officeDocument/2006/relationships/hyperlink" Target="http://kodeks.duckdns.org/document/98338" TargetMode="External"/><Relationship Id="rIdqb5zpk4yxvdl3twxx4sqy" Type="http://schemas.openxmlformats.org/officeDocument/2006/relationships/hyperlink" Target="http://kodeks.duckdns.org/document/93000" TargetMode="External"/><Relationship Id="rId7" Type="http://schemas.openxmlformats.org/officeDocument/2006/relationships/image" Target="media/93bec1c1538034512fe33c1434ae0ea86b639d33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2026-09-23T10:26:04.092Z</dcterms:created>
  <dcterms:modified xsi:type="dcterms:W3CDTF">2026-09-23T10:26:04.092Z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