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votjobmrop0bkgqc5we0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мая 2011 года №205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временном управляющем инвестиционным фондом</w:t>
      </w:r>
    </w:p>
    <w:p>
      <w:pPr>
        <w:spacing w:after="120"/>
        <w:jc w:val="both"/>
      </w:pPr>
      <w:r>
        <w:rPr>
          <w:rFonts w:ascii="Arial" w:cs="Arial" w:eastAsia="Arial" w:hAnsi="Arial"/>
          <w:sz w:val="24"/>
          <w:szCs w:val="24"/>
        </w:rPr>
        <w:t xml:space="preserve">1. Настоящее Положение определяет порядок передачи управления инвестиционным фондом временному управляющему, а также задачи, функции и особенности деятельности временного управляющего инвестиционным фондом.</w:t>
      </w:r>
    </w:p>
    <w:p>
      <w:pPr>
        <w:spacing w:after="120"/>
        <w:jc w:val="both"/>
      </w:pPr>
      <w:r>
        <w:rPr>
          <w:rFonts w:ascii="Arial" w:cs="Arial" w:eastAsia="Arial" w:hAnsi="Arial"/>
          <w:sz w:val="24"/>
          <w:szCs w:val="24"/>
        </w:rPr>
        <w:t xml:space="preserve">2. В соответствии со статьей 35 </w:t>
      </w:r>
      <w:hyperlink w:history="1" r:id="rIdsjfxnkbuzdsrlxzsnvwo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инвестиционных фондах" уполномоченный государственный орган по рынку ценных бумаг передает управление инвестиционным фондом временному управляющему в случаях:</w:t>
      </w:r>
    </w:p>
    <w:p>
      <w:pPr>
        <w:spacing w:after="120"/>
        <w:jc w:val="both"/>
      </w:pPr>
      <w:r>
        <w:rPr>
          <w:rFonts w:ascii="Arial" w:cs="Arial" w:eastAsia="Arial" w:hAnsi="Arial"/>
          <w:sz w:val="24"/>
          <w:szCs w:val="24"/>
        </w:rPr>
        <w:t xml:space="preserve">- установления фактов нарушений в деятельности инвестиционного фонда;</w:t>
      </w:r>
    </w:p>
    <w:p>
      <w:pPr>
        <w:spacing w:after="120"/>
        <w:jc w:val="both"/>
      </w:pPr>
      <w:r>
        <w:rPr>
          <w:rFonts w:ascii="Arial" w:cs="Arial" w:eastAsia="Arial" w:hAnsi="Arial"/>
          <w:sz w:val="24"/>
          <w:szCs w:val="24"/>
        </w:rPr>
        <w:t xml:space="preserve">- неудовлетворительного финансового состояния инвестиционного фонда;</w:t>
      </w:r>
    </w:p>
    <w:p>
      <w:pPr>
        <w:spacing w:after="120"/>
        <w:jc w:val="both"/>
      </w:pPr>
      <w:r>
        <w:rPr>
          <w:rFonts w:ascii="Arial" w:cs="Arial" w:eastAsia="Arial" w:hAnsi="Arial"/>
          <w:sz w:val="24"/>
          <w:szCs w:val="24"/>
        </w:rPr>
        <w:t xml:space="preserve">- возникновения разногласий между органами управления инвестиционного фонда, которые могут дезорганизовать его работу;</w:t>
      </w:r>
    </w:p>
    <w:p>
      <w:pPr>
        <w:spacing w:after="120"/>
        <w:jc w:val="both"/>
      </w:pPr>
      <w:r>
        <w:rPr>
          <w:rFonts w:ascii="Arial" w:cs="Arial" w:eastAsia="Arial" w:hAnsi="Arial"/>
          <w:sz w:val="24"/>
          <w:szCs w:val="24"/>
        </w:rPr>
        <w:t xml:space="preserve">- потери управления инвестиционным фондом.</w:t>
      </w:r>
    </w:p>
    <w:p>
      <w:pPr>
        <w:spacing w:after="120"/>
        <w:jc w:val="both"/>
      </w:pPr>
      <w:r>
        <w:rPr>
          <w:rFonts w:ascii="Arial" w:cs="Arial" w:eastAsia="Arial" w:hAnsi="Arial"/>
          <w:sz w:val="24"/>
          <w:szCs w:val="24"/>
        </w:rPr>
        <w:t xml:space="preserve">3. Решение о назначении временного управляющего в инвестиционный фонд принимается уполномоченным государственным органом по рынку ценных бумаг на основе представления, поданного соответствующим структурным подразделением уполномоченного государственного органа по рынку ценных бумаг, акционером (акционерами), являющимся владельцем не менее 20 процентов голосующих акций инвестиционного фонда.</w:t>
      </w:r>
    </w:p>
    <w:p>
      <w:pPr>
        <w:spacing w:after="120"/>
        <w:jc w:val="both"/>
      </w:pPr>
      <w:r>
        <w:rPr>
          <w:rFonts w:ascii="Arial" w:cs="Arial" w:eastAsia="Arial" w:hAnsi="Arial"/>
          <w:sz w:val="24"/>
          <w:szCs w:val="24"/>
        </w:rPr>
        <w:t xml:space="preserve">Указанное в настоящем пункте представление должно содержать обоснование передачи управления инвестиционным фондом временному управляющему, предложения по сроку его полномочий, а также список кандидатур, рекомендуемых на должность временного управляющего.</w:t>
      </w:r>
    </w:p>
    <w:p>
      <w:pPr>
        <w:spacing w:after="120"/>
        <w:jc w:val="both"/>
      </w:pPr>
      <w:r>
        <w:rPr>
          <w:rFonts w:ascii="Arial" w:cs="Arial" w:eastAsia="Arial" w:hAnsi="Arial"/>
          <w:sz w:val="24"/>
          <w:szCs w:val="24"/>
        </w:rPr>
        <w:t xml:space="preserve">Срок деятельности временного управляющего не может превышать шести месяцев.</w:t>
      </w:r>
    </w:p>
    <w:p>
      <w:pPr>
        <w:spacing w:after="120"/>
        <w:jc w:val="both"/>
      </w:pPr>
      <w:r>
        <w:rPr>
          <w:rFonts w:ascii="Arial" w:cs="Arial" w:eastAsia="Arial" w:hAnsi="Arial"/>
          <w:sz w:val="24"/>
          <w:szCs w:val="24"/>
        </w:rPr>
        <w:t xml:space="preserve">4. Назначение временного управления влечет за собой прекращение действия полномочий руководящих органов управления акционерного инвестиционного фонда и управляющей компании паевого инвестиционного фонда.</w:t>
      </w:r>
    </w:p>
    <w:p>
      <w:pPr>
        <w:spacing w:after="120"/>
        <w:jc w:val="both"/>
      </w:pPr>
      <w:r>
        <w:rPr>
          <w:rFonts w:ascii="Arial" w:cs="Arial" w:eastAsia="Arial" w:hAnsi="Arial"/>
          <w:sz w:val="24"/>
          <w:szCs w:val="24"/>
        </w:rPr>
        <w:t xml:space="preserve">5. Уполномоченный государственный орган по рынку ценных бумаг в недельный срок дает сообщение в печатных средствах массовой информации, доступных для большинства инвесторов инвестиционных фондов (акционеров и владельцев инвестиционных паев), о назначении временного управляющего инвестиционным фондом.</w:t>
      </w:r>
    </w:p>
    <w:p>
      <w:pPr>
        <w:spacing w:after="120"/>
        <w:jc w:val="both"/>
      </w:pPr>
      <w:r>
        <w:rPr>
          <w:rFonts w:ascii="Arial" w:cs="Arial" w:eastAsia="Arial" w:hAnsi="Arial"/>
          <w:sz w:val="24"/>
          <w:szCs w:val="24"/>
        </w:rPr>
        <w:t xml:space="preserve">6. Временным управляющим может быть назначено лицо, имеющее квалификационное свидетельство специалиста рынка ценных бумаг и стаж работы на рынке ценных бумаг не менее 3 лет.</w:t>
      </w:r>
    </w:p>
    <w:p>
      <w:pPr>
        <w:spacing w:after="120"/>
        <w:jc w:val="both"/>
      </w:pPr>
      <w:r>
        <w:rPr>
          <w:rFonts w:ascii="Arial" w:cs="Arial" w:eastAsia="Arial" w:hAnsi="Arial"/>
          <w:sz w:val="24"/>
          <w:szCs w:val="24"/>
        </w:rPr>
        <w:t xml:space="preserve">7. После назначения временного управляющего деятельность инвестиционного фонда может продолжаться под его контролем. В период работы временного управляющего акционерный инвестиционный фонд или управляющая компания паевого инвестиционного фонда вправе осуществлять все действия в соответствии с нормативными правовыми актами Кыргызской Республики, за исключением тех, осуществление которых временно запрещено или ограничено решением уполномоченного государственного органа по рынку ценных бумаг.</w:t>
      </w:r>
    </w:p>
    <w:p>
      <w:pPr>
        <w:spacing w:after="120"/>
        <w:jc w:val="both"/>
      </w:pPr>
      <w:r>
        <w:rPr>
          <w:rFonts w:ascii="Arial" w:cs="Arial" w:eastAsia="Arial" w:hAnsi="Arial"/>
          <w:sz w:val="24"/>
          <w:szCs w:val="24"/>
        </w:rPr>
        <w:t xml:space="preserve">8. Основной задачей временного управляющего является обеспечение сохранности активов инвестиционного фонда, проведение анализа его финансового положения и создание работоспособного управленческого механизма, обеспечивающего устранение выявленных нарушений и осуществление других мер по финансовому оздоровлению инвестиционного фонда.</w:t>
      </w:r>
    </w:p>
    <w:p>
      <w:pPr>
        <w:spacing w:after="120"/>
        <w:jc w:val="both"/>
      </w:pPr>
      <w:r>
        <w:rPr>
          <w:rFonts w:ascii="Arial" w:cs="Arial" w:eastAsia="Arial" w:hAnsi="Arial"/>
          <w:sz w:val="24"/>
          <w:szCs w:val="24"/>
        </w:rPr>
        <w:t xml:space="preserve">Временный управляющий проводит следующие мероприятия:</w:t>
      </w:r>
    </w:p>
    <w:p>
      <w:pPr>
        <w:spacing w:after="120"/>
        <w:jc w:val="both"/>
      </w:pPr>
      <w:r>
        <w:rPr>
          <w:rFonts w:ascii="Arial" w:cs="Arial" w:eastAsia="Arial" w:hAnsi="Arial"/>
          <w:sz w:val="24"/>
          <w:szCs w:val="24"/>
        </w:rPr>
        <w:t xml:space="preserve">- производит замену образцов подписей должностных лиц инвестиционного фонда и сообщает об этом филиалам инвестиционного фонда;</w:t>
      </w:r>
    </w:p>
    <w:p>
      <w:pPr>
        <w:spacing w:after="120"/>
        <w:jc w:val="both"/>
      </w:pPr>
      <w:r>
        <w:rPr>
          <w:rFonts w:ascii="Arial" w:cs="Arial" w:eastAsia="Arial" w:hAnsi="Arial"/>
          <w:sz w:val="24"/>
          <w:szCs w:val="24"/>
        </w:rPr>
        <w:t xml:space="preserve">- производит опись всех имеющихся документов инвестиционного фонда (учредительных, бухгалтерских и других);</w:t>
      </w:r>
    </w:p>
    <w:p>
      <w:pPr>
        <w:spacing w:after="120"/>
        <w:jc w:val="both"/>
      </w:pPr>
      <w:r>
        <w:rPr>
          <w:rFonts w:ascii="Arial" w:cs="Arial" w:eastAsia="Arial" w:hAnsi="Arial"/>
          <w:sz w:val="24"/>
          <w:szCs w:val="24"/>
        </w:rPr>
        <w:t xml:space="preserve">- создает комиссию и проводит инвентаризацию имущества инвестиционного фонда;</w:t>
      </w:r>
    </w:p>
    <w:p>
      <w:pPr>
        <w:spacing w:after="120"/>
        <w:jc w:val="both"/>
      </w:pPr>
      <w:r>
        <w:rPr>
          <w:rFonts w:ascii="Arial" w:cs="Arial" w:eastAsia="Arial" w:hAnsi="Arial"/>
          <w:sz w:val="24"/>
          <w:szCs w:val="24"/>
        </w:rPr>
        <w:t xml:space="preserve">- принимает меры к сохранению наличного имущества инвестиционного фонда;</w:t>
      </w:r>
    </w:p>
    <w:p>
      <w:pPr>
        <w:spacing w:after="120"/>
        <w:jc w:val="both"/>
      </w:pPr>
      <w:r>
        <w:rPr>
          <w:rFonts w:ascii="Arial" w:cs="Arial" w:eastAsia="Arial" w:hAnsi="Arial"/>
          <w:sz w:val="24"/>
          <w:szCs w:val="24"/>
        </w:rPr>
        <w:t xml:space="preserve">- составляет балансовый отчет инвестиционного фонда на дату своего назначения;</w:t>
      </w:r>
    </w:p>
    <w:p>
      <w:pPr>
        <w:spacing w:after="120"/>
        <w:jc w:val="both"/>
      </w:pPr>
      <w:r>
        <w:rPr>
          <w:rFonts w:ascii="Arial" w:cs="Arial" w:eastAsia="Arial" w:hAnsi="Arial"/>
          <w:sz w:val="24"/>
          <w:szCs w:val="24"/>
        </w:rPr>
        <w:t xml:space="preserve">- составляет детальный список кредиторов и дебиторов инвестиционного фонда с указанием сумм обязательств;</w:t>
      </w:r>
    </w:p>
    <w:p>
      <w:pPr>
        <w:spacing w:after="120"/>
        <w:jc w:val="both"/>
      </w:pPr>
      <w:r>
        <w:rPr>
          <w:rFonts w:ascii="Arial" w:cs="Arial" w:eastAsia="Arial" w:hAnsi="Arial"/>
          <w:sz w:val="24"/>
          <w:szCs w:val="24"/>
        </w:rPr>
        <w:t xml:space="preserve">- осуществляет работу по выявлению и взысканию дебиторской задолженности в соответствии с действующим законодательством;</w:t>
      </w:r>
    </w:p>
    <w:p>
      <w:pPr>
        <w:spacing w:after="120"/>
        <w:jc w:val="both"/>
      </w:pPr>
      <w:r>
        <w:rPr>
          <w:rFonts w:ascii="Arial" w:cs="Arial" w:eastAsia="Arial" w:hAnsi="Arial"/>
          <w:sz w:val="24"/>
          <w:szCs w:val="24"/>
        </w:rPr>
        <w:t xml:space="preserve">- проводит подробный анализ финансового состояния и дает оценку инвестиционным активам инвестиционного фонда;</w:t>
      </w:r>
    </w:p>
    <w:p>
      <w:pPr>
        <w:spacing w:after="120"/>
        <w:jc w:val="both"/>
      </w:pPr>
      <w:r>
        <w:rPr>
          <w:rFonts w:ascii="Arial" w:cs="Arial" w:eastAsia="Arial" w:hAnsi="Arial"/>
          <w:sz w:val="24"/>
          <w:szCs w:val="24"/>
        </w:rPr>
        <w:t xml:space="preserve">- организует, при необходимости, аудиторскую проверку деятельности инвестиционного фонда и сверку финансовой деятельности с действительным положением дел в инвестиционном фонде;</w:t>
      </w:r>
    </w:p>
    <w:p>
      <w:pPr>
        <w:spacing w:after="120"/>
        <w:jc w:val="both"/>
      </w:pPr>
      <w:r>
        <w:rPr>
          <w:rFonts w:ascii="Arial" w:cs="Arial" w:eastAsia="Arial" w:hAnsi="Arial"/>
          <w:sz w:val="24"/>
          <w:szCs w:val="24"/>
        </w:rPr>
        <w:t xml:space="preserve">- разрабатывает план финансового оздоровления инвестиционного фонда и организует его выполнение;</w:t>
      </w:r>
    </w:p>
    <w:p>
      <w:pPr>
        <w:spacing w:after="120"/>
        <w:jc w:val="both"/>
      </w:pPr>
      <w:r>
        <w:rPr>
          <w:rFonts w:ascii="Arial" w:cs="Arial" w:eastAsia="Arial" w:hAnsi="Arial"/>
          <w:sz w:val="24"/>
          <w:szCs w:val="24"/>
        </w:rPr>
        <w:t xml:space="preserve">- осуществляет необходимые мероприятия согласно требованиям нормативных правовых актов Кыргызской Республики;</w:t>
      </w:r>
    </w:p>
    <w:p>
      <w:pPr>
        <w:spacing w:after="120"/>
        <w:jc w:val="both"/>
      </w:pPr>
      <w:r>
        <w:rPr>
          <w:rFonts w:ascii="Arial" w:cs="Arial" w:eastAsia="Arial" w:hAnsi="Arial"/>
          <w:sz w:val="24"/>
          <w:szCs w:val="24"/>
        </w:rPr>
        <w:t xml:space="preserve">- выполняет другие функции, возложенные уполномоченным государственным органом по рынку ценных бумаг и предусмотренные нормативными правовыми актами Кыргызской Республики.</w:t>
      </w:r>
    </w:p>
    <w:p>
      <w:pPr>
        <w:spacing w:after="120"/>
        <w:jc w:val="both"/>
      </w:pPr>
      <w:r>
        <w:rPr>
          <w:rFonts w:ascii="Arial" w:cs="Arial" w:eastAsia="Arial" w:hAnsi="Arial"/>
          <w:sz w:val="24"/>
          <w:szCs w:val="24"/>
        </w:rPr>
        <w:t xml:space="preserve">Одновременно временный управляющий издает приказы по следующим вопросам:</w:t>
      </w:r>
    </w:p>
    <w:p>
      <w:pPr>
        <w:spacing w:after="120"/>
        <w:jc w:val="both"/>
      </w:pPr>
      <w:r>
        <w:rPr>
          <w:rFonts w:ascii="Arial" w:cs="Arial" w:eastAsia="Arial" w:hAnsi="Arial"/>
          <w:sz w:val="24"/>
          <w:szCs w:val="24"/>
        </w:rPr>
        <w:t xml:space="preserve">- о передаче права подписи на все документы, исходящие из инвестиционного фонда, временному управляющему;</w:t>
      </w:r>
    </w:p>
    <w:p>
      <w:pPr>
        <w:spacing w:after="120"/>
        <w:jc w:val="both"/>
      </w:pPr>
      <w:r>
        <w:rPr>
          <w:rFonts w:ascii="Arial" w:cs="Arial" w:eastAsia="Arial" w:hAnsi="Arial"/>
          <w:sz w:val="24"/>
          <w:szCs w:val="24"/>
        </w:rPr>
        <w:t xml:space="preserve">- о временном прекращении полномочий руководящих органов управления акционерного инвестиционного фонда или управляющей компании паевого инвестиционного фонда;</w:t>
      </w:r>
    </w:p>
    <w:p>
      <w:pPr>
        <w:spacing w:after="120"/>
        <w:jc w:val="both"/>
      </w:pPr>
      <w:r>
        <w:rPr>
          <w:rFonts w:ascii="Arial" w:cs="Arial" w:eastAsia="Arial" w:hAnsi="Arial"/>
          <w:sz w:val="24"/>
          <w:szCs w:val="24"/>
        </w:rPr>
        <w:t xml:space="preserve">- об административно-материальной ответственности всех сотрудников инвестиционного фонда за сохранность документов, материальных ценностей и средств инвестиционного фонда.</w:t>
      </w:r>
    </w:p>
    <w:p>
      <w:pPr>
        <w:spacing w:after="120"/>
        <w:jc w:val="both"/>
      </w:pPr>
      <w:r>
        <w:rPr>
          <w:rFonts w:ascii="Arial" w:cs="Arial" w:eastAsia="Arial" w:hAnsi="Arial"/>
          <w:sz w:val="24"/>
          <w:szCs w:val="24"/>
        </w:rPr>
        <w:t xml:space="preserve">9. Временный управляющий вправе:</w:t>
      </w:r>
    </w:p>
    <w:p>
      <w:pPr>
        <w:spacing w:after="120"/>
        <w:jc w:val="both"/>
      </w:pPr>
      <w:r>
        <w:rPr>
          <w:rFonts w:ascii="Arial" w:cs="Arial" w:eastAsia="Arial" w:hAnsi="Arial"/>
          <w:sz w:val="24"/>
          <w:szCs w:val="24"/>
        </w:rPr>
        <w:t xml:space="preserve">- требовать от руководителей и других должностных лиц фонда представления необходимых документов и информации о деятельности инвестиционного фонда;</w:t>
      </w:r>
    </w:p>
    <w:p>
      <w:pPr>
        <w:spacing w:after="120"/>
        <w:jc w:val="both"/>
      </w:pPr>
      <w:r>
        <w:rPr>
          <w:rFonts w:ascii="Arial" w:cs="Arial" w:eastAsia="Arial" w:hAnsi="Arial"/>
          <w:sz w:val="24"/>
          <w:szCs w:val="24"/>
        </w:rPr>
        <w:t xml:space="preserve">- запрашивать от государственных органов необходимую информацию относительно деятельности инвестиционного фонда (в случае передачи материалов или представления копий документов составляется акт приема-передачи);</w:t>
      </w:r>
    </w:p>
    <w:p>
      <w:pPr>
        <w:spacing w:after="120"/>
        <w:jc w:val="both"/>
      </w:pPr>
      <w:r>
        <w:rPr>
          <w:rFonts w:ascii="Arial" w:cs="Arial" w:eastAsia="Arial" w:hAnsi="Arial"/>
          <w:sz w:val="24"/>
          <w:szCs w:val="24"/>
        </w:rPr>
        <w:t xml:space="preserve">- получать разъяснения от руководителей, должностных лиц фонда и от других лиц, которые непосредственно были связаны с деятельностью фонда.</w:t>
      </w:r>
    </w:p>
    <w:p>
      <w:pPr>
        <w:spacing w:after="120"/>
        <w:jc w:val="both"/>
      </w:pPr>
      <w:r>
        <w:rPr>
          <w:rFonts w:ascii="Arial" w:cs="Arial" w:eastAsia="Arial" w:hAnsi="Arial"/>
          <w:sz w:val="24"/>
          <w:szCs w:val="24"/>
        </w:rPr>
        <w:t xml:space="preserve">10. Органы управления акционерного инвестиционного фонда и управляющая компания паевого инвестиционного фонда обязаны в срок не более 10 дней после принятия уполномоченным органом по рынку ценных бумаг решения о назначении временного управляющего передать все документы, касающиеся деятельности инвестиционного фонда, временному управляющему.</w:t>
      </w:r>
    </w:p>
    <w:p>
      <w:pPr>
        <w:spacing w:after="120"/>
        <w:jc w:val="both"/>
      </w:pPr>
      <w:r>
        <w:rPr>
          <w:rFonts w:ascii="Arial" w:cs="Arial" w:eastAsia="Arial" w:hAnsi="Arial"/>
          <w:sz w:val="24"/>
          <w:szCs w:val="24"/>
        </w:rPr>
        <w:t xml:space="preserve">11. За нарушение требований настоящего Положения должностные лица инвестиционного фонда несут ответственность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12. В период управления инвестиционным фондом временный управляющий несет ответственность в соответствии с нормативными правовыми актами Кыргызской Республики. Временный управляющий несет ответственность за соблюдение строгой конфиденциальности информации и должен использовать ее только в интересах инвестиционного фонда. Временный управляющий имеет право представлять указанную информацию в случаях, предусмотренных нормативными правовыми актами Кыргызской Республики.</w:t>
      </w:r>
    </w:p>
    <w:p>
      <w:pPr>
        <w:spacing w:after="120"/>
        <w:jc w:val="both"/>
      </w:pPr>
      <w:r>
        <w:rPr>
          <w:rFonts w:ascii="Arial" w:cs="Arial" w:eastAsia="Arial" w:hAnsi="Arial"/>
          <w:sz w:val="24"/>
          <w:szCs w:val="24"/>
        </w:rPr>
        <w:t xml:space="preserve">13. Временный управляющий ежемесячно представляет в уполномоченный государственный орган по рынку ценных бумаг отчеты в письменной форме о ходе и результатах своей деятельности по управлению инвестиционным фондом.</w:t>
      </w:r>
    </w:p>
    <w:p>
      <w:pPr>
        <w:spacing w:after="120"/>
        <w:jc w:val="both"/>
      </w:pPr>
      <w:r>
        <w:rPr>
          <w:rFonts w:ascii="Arial" w:cs="Arial" w:eastAsia="Arial" w:hAnsi="Arial"/>
          <w:sz w:val="24"/>
          <w:szCs w:val="24"/>
        </w:rPr>
        <w:t xml:space="preserve">По окончании срока полномочий временный управляющий составляет и представляет в уполномоченный государственный орган по рынку ценных бумаг полный отчет о проделанной работе, а также предложения о возможности реабилитации или ликвидации инвестиционного фонда.</w:t>
      </w:r>
    </w:p>
    <w:p>
      <w:pPr>
        <w:spacing w:after="120"/>
        <w:jc w:val="both"/>
      </w:pPr>
      <w:r>
        <w:rPr>
          <w:rFonts w:ascii="Arial" w:cs="Arial" w:eastAsia="Arial" w:hAnsi="Arial"/>
          <w:sz w:val="24"/>
          <w:szCs w:val="24"/>
        </w:rPr>
        <w:t xml:space="preserve">14. Временный управляющий инвестиционного фонда должен в установленный уполномоченным государственным органом по рынку ценных бумаг срок провести необходимые мероприятия по выполнению задач, предусмотренных настоящим Положением.</w:t>
      </w:r>
    </w:p>
    <w:p>
      <w:pPr>
        <w:spacing w:after="120"/>
        <w:jc w:val="both"/>
      </w:pPr>
      <w:r>
        <w:rPr>
          <w:rFonts w:ascii="Arial" w:cs="Arial" w:eastAsia="Arial" w:hAnsi="Arial"/>
          <w:sz w:val="24"/>
          <w:szCs w:val="24"/>
        </w:rPr>
        <w:t xml:space="preserve">15. Расходы на содержание временного управляющего, включая оплату труда, транспортные и другие расходы, производятся за счет средств инвестиционного фонда.</w:t>
      </w:r>
    </w:p>
    <w:p>
      <w:pPr>
        <w:spacing w:after="120"/>
        <w:jc w:val="both"/>
      </w:pPr>
      <w:r>
        <w:rPr>
          <w:rFonts w:ascii="Arial" w:cs="Arial" w:eastAsia="Arial" w:hAnsi="Arial"/>
          <w:sz w:val="24"/>
          <w:szCs w:val="24"/>
        </w:rPr>
        <w:t xml:space="preserve">Указанные в настоящем пункте расходы в совокупности с расходами инвестиционного фонда, произошедшими до назначения временного управляющего, не должны превышать норм, установленных нормативными правовыми актами Кыргызской Республики.</w:t>
      </w:r>
    </w:p>
    <w:p>
      <w:pPr>
        <w:spacing w:after="120"/>
        <w:jc w:val="both"/>
      </w:pPr>
      <w:r>
        <w:rPr>
          <w:rFonts w:ascii="Arial" w:cs="Arial" w:eastAsia="Arial" w:hAnsi="Arial"/>
          <w:sz w:val="24"/>
          <w:szCs w:val="24"/>
        </w:rPr>
        <w:t xml:space="preserve">Оплата труда временного управляющего в совокупности с вознаграждением исполнительного органа акционерного инвестиционного фонда или управляющей компании паевого инвестиционного фонда, полученным ими до назначения временного управляющего, не может превышать норм, установленных документами инвестиционного фонда и нормативными правовыми актами Кыргызской Республики.</w:t>
      </w:r>
    </w:p>
    <w:p>
      <w:pPr>
        <w:spacing w:after="120"/>
        <w:jc w:val="both"/>
      </w:pPr>
      <w:r>
        <w:rPr>
          <w:rFonts w:ascii="Arial" w:cs="Arial" w:eastAsia="Arial" w:hAnsi="Arial"/>
          <w:sz w:val="24"/>
          <w:szCs w:val="24"/>
        </w:rPr>
        <w:t xml:space="preserve">16. Деятельность временного управляющего прекращается в случаях:</w:t>
      </w:r>
    </w:p>
    <w:p>
      <w:pPr>
        <w:spacing w:after="120"/>
        <w:jc w:val="both"/>
      </w:pPr>
      <w:r>
        <w:rPr>
          <w:rFonts w:ascii="Arial" w:cs="Arial" w:eastAsia="Arial" w:hAnsi="Arial"/>
          <w:sz w:val="24"/>
          <w:szCs w:val="24"/>
        </w:rPr>
        <w:t xml:space="preserve">- выполнения возложенных на него задач;</w:t>
      </w:r>
    </w:p>
    <w:p>
      <w:pPr>
        <w:spacing w:after="120"/>
        <w:jc w:val="both"/>
      </w:pPr>
      <w:r>
        <w:rPr>
          <w:rFonts w:ascii="Arial" w:cs="Arial" w:eastAsia="Arial" w:hAnsi="Arial"/>
          <w:sz w:val="24"/>
          <w:szCs w:val="24"/>
        </w:rPr>
        <w:t xml:space="preserve">- представления в уполномоченный государственный орган по рынку ценных бумаг обоснованного вывода о невозможности достижения поставленной перед ним цели;</w:t>
      </w:r>
    </w:p>
    <w:p>
      <w:pPr>
        <w:spacing w:after="120"/>
        <w:jc w:val="both"/>
      </w:pPr>
      <w:r>
        <w:rPr>
          <w:rFonts w:ascii="Arial" w:cs="Arial" w:eastAsia="Arial" w:hAnsi="Arial"/>
          <w:sz w:val="24"/>
          <w:szCs w:val="24"/>
        </w:rPr>
        <w:t xml:space="preserve">- истечения срока деятельности временного управляющего.</w:t>
      </w:r>
    </w:p>
    <w:p>
      <w:pPr>
        <w:spacing w:after="120"/>
        <w:jc w:val="both"/>
      </w:pPr>
      <w:r>
        <w:rPr>
          <w:rFonts w:ascii="Arial" w:cs="Arial" w:eastAsia="Arial" w:hAnsi="Arial"/>
          <w:sz w:val="24"/>
          <w:szCs w:val="24"/>
        </w:rPr>
        <w:t xml:space="preserve">17. По окончании срока своих полномочий временный управляющий обязан своим приказом восстановить полномочия руководящих органов управления акционерного инвестиционного фонда или управляющей компании паевого инвестиционного фонда.</w:t>
      </w:r>
    </w:p>
    <w:p>
      <w:pPr>
        <w:spacing w:after="120"/>
        <w:jc w:val="both"/>
      </w:pPr>
      <w:r>
        <w:rPr>
          <w:rFonts w:ascii="Arial" w:cs="Arial" w:eastAsia="Arial" w:hAnsi="Arial"/>
          <w:sz w:val="24"/>
          <w:szCs w:val="24"/>
        </w:rPr>
        <w:t xml:space="preserve">18. Временный управляющий может быть освобожден от выполнения возложенных на него обязанностей по своей инициативе либо по инициативе уполномоченного государственного органа по рынку ценных бумаг только решением уполномоченного государственного органа по рынку ценных бумаг.</w:t>
      </w:r>
    </w:p>
    <w:p>
      <w:pPr>
        <w:spacing w:after="120"/>
        <w:jc w:val="both"/>
      </w:pPr>
      <w:r>
        <w:rPr>
          <w:rFonts w:ascii="Arial" w:cs="Arial" w:eastAsia="Arial" w:hAnsi="Arial"/>
          <w:sz w:val="24"/>
          <w:szCs w:val="24"/>
        </w:rPr>
        <w:t xml:space="preserve">19. В соответствии с </w:t>
      </w:r>
      <w:hyperlink w:history="1" r:id="rIdodify6zd0cr-_uf5brtv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 уполномоченный государственный орган по рынку ценных бумаг может инициировать созыв внеочередного, годового общего собрания акционеров акционерного инвестиционного фонда в целях рассмотрения отчета о проделанной работе временного управляющего и предложения о возможности реабилитации или ликвидации инвестиционного фонда.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6falhnueclono6h2net">
      <w:r>
        <w:rPr>
          <w:rFonts w:ascii="Arial" w:cs="Arial" w:eastAsia="Arial" w:hAnsi="Arial"/>
          <w:color w:val="132D3F"/>
          <w:sz w:val="16"/>
          <w:szCs w:val="16"/>
          <w:u w:val="single"/>
        </w:rPr>
        <w:t xml:space="preserve">dalil.kg/document/92549</w:t>
      </w:r>
    </w:hyperlink>
  </w:p>
  <w:p>
    <w:pPr>
      <w:spacing w:after="0" w:before="40"/>
      <w:jc w:val="center"/>
    </w:pPr>
    <w:hyperlink w:history="1" r:id="rIdgkw6orbxh8mmupbjcsqj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otjobmrop0bkgqc5we0n" Type="http://schemas.openxmlformats.org/officeDocument/2006/relationships/hyperlink" Target="https://dalil.kg/document/92548" TargetMode="External"/><Relationship Id="rIdsjfxnkbuzdsrlxzsnvwob" Type="http://schemas.openxmlformats.org/officeDocument/2006/relationships/hyperlink" Target="https://dalil.kg/document/255" TargetMode="External"/><Relationship Id="rIdodify6zd0cr-_uf5brtvs"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6falhnueclono6h2net" Type="http://schemas.openxmlformats.org/officeDocument/2006/relationships/hyperlink" Target="https://dalil.kg/document/92549" TargetMode="External"/><Relationship Id="rIdgkw6orbxh8mmupbjcsqj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2026-10-05T20:16:23.574Z</dcterms:created>
  <dcterms:modified xsi:type="dcterms:W3CDTF">2026-10-05T20:16:23.574Z</dcterms:modified>
</cp:coreProperties>
</file>

<file path=docProps/custom.xml><?xml version="1.0" encoding="utf-8"?>
<Properties xmlns="http://schemas.openxmlformats.org/officeDocument/2006/custom-properties" xmlns:vt="http://schemas.openxmlformats.org/officeDocument/2006/docPropsVTypes"/>
</file>