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arcnstjlfrypbsxgwwmn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июня 2017 года № 413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16 мая 2011 года № 224</w:t>
      </w:r>
    </w:p>
    <w:p>
      <w:pPr>
        <w:spacing w:after="120"/>
        <w:jc w:val="both"/>
      </w:pPr>
      <w:r>
        <w:rPr>
          <w:rFonts w:ascii="Arial" w:cs="Arial" w:eastAsia="Arial" w:hAnsi="Arial"/>
          <w:sz w:val="24"/>
          <w:szCs w:val="24"/>
        </w:rPr>
        <w:t xml:space="preserve">Об утверждении Положения по организации бухгалтерского учета в бюджетных учреждениях</w:t>
      </w:r>
    </w:p>
    <w:p>
      <w:pPr>
        <w:spacing w:after="240"/>
        <w:jc w:val="center"/>
      </w:pPr>
      <w:r>
        <w:rPr>
          <w:rFonts w:ascii="Arial" w:cs="Arial" w:eastAsia="Arial" w:hAnsi="Arial"/>
          <w:i/>
          <w:iCs/>
          <w:sz w:val="24"/>
          <w:szCs w:val="24"/>
        </w:rPr>
        <w:t xml:space="preserve">(В редакции постановления Правительства КР </w:t>
      </w:r>
      <w:hyperlink w:history="1" r:id="rIdcxrbcibmpyevdcpn0bfc9">
        <w:r>
          <w:rPr>
            <w:rFonts w:ascii="Arial" w:cs="Arial" w:eastAsia="Arial" w:hAnsi="Arial"/>
            <w:i/>
            <w:iCs/>
            <w:color w:val="1D4ED8"/>
            <w:sz w:val="24"/>
            <w:szCs w:val="24"/>
            <w:u w:val="single"/>
          </w:rPr>
          <w:t xml:space="preserve">3 ноября 2014 года № 624</w:t>
        </w:r>
      </w:hyperlink>
      <w:r>
        <w:rPr>
          <w:rFonts w:ascii="Arial" w:cs="Arial" w:eastAsia="Arial" w:hAnsi="Arial"/>
          <w:i/>
          <w:iCs/>
          <w:sz w:val="24"/>
          <w:szCs w:val="24"/>
        </w:rPr>
        <w:t xml:space="preserve">)</w:t>
      </w:r>
    </w:p>
    <w:p>
      <w:pPr>
        <w:spacing w:after="120" w:before="240"/>
        <w:jc w:val="both"/>
      </w:pPr>
      <w:r>
        <w:rPr>
          <w:rFonts w:ascii="Arial" w:cs="Arial" w:eastAsia="Arial" w:hAnsi="Arial"/>
          <w:sz w:val="24"/>
          <w:szCs w:val="24"/>
        </w:rPr>
        <w:t xml:space="preserve">В соответствии с законами Кыргызской Республики «</w:t>
      </w:r>
      <w:r>
        <w:rPr>
          <w:rFonts w:ascii="Arial" w:cs="Arial" w:eastAsia="Arial" w:hAnsi="Arial"/>
          <w:sz w:val="24"/>
          <w:szCs w:val="24"/>
        </w:rPr>
        <w:t xml:space="preserve">О бухгалтерском учете</w:t>
      </w:r>
      <w:r>
        <w:rPr>
          <w:rFonts w:ascii="Arial" w:cs="Arial" w:eastAsia="Arial" w:hAnsi="Arial"/>
          <w:sz w:val="24"/>
          <w:szCs w:val="24"/>
        </w:rPr>
        <w:t xml:space="preserve">« и «</w:t>
      </w:r>
      <w:r>
        <w:rPr>
          <w:rFonts w:ascii="Arial" w:cs="Arial" w:eastAsia="Arial" w:hAnsi="Arial"/>
          <w:sz w:val="24"/>
          <w:szCs w:val="24"/>
        </w:rPr>
        <w:t xml:space="preserve">О нормативных правовых актах Кыргызской Республики</w:t>
      </w:r>
      <w:r>
        <w:rPr>
          <w:rFonts w:ascii="Arial" w:cs="Arial" w:eastAsia="Arial" w:hAnsi="Arial"/>
          <w:sz w:val="24"/>
          <w:szCs w:val="24"/>
        </w:rPr>
        <w:t xml:space="preserve">«, в целях дальнейшего совершенствования бухгалтерского учета и финансовой отчетности в секторе государственного управления Кыргызской Республики, в связи с переходом на Международные стандарты финансовой отчетности общественного сектора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прилагаемое </w:t>
      </w:r>
      <w:hyperlink w:history="1" r:id="rIdubnzeh1nq4b7faqbrsnhc">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по организации бухгалтерского учета в бюджетных учреждениях.</w:t>
      </w:r>
    </w:p>
    <w:p>
      <w:pPr>
        <w:spacing w:after="120"/>
        <w:jc w:val="both"/>
      </w:pPr>
      <w:r>
        <w:rPr>
          <w:rFonts w:ascii="Arial" w:cs="Arial" w:eastAsia="Arial" w:hAnsi="Arial"/>
          <w:sz w:val="24"/>
          <w:szCs w:val="24"/>
        </w:rPr>
        <w:t xml:space="preserve">2. Министерству финансов Кыргызской Республики привести свои решения в соответствие с настоящим постановлением.</w:t>
      </w:r>
    </w:p>
    <w:p>
      <w:pPr>
        <w:spacing w:after="120"/>
        <w:jc w:val="both"/>
      </w:pPr>
      <w:r>
        <w:rPr>
          <w:rFonts w:ascii="Arial" w:cs="Arial" w:eastAsia="Arial" w:hAnsi="Arial"/>
          <w:sz w:val="24"/>
          <w:szCs w:val="24"/>
        </w:rPr>
        <w:t xml:space="preserve">3. Настоящее постановление вступает в силу с 1 января 2011 года.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 Атамбаев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16 мая 2011 года № 224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УТРАТИЛО СИЛУ
 в соответствии с </w:t>
      </w:r>
      <w:hyperlink w:history="1" r:id="rIdfcbtuz_hvs93cq3ntk4x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июня 2017 года № 413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по организации бухгалтерского учета в бюджетных учреждениях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 Положение по организации бухгалтерского учета в бюджетных учреждениях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устанавливает единый порядок организации бухгалтерского учета и составления бухгалтерской отчетности в секторе государственного управления.</w:t>
      </w:r>
    </w:p>
    <w:p>
      <w:pPr>
        <w:spacing w:after="120"/>
        <w:jc w:val="both"/>
      </w:pPr>
      <w:r>
        <w:rPr>
          <w:rFonts w:ascii="Arial" w:cs="Arial" w:eastAsia="Arial" w:hAnsi="Arial"/>
          <w:sz w:val="24"/>
          <w:szCs w:val="24"/>
        </w:rPr>
        <w:t xml:space="preserve">2. Настоящее Положение направлено на регулирование вопросов организации системы бухгалтерского учета, определение целей и задач бухгалтерской службы, ее ответственности за формирование и предоставление своевременной, полной и достоверной информации бухгалтерского характера.</w:t>
      </w:r>
    </w:p>
    <w:p>
      <w:pPr>
        <w:spacing w:after="120"/>
        <w:jc w:val="both"/>
      </w:pPr>
      <w:r>
        <w:rPr>
          <w:rFonts w:ascii="Arial" w:cs="Arial" w:eastAsia="Arial" w:hAnsi="Arial"/>
          <w:sz w:val="24"/>
          <w:szCs w:val="24"/>
        </w:rPr>
        <w:t xml:space="preserve">3. Учет исполнения утвержденных бюджетов ведется в соответствии с принятой классификацией доходов и расходов, а также классификацией операций с активами и обязательствами в разрезе источников финансирования (бюджетные средства и специальные средства).</w:t>
      </w:r>
    </w:p>
    <w:p>
      <w:pPr>
        <w:spacing w:after="120"/>
        <w:jc w:val="both"/>
      </w:pPr>
      <w:r>
        <w:rPr>
          <w:rFonts w:ascii="Arial" w:cs="Arial" w:eastAsia="Arial" w:hAnsi="Arial"/>
          <w:sz w:val="24"/>
          <w:szCs w:val="24"/>
        </w:rPr>
        <w:t xml:space="preserve">4. Министерства и ведомства по согласованию с Министерством финансов Кыргызской Республики (далее - Минфин) могут издавать методические указания о порядке применения настоящего Положения с учетом специфики их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Основные требования к организации бухгалтерского учета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Задачи и обязанности бухгалтерской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Основными задачами бухгалтерской службы (бухгалтера) бюджетного учреждения являются:</w:t>
      </w:r>
    </w:p>
    <w:p>
      <w:pPr>
        <w:spacing w:after="120"/>
        <w:jc w:val="both"/>
      </w:pPr>
      <w:r>
        <w:rPr>
          <w:rFonts w:ascii="Arial" w:cs="Arial" w:eastAsia="Arial" w:hAnsi="Arial"/>
          <w:sz w:val="24"/>
          <w:szCs w:val="24"/>
        </w:rPr>
        <w:t xml:space="preserve">а) своевременное формирование полной и достоверной информации о финансово-хозяйственной деятельности учреждения, его имущественном положении посредством подготовки форм финансовой отчетности и отчетности по исполнению бюджетов и смет;</w:t>
      </w:r>
    </w:p>
    <w:p>
      <w:pPr>
        <w:spacing w:after="120"/>
        <w:jc w:val="both"/>
      </w:pPr>
      <w:r>
        <w:rPr>
          <w:rFonts w:ascii="Arial" w:cs="Arial" w:eastAsia="Arial" w:hAnsi="Arial"/>
          <w:sz w:val="24"/>
          <w:szCs w:val="24"/>
        </w:rPr>
        <w:t xml:space="preserve">б) обеспечение информацией, необходимой для контроля над соблюдением законодательства Кыргызской Республики при осуществлении хозяйственных операций;</w:t>
      </w:r>
    </w:p>
    <w:p>
      <w:pPr>
        <w:spacing w:after="120"/>
        <w:jc w:val="both"/>
      </w:pPr>
      <w:r>
        <w:rPr>
          <w:rFonts w:ascii="Arial" w:cs="Arial" w:eastAsia="Arial" w:hAnsi="Arial"/>
          <w:sz w:val="24"/>
          <w:szCs w:val="24"/>
        </w:rPr>
        <w:t xml:space="preserve">в) контроль над соблюдением утвержденных норм при осуществлении хозяйственных операций, для которых такие ограничения предусмотрены;</w:t>
      </w:r>
    </w:p>
    <w:p>
      <w:pPr>
        <w:spacing w:after="120"/>
        <w:jc w:val="both"/>
      </w:pPr>
      <w:r>
        <w:rPr>
          <w:rFonts w:ascii="Arial" w:cs="Arial" w:eastAsia="Arial" w:hAnsi="Arial"/>
          <w:sz w:val="24"/>
          <w:szCs w:val="24"/>
        </w:rPr>
        <w:t xml:space="preserve">г) контроль (посредством процедур учета) над сохранностью и целевым использованием в соответствии с утвержденными бюджетами и сметами имеющихся в учреждении активов.</w:t>
      </w:r>
    </w:p>
    <w:p>
      <w:pPr>
        <w:spacing w:after="120"/>
        <w:jc w:val="both"/>
      </w:pPr>
      <w:r>
        <w:rPr>
          <w:rFonts w:ascii="Arial" w:cs="Arial" w:eastAsia="Arial" w:hAnsi="Arial"/>
          <w:sz w:val="24"/>
          <w:szCs w:val="24"/>
        </w:rPr>
        <w:t xml:space="preserve">6. В обязанности бухгалтерской службы (бухгалтера) бюджетного учреждения входит:</w:t>
      </w:r>
    </w:p>
    <w:p>
      <w:pPr>
        <w:spacing w:after="120"/>
        <w:jc w:val="both"/>
      </w:pPr>
      <w:r>
        <w:rPr>
          <w:rFonts w:ascii="Arial" w:cs="Arial" w:eastAsia="Arial" w:hAnsi="Arial"/>
          <w:sz w:val="24"/>
          <w:szCs w:val="24"/>
        </w:rPr>
        <w:t xml:space="preserve">а) ведение учета в соответствии с требованиями действующего законодательства;</w:t>
      </w:r>
    </w:p>
    <w:p>
      <w:pPr>
        <w:spacing w:after="120"/>
        <w:jc w:val="both"/>
      </w:pPr>
      <w:r>
        <w:rPr>
          <w:rFonts w:ascii="Arial" w:cs="Arial" w:eastAsia="Arial" w:hAnsi="Arial"/>
          <w:sz w:val="24"/>
          <w:szCs w:val="24"/>
        </w:rPr>
        <w:t xml:space="preserve">б) обеспечение руководства информацией об объемах и целевом характере фактического исполнения утвержденных бюджетов и смет в разрезе источников финансирования;</w:t>
      </w:r>
    </w:p>
    <w:p>
      <w:pPr>
        <w:spacing w:after="120"/>
        <w:jc w:val="both"/>
      </w:pPr>
      <w:r>
        <w:rPr>
          <w:rFonts w:ascii="Arial" w:cs="Arial" w:eastAsia="Arial" w:hAnsi="Arial"/>
          <w:sz w:val="24"/>
          <w:szCs w:val="24"/>
        </w:rPr>
        <w:t xml:space="preserve">в) осуществление контроля над правильностью организации и ведения бухгалтерского учета и учета исполнения утвержденных бюджетов и смет подведомственных учреждений;</w:t>
      </w:r>
    </w:p>
    <w:p>
      <w:pPr>
        <w:spacing w:after="120"/>
        <w:jc w:val="both"/>
      </w:pPr>
      <w:r>
        <w:rPr>
          <w:rFonts w:ascii="Arial" w:cs="Arial" w:eastAsia="Arial" w:hAnsi="Arial"/>
          <w:sz w:val="24"/>
          <w:szCs w:val="24"/>
        </w:rPr>
        <w:t xml:space="preserve">г) начисление и выплата заработной платы служащим в соответствии с действующим законодательством, договорами найма, внутренними документами по приему на работу, документами по учету рабочего времени;</w:t>
      </w:r>
    </w:p>
    <w:p>
      <w:pPr>
        <w:spacing w:after="120"/>
        <w:jc w:val="both"/>
      </w:pPr>
      <w:r>
        <w:rPr>
          <w:rFonts w:ascii="Arial" w:cs="Arial" w:eastAsia="Arial" w:hAnsi="Arial"/>
          <w:sz w:val="24"/>
          <w:szCs w:val="24"/>
        </w:rPr>
        <w:t xml:space="preserve">д) удержание с выплат по вознаграждению за труд налогов и страховых взносов в соответствии с налоговым законодательством и законодательством по государственному социальному страхованию;</w:t>
      </w:r>
    </w:p>
    <w:p>
      <w:pPr>
        <w:spacing w:after="120"/>
        <w:jc w:val="both"/>
      </w:pPr>
      <w:r>
        <w:rPr>
          <w:rFonts w:ascii="Arial" w:cs="Arial" w:eastAsia="Arial" w:hAnsi="Arial"/>
          <w:sz w:val="24"/>
          <w:szCs w:val="24"/>
        </w:rPr>
        <w:t xml:space="preserve">е) подготовка всей необходимой информации руководителю для периодического проведения сверок с хозяйствующими субъектами с целью подтверждения движения и остатка денежных средств на счетах, связанных с расчетами;</w:t>
      </w:r>
    </w:p>
    <w:p>
      <w:pPr>
        <w:spacing w:after="120"/>
        <w:jc w:val="both"/>
      </w:pPr>
      <w:r>
        <w:rPr>
          <w:rFonts w:ascii="Arial" w:cs="Arial" w:eastAsia="Arial" w:hAnsi="Arial"/>
          <w:sz w:val="24"/>
          <w:szCs w:val="24"/>
        </w:rPr>
        <w:t xml:space="preserve">ж) ведение бухгалтерского учета (доходов, расходов, активов, обязательств, чистых активов, денежных потоков) в разрезе источников финансирования: бюджетные средства и специальные средства;</w:t>
      </w:r>
    </w:p>
    <w:p>
      <w:pPr>
        <w:spacing w:after="120"/>
        <w:jc w:val="both"/>
      </w:pPr>
      <w:r>
        <w:rPr>
          <w:rFonts w:ascii="Arial" w:cs="Arial" w:eastAsia="Arial" w:hAnsi="Arial"/>
          <w:sz w:val="24"/>
          <w:szCs w:val="24"/>
        </w:rPr>
        <w:t xml:space="preserve">з) подготовка всей необходимой информации для проведения инвентаризации активов учреждения, участие в проведении и оформлении результатов инвентаризации, отражение результатов инвентаризации в учете;</w:t>
      </w:r>
    </w:p>
    <w:p>
      <w:pPr>
        <w:spacing w:after="120"/>
        <w:jc w:val="both"/>
      </w:pPr>
      <w:r>
        <w:rPr>
          <w:rFonts w:ascii="Arial" w:cs="Arial" w:eastAsia="Arial" w:hAnsi="Arial"/>
          <w:sz w:val="24"/>
          <w:szCs w:val="24"/>
        </w:rPr>
        <w:t xml:space="preserve">и) подготовка для утверждения руководителем всех видов отчетности (бухгалтерской, отчетности по исполнению бюджетов, налоговой, отчетности по страховым взносам, статистической);</w:t>
      </w:r>
    </w:p>
    <w:p>
      <w:pPr>
        <w:spacing w:after="120"/>
        <w:jc w:val="both"/>
      </w:pPr>
      <w:r>
        <w:rPr>
          <w:rFonts w:ascii="Arial" w:cs="Arial" w:eastAsia="Arial" w:hAnsi="Arial"/>
          <w:sz w:val="24"/>
          <w:szCs w:val="24"/>
        </w:rPr>
        <w:t xml:space="preserve">к) ведение документооборота в соответствии с нормативными правовыми актами, регулирующими архивное дело, внутренними положениями учреждения;</w:t>
      </w:r>
    </w:p>
    <w:p>
      <w:pPr>
        <w:spacing w:after="120"/>
        <w:jc w:val="both"/>
      </w:pPr>
      <w:r>
        <w:rPr>
          <w:rFonts w:ascii="Arial" w:cs="Arial" w:eastAsia="Arial" w:hAnsi="Arial"/>
          <w:sz w:val="24"/>
          <w:szCs w:val="24"/>
        </w:rPr>
        <w:t xml:space="preserve">л) ведение реестра нормативных документов, регулирующих вопросы учета и налогообложения.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 Ответственность руководителя и главного бухгалтера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За организацию бухгалтерского учета, соблюдение законодательства при выполнении хозяйственных операций, обеспечение проведения обязательного аудита, в установленных законодательством случаях, ответственность несет руководитель учреждения. Руководитель учреждения обязан обеспечивать систему внутреннего учета, отчетности и контроля, порядок контроля хозяйственных операций, подготовку финансового отчета для внешних пользователей, подготовку налоговых отчетов и других финансовых документов, своевременность отчетов.</w:t>
      </w:r>
    </w:p>
    <w:p>
      <w:pPr>
        <w:spacing w:after="120"/>
        <w:jc w:val="both"/>
      </w:pPr>
      <w:r>
        <w:rPr>
          <w:rFonts w:ascii="Arial" w:cs="Arial" w:eastAsia="Arial" w:hAnsi="Arial"/>
          <w:sz w:val="24"/>
          <w:szCs w:val="24"/>
        </w:rPr>
        <w:t xml:space="preserve">8. Главный бухгалтер или руководитель финансово - экономической службы (далее - главный бухгалтер) подчиняется непосредственно руководителю учреждения, несет перед ним ответственность за организацию работы бухгалтерской службы, документооборота в бухгалтерском учете, качественную подготовку и своевременное представление финансовой отчетности, отчетности по исполнению бюджетов, налоговой отчетности, отчетности по государственному социальному страхованию, статистической отчетности и прочих видов отчетности, основанной на данных бухгалтерского учета.</w:t>
      </w:r>
    </w:p>
    <w:p>
      <w:pPr>
        <w:spacing w:after="120"/>
        <w:jc w:val="both"/>
      </w:pPr>
      <w:r>
        <w:rPr>
          <w:rFonts w:ascii="Arial" w:cs="Arial" w:eastAsia="Arial" w:hAnsi="Arial"/>
          <w:sz w:val="24"/>
          <w:szCs w:val="24"/>
        </w:rPr>
        <w:t xml:space="preserve">9. Руководитель учреждения утверждает должностные инструкции для работников бухгалтерской службы.</w:t>
      </w:r>
    </w:p>
    <w:p>
      <w:pPr>
        <w:spacing w:after="120"/>
        <w:jc w:val="both"/>
      </w:pPr>
      <w:r>
        <w:rPr>
          <w:rFonts w:ascii="Arial" w:cs="Arial" w:eastAsia="Arial" w:hAnsi="Arial"/>
          <w:sz w:val="24"/>
          <w:szCs w:val="24"/>
        </w:rPr>
        <w:t xml:space="preserve">10. Распределение служебных обязанностей в бухгалтерии производится главным бухгалтером по функциональному признаку: за каждым работником, в зависимости от объема работ, закрепляется определенный участок. Главный бухгалтер имеет право распределить обязанности между работниками бухгалтерской службы и в отношении учета исполнения утвержденных бюджетов.</w:t>
      </w:r>
    </w:p>
    <w:p>
      <w:pPr>
        <w:spacing w:after="120"/>
        <w:jc w:val="both"/>
      </w:pPr>
      <w:r>
        <w:rPr>
          <w:rFonts w:ascii="Arial" w:cs="Arial" w:eastAsia="Arial" w:hAnsi="Arial"/>
          <w:sz w:val="24"/>
          <w:szCs w:val="24"/>
        </w:rPr>
        <w:t xml:space="preserve">11. Главный бухгалтер согласно внутренним документам имеет право требовать от своих подведомственных учреждений дополнительную информацию, необходимую для осуществления контроля и составления отчетов.</w:t>
      </w:r>
    </w:p>
    <w:p>
      <w:pPr>
        <w:spacing w:after="120"/>
        <w:jc w:val="both"/>
      </w:pPr>
      <w:r>
        <w:rPr>
          <w:rFonts w:ascii="Arial" w:cs="Arial" w:eastAsia="Arial" w:hAnsi="Arial"/>
          <w:sz w:val="24"/>
          <w:szCs w:val="24"/>
        </w:rPr>
        <w:t xml:space="preserve">12. В бухгалтерской службе могут быть выделены группы, за которыми закрепляются определенные участки работы: финансовая группа, группа расчетов, материальная группа и т.п. Функциональные признаки, по которым производится такое выделение, а также количество таких групп и распределение обязанностей между ними определяются главным бухгалтером.</w:t>
      </w:r>
    </w:p>
    <w:p>
      <w:pPr>
        <w:spacing w:after="120"/>
        <w:jc w:val="both"/>
      </w:pPr>
      <w:r>
        <w:rPr>
          <w:rFonts w:ascii="Arial" w:cs="Arial" w:eastAsia="Arial" w:hAnsi="Arial"/>
          <w:sz w:val="24"/>
          <w:szCs w:val="24"/>
        </w:rPr>
        <w:t xml:space="preserve">13. Ответственность за организацию хранения первичных учетных документов, регистров бухгалтерского учета и бухгалтерской отчетности несет руководитель учреждения.</w:t>
      </w:r>
    </w:p>
    <w:p>
      <w:pPr>
        <w:spacing w:after="120"/>
        <w:jc w:val="both"/>
      </w:pPr>
      <w:r>
        <w:rPr>
          <w:rFonts w:ascii="Arial" w:cs="Arial" w:eastAsia="Arial" w:hAnsi="Arial"/>
          <w:sz w:val="24"/>
          <w:szCs w:val="24"/>
        </w:rPr>
        <w:t xml:space="preserve">14. В случае пропажи или уничтожения первичных учетных документов руководитель учреждения назначает приказом комиссию по расследованию причин их пропажи или уничтожения.</w:t>
      </w:r>
    </w:p>
    <w:p>
      <w:pPr>
        <w:spacing w:after="120"/>
        <w:jc w:val="both"/>
      </w:pPr>
      <w:r>
        <w:rPr>
          <w:rFonts w:ascii="Arial" w:cs="Arial" w:eastAsia="Arial" w:hAnsi="Arial"/>
          <w:sz w:val="24"/>
          <w:szCs w:val="24"/>
        </w:rPr>
        <w:t xml:space="preserve">15. Результаты работы комиссии оформляются актом, который утверждается руководителем учреждения. Копия акта направляется в вышестоящую организацию.</w:t>
      </w:r>
    </w:p>
    <w:p>
      <w:pPr>
        <w:spacing w:after="120"/>
        <w:jc w:val="both"/>
      </w:pPr>
      <w:r>
        <w:rPr>
          <w:rFonts w:ascii="Arial" w:cs="Arial" w:eastAsia="Arial" w:hAnsi="Arial"/>
          <w:sz w:val="24"/>
          <w:szCs w:val="24"/>
        </w:rPr>
        <w:t xml:space="preserve">16. Регистры бухгалтерского учета в бюджетных учреждениях, а также в структурных подразделениях министерств и ведомств, отвечающих за реализацию проектов, финансируемых иностранными государствами и международными организациями (далее - ОРП), ведутся как в функциональной валюте, так и в валюте представления. Функциональная валюта - это валюта, используемая в основной экономической среде, в которой бюджетное учреждение осуществляет свою деятельность. Валютой представления является национальная валюта Кыргызской Республики - кыргызский сом.</w:t>
      </w:r>
    </w:p>
    <w:p>
      <w:pPr>
        <w:spacing w:after="120"/>
        <w:jc w:val="both"/>
      </w:pPr>
      <w:r>
        <w:rPr>
          <w:rFonts w:ascii="Arial" w:cs="Arial" w:eastAsia="Arial" w:hAnsi="Arial"/>
          <w:sz w:val="24"/>
          <w:szCs w:val="24"/>
        </w:rPr>
        <w:t xml:space="preserve">17. Операции, учитываемые в регистрах бухгалтерского учета в иностранной валюте, пересчитываются в национальную валюту по учетному курсу Национального банка Кыргызской Республики (далее - НБКР) на дату совершения операции. На каждую отчетную дату денежные статьи в иностранной валюте пересчитываются по учетному курсу НБКР, действовавшему на эту дату. Курсовые разницы, возникающие при пересчете по денежным статьям, признаются доходами или убытками.</w:t>
      </w:r>
    </w:p>
    <w:p>
      <w:pPr>
        <w:spacing w:after="120"/>
        <w:jc w:val="both"/>
      </w:pPr>
      <w:r>
        <w:rPr>
          <w:rFonts w:ascii="Arial" w:cs="Arial" w:eastAsia="Arial" w:hAnsi="Arial"/>
          <w:sz w:val="24"/>
          <w:szCs w:val="24"/>
        </w:rPr>
        <w:t xml:space="preserve">18. Денежная статья - это статья активов или обязательств, в отношении которых получение или выплата денежных средств производится в иностранной валюте.</w:t>
      </w:r>
    </w:p>
    <w:p>
      <w:pPr>
        <w:spacing w:after="120"/>
        <w:jc w:val="both"/>
      </w:pPr>
      <w:r>
        <w:rPr>
          <w:rFonts w:ascii="Arial" w:cs="Arial" w:eastAsia="Arial" w:hAnsi="Arial"/>
          <w:sz w:val="24"/>
          <w:szCs w:val="24"/>
        </w:rPr>
        <w:t xml:space="preserve">19. Все структурные подразделения, входящие в состав учреждения, обслуживаемые централизованными бухгалтериями, обязаны своевременно передавать в бухгалтерию необходимые для бухгалтерского учета и контроля документы.</w:t>
      </w:r>
    </w:p>
    <w:p>
      <w:pPr>
        <w:spacing w:after="120"/>
        <w:jc w:val="both"/>
      </w:pPr>
      <w:r>
        <w:rPr>
          <w:rFonts w:ascii="Arial" w:cs="Arial" w:eastAsia="Arial" w:hAnsi="Arial"/>
          <w:sz w:val="24"/>
          <w:szCs w:val="24"/>
        </w:rPr>
        <w:t xml:space="preserve">20. Требования главного бухгалтера в части порядка оформления и представления в бухгалтерию необходимых документов и сведений являются обязательными для всех работников учреждения, а при централизации - учета для всех обслуживаемых учреждений.</w:t>
      </w:r>
    </w:p>
    <w:p>
      <w:pPr>
        <w:spacing w:after="120"/>
        <w:jc w:val="both"/>
      </w:pPr>
      <w:r>
        <w:rPr>
          <w:rFonts w:ascii="Arial" w:cs="Arial" w:eastAsia="Arial" w:hAnsi="Arial"/>
          <w:sz w:val="24"/>
          <w:szCs w:val="24"/>
        </w:rPr>
        <w:t xml:space="preserve">21. При ведении учета в централизованных бухгалтериях, за руководителями обслуживаемых учреждений сохраняется обязанность в своевременном и правильном оформлении всех хозяйственных операций, находящихся в его ведении.</w:t>
      </w:r>
    </w:p>
    <w:p>
      <w:pPr>
        <w:spacing w:after="120"/>
        <w:jc w:val="both"/>
      </w:pPr>
      <w:r>
        <w:rPr>
          <w:rFonts w:ascii="Arial" w:cs="Arial" w:eastAsia="Arial" w:hAnsi="Arial"/>
          <w:sz w:val="24"/>
          <w:szCs w:val="24"/>
        </w:rPr>
        <w:t xml:space="preserve">22. Автоматизация бухгалтерского учета основывается на взаимосвязанном едином технологическом процессе обработки документации по всем разделам учета с составлением баланса в соответствии с утвержденным планом счетов.</w:t>
      </w:r>
    </w:p>
    <w:p>
      <w:pPr>
        <w:spacing w:after="120"/>
        <w:jc w:val="both"/>
      </w:pPr>
      <w:r>
        <w:rPr>
          <w:rFonts w:ascii="Arial" w:cs="Arial" w:eastAsia="Arial" w:hAnsi="Arial"/>
          <w:sz w:val="24"/>
          <w:szCs w:val="24"/>
        </w:rPr>
        <w:t xml:space="preserve">23. В условиях комплексной автоматизации бухгалтерского учета, исполнения сметы расходов учреждения данные синтетического и аналитического учета формируются в базах данных используемого программного комплекса и ежемесячно выводятся на бумажные носители - выходные формы документов (мемориальные ордера, карточки, ведомости, главная книга, отчет и т.п.) При этом содержание показателей в выходных формах документов должно соответствовать требованиям, предусмотренным настоящим Положением для регистров бухгалтерского учета.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Документооборот в бухгалтерском учете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Предоставление первичных учетных документов в бухгалтерию регламентируется графиком документооборота, составленным главным бухгалтером и утвержденным руководителем учреждения. В централизованной бухгалтерии указанный график утверждается руководителем учреждения, при котором создана эта бухгалтерия. Материально-ответственным лицам вручаются выписки из графика документооборота.</w:t>
      </w:r>
    </w:p>
    <w:p>
      <w:pPr>
        <w:spacing w:after="120"/>
        <w:jc w:val="both"/>
      </w:pPr>
      <w:r>
        <w:rPr>
          <w:rFonts w:ascii="Arial" w:cs="Arial" w:eastAsia="Arial" w:hAnsi="Arial"/>
          <w:sz w:val="24"/>
          <w:szCs w:val="24"/>
        </w:rPr>
        <w:t xml:space="preserve">25. Документы, служащие основанием для записей в регистрах бухгалтерского учета, должны представляться в бухгалтерию в сроки, установленные графиком документооборота.</w:t>
      </w:r>
    </w:p>
    <w:p>
      <w:pPr>
        <w:spacing w:after="120"/>
        <w:jc w:val="both"/>
      </w:pPr>
      <w:r>
        <w:rPr>
          <w:rFonts w:ascii="Arial" w:cs="Arial" w:eastAsia="Arial" w:hAnsi="Arial"/>
          <w:sz w:val="24"/>
          <w:szCs w:val="24"/>
        </w:rPr>
        <w:t xml:space="preserve">26. Все хозяйственные операции, проводимые учреждением, должны оформляться оправдательными документами. Оправдательные документы служат первичными учетными документами, на основании которых ведется бухгалтерский учет. Первичный документ должен быть составлен в момент совершения операции, а если это не представляется возможным - непосредственно после ее окончания.</w:t>
      </w:r>
    </w:p>
    <w:p>
      <w:pPr>
        <w:spacing w:after="120"/>
        <w:jc w:val="both"/>
      </w:pPr>
      <w:r>
        <w:rPr>
          <w:rFonts w:ascii="Arial" w:cs="Arial" w:eastAsia="Arial" w:hAnsi="Arial"/>
          <w:sz w:val="24"/>
          <w:szCs w:val="24"/>
        </w:rPr>
        <w:t xml:space="preserve">27. Поступившие в бухгалтерию первичные учетные документы обязательно подвергаются проверке как по форме (полнота и правильность оформления первичных учетных документов, заполнения реквизитов), так и по содержанию. В рамках компетенции сотрудников бухгалтерской службы проверяется законность документируемых операций и логическая увязка отдельных показателей.</w:t>
      </w:r>
    </w:p>
    <w:p>
      <w:pPr>
        <w:spacing w:after="120"/>
        <w:jc w:val="both"/>
      </w:pPr>
      <w:r>
        <w:rPr>
          <w:rFonts w:ascii="Arial" w:cs="Arial" w:eastAsia="Arial" w:hAnsi="Arial"/>
          <w:sz w:val="24"/>
          <w:szCs w:val="24"/>
        </w:rPr>
        <w:t xml:space="preserve">28. Первичные учетные документы для придания им юридической силы должны иметь следующие реквизиты: наименование документа, дату составления, наименование организации, от имени которой составлен документ, содержание хозяйственной операции, измерители хозяйственной операции в натуральном и денежном выражении, наименование должностей лиц, ответственных за совершение хозяйственной операции, и правильность ее оформления, личные подписи и их расшифровка (включая случаи составления документов с применением средств автоматизации и передачи их в системах телекоммуникаций).</w:t>
      </w:r>
    </w:p>
    <w:p>
      <w:pPr>
        <w:spacing w:after="120"/>
        <w:jc w:val="both"/>
      </w:pPr>
      <w:r>
        <w:rPr>
          <w:rFonts w:ascii="Arial" w:cs="Arial" w:eastAsia="Arial" w:hAnsi="Arial"/>
          <w:sz w:val="24"/>
          <w:szCs w:val="24"/>
        </w:rPr>
        <w:t xml:space="preserve">29. Документы без подписи главного бухгалтера или его заместителя считаются недействительными и не принимаются к исполнению. Приходные кассовые ордера действительны при наличии подписи главного бухгалтера или его заместителя и кассира.</w:t>
      </w:r>
    </w:p>
    <w:p>
      <w:pPr>
        <w:spacing w:after="120"/>
        <w:jc w:val="both"/>
      </w:pPr>
      <w:r>
        <w:rPr>
          <w:rFonts w:ascii="Arial" w:cs="Arial" w:eastAsia="Arial" w:hAnsi="Arial"/>
          <w:sz w:val="24"/>
          <w:szCs w:val="24"/>
        </w:rPr>
        <w:t xml:space="preserve">30. В зависимости от технологии обработки учетной информации в первичные учетные документы могут быть включены дополнительные реквизиты (коды, контрольные отметки и т.п.), не нарушающие требований нормативных актов и методических документов по бухгалтерскому учету.</w:t>
      </w:r>
    </w:p>
    <w:p>
      <w:pPr>
        <w:spacing w:after="120"/>
        <w:jc w:val="both"/>
      </w:pPr>
      <w:r>
        <w:rPr>
          <w:rFonts w:ascii="Arial" w:cs="Arial" w:eastAsia="Arial" w:hAnsi="Arial"/>
          <w:sz w:val="24"/>
          <w:szCs w:val="24"/>
        </w:rPr>
        <w:t xml:space="preserve">31. За достоверность содержащихся в документах данных, а также за своевременное и надлежащее составление первичных учетных документов несут ответственность лица, создавшие и подписавшие эти документы.</w:t>
      </w:r>
    </w:p>
    <w:p>
      <w:pPr>
        <w:spacing w:after="120"/>
        <w:jc w:val="both"/>
      </w:pPr>
      <w:r>
        <w:rPr>
          <w:rFonts w:ascii="Arial" w:cs="Arial" w:eastAsia="Arial" w:hAnsi="Arial"/>
          <w:sz w:val="24"/>
          <w:szCs w:val="24"/>
        </w:rPr>
        <w:t xml:space="preserve">32. В документах на приобретение материальных ценностей должна быть расписка материально ответственного лица в получении этих ценностей, а в документах, подтверждающих факт выполнения работы, - подписи о принятии результата работы ответственными лицами.</w:t>
      </w:r>
    </w:p>
    <w:p>
      <w:pPr>
        <w:spacing w:after="120"/>
        <w:jc w:val="both"/>
      </w:pPr>
      <w:r>
        <w:rPr>
          <w:rFonts w:ascii="Arial" w:cs="Arial" w:eastAsia="Arial" w:hAnsi="Arial"/>
          <w:sz w:val="24"/>
          <w:szCs w:val="24"/>
        </w:rPr>
        <w:t xml:space="preserve">33. В случае разногласий между руководителем учреждения и главным бухгалтером по осуществлению отдельных хозяйственных операций первичные учетные документы по ним могут быть приняты к исполнению с письменного распоряжения руководителя учреждения, который несет всю полноту ответственности за последствия осуществления таких операций и включения данных о них в бухгалтерский учет и бухгалтерскую отчетность.</w:t>
      </w:r>
    </w:p>
    <w:p>
      <w:pPr>
        <w:spacing w:after="120"/>
        <w:jc w:val="both"/>
      </w:pPr>
      <w:r>
        <w:rPr>
          <w:rFonts w:ascii="Arial" w:cs="Arial" w:eastAsia="Arial" w:hAnsi="Arial"/>
          <w:sz w:val="24"/>
          <w:szCs w:val="24"/>
        </w:rPr>
        <w:t xml:space="preserve">34. Все бухгалтерские документы, связанные с исполнением смет доходов и расходов по бюджетным средствам и специальным средствам, подписываются руководителем учреждения и главным бухгалтером или уполномоченным ими на то лицами.</w:t>
      </w:r>
    </w:p>
    <w:p>
      <w:pPr>
        <w:spacing w:after="120"/>
        <w:jc w:val="both"/>
      </w:pPr>
      <w:r>
        <w:rPr>
          <w:rFonts w:ascii="Arial" w:cs="Arial" w:eastAsia="Arial" w:hAnsi="Arial"/>
          <w:sz w:val="24"/>
          <w:szCs w:val="24"/>
        </w:rPr>
        <w:t xml:space="preserve">35. Записи в первичных учетных документах производятся способом, обеспечивающим сохранность записей: чернилами, пастой шариковой ручки, при помощи пишущих машин и средств автоматизации. Свободные строки в первичных учетных документах прочеркиваются.</w:t>
      </w:r>
    </w:p>
    <w:p>
      <w:pPr>
        <w:spacing w:after="120"/>
        <w:jc w:val="both"/>
      </w:pPr>
      <w:r>
        <w:rPr>
          <w:rFonts w:ascii="Arial" w:cs="Arial" w:eastAsia="Arial" w:hAnsi="Arial"/>
          <w:sz w:val="24"/>
          <w:szCs w:val="24"/>
        </w:rPr>
        <w:t xml:space="preserve">36. В первичных учетных документах (как в текстовой части, так и цифровых данных) подчистки и не оговоренные исправления не допускаются. Исправление ошибки в первичном учетном документе должно быть оговорено надписью: «Исправлено» и подтверждено подписями лиц, подписавших документ, с указанием даты исправления. В кассовых и банковских документах исправления не допускаются.</w:t>
      </w:r>
    </w:p>
    <w:p>
      <w:pPr>
        <w:spacing w:after="120"/>
        <w:jc w:val="both"/>
      </w:pPr>
      <w:r>
        <w:rPr>
          <w:rFonts w:ascii="Arial" w:cs="Arial" w:eastAsia="Arial" w:hAnsi="Arial"/>
          <w:sz w:val="24"/>
          <w:szCs w:val="24"/>
        </w:rPr>
        <w:t xml:space="preserve">37. Все документы, приложенные к приходным и расходным кассовым ордерам, а также документы, послужившие основанием для выплаты заработной платы, подлежат обязательному гашению штампом или надписи от руки: «Получено» или «Оплачено» с указанием даты (числа, месяца, года).</w:t>
      </w:r>
    </w:p>
    <w:p>
      <w:pPr>
        <w:spacing w:after="120"/>
        <w:jc w:val="both"/>
      </w:pPr>
      <w:r>
        <w:rPr>
          <w:rFonts w:ascii="Arial" w:cs="Arial" w:eastAsia="Arial" w:hAnsi="Arial"/>
          <w:sz w:val="24"/>
          <w:szCs w:val="24"/>
        </w:rPr>
        <w:t xml:space="preserve">38. Карточки хранятся в картотеках, в которых они располагаются по элементам с разделением внутри их по материально ответственным лицам, а в централизованных бухгалтериях - и по обслуживаемым учреждениям.</w:t>
      </w:r>
    </w:p>
    <w:p>
      <w:pPr>
        <w:spacing w:after="120"/>
        <w:jc w:val="both"/>
      </w:pPr>
      <w:r>
        <w:rPr>
          <w:rFonts w:ascii="Arial" w:cs="Arial" w:eastAsia="Arial" w:hAnsi="Arial"/>
          <w:sz w:val="24"/>
          <w:szCs w:val="24"/>
        </w:rPr>
        <w:t xml:space="preserve">39. Карточки учета материалов, малоценных предметов и т.п. сдаются в архив в подшитом виде вместе с реестром карточек, регистрами бухгалтерского учета и другими бухгалтерскими документами, ежегодно или один раз в два года. В такие же сроки сдаются в архив карточки учета основных средств, выбывших в течение года.</w:t>
      </w:r>
    </w:p>
    <w:p>
      <w:pPr>
        <w:spacing w:after="120"/>
        <w:jc w:val="both"/>
      </w:pPr>
      <w:r>
        <w:rPr>
          <w:rFonts w:ascii="Arial" w:cs="Arial" w:eastAsia="Arial" w:hAnsi="Arial"/>
          <w:sz w:val="24"/>
          <w:szCs w:val="24"/>
        </w:rPr>
        <w:t xml:space="preserve">40. Опись инвентарных карточек по учету основных средств по форме ОС-10 сдается в архив, когда в ней имеются отметки о списании инвентаря по последней инвентарной карточке формы ОС - 6 бюджет, ОС - 8, ОС - 9. Сдача инвентарных карточек в архив без описи осуществляется по реестру сдачи документов по форме 442, в которой указываются номер карточки и название списанного инвентаря, а в централизованных бухгалтериях, кроме того, и наименование обслуживаемого учреждения.</w:t>
      </w:r>
    </w:p>
    <w:p>
      <w:pPr>
        <w:spacing w:after="120"/>
        <w:jc w:val="both"/>
      </w:pPr>
      <w:r>
        <w:rPr>
          <w:rFonts w:ascii="Arial" w:cs="Arial" w:eastAsia="Arial" w:hAnsi="Arial"/>
          <w:sz w:val="24"/>
          <w:szCs w:val="24"/>
        </w:rPr>
        <w:t xml:space="preserve">41. Книги бухгалтерского учета при наличии в них по истечении года свободных листов могут быть использованы для записи операций следующего года. В этих случаях книги сдаются в архив один раз в два года.</w:t>
      </w:r>
    </w:p>
    <w:p>
      <w:pPr>
        <w:spacing w:after="120"/>
        <w:jc w:val="both"/>
      </w:pPr>
      <w:r>
        <w:rPr>
          <w:rFonts w:ascii="Arial" w:cs="Arial" w:eastAsia="Arial" w:hAnsi="Arial"/>
          <w:sz w:val="24"/>
          <w:szCs w:val="24"/>
        </w:rPr>
        <w:t xml:space="preserve">42. Учреждения обязаны хранить первичные учетные документы, регистры бухгалтерского учета и бухгалтерскую отчетность в течение сроков, установленных в соответствии с </w:t>
      </w:r>
      <w:hyperlink w:history="1" r:id="rIdhh5docrf1a7natkpowii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 Республики». По истечении сроков хранения дела в установленном порядке сдаются в соответствующий государственный архив. Документы, удостоверяющие сдачу дел в архив, хранятся постоянно в бухгалтерии.</w:t>
      </w:r>
    </w:p>
    <w:p>
      <w:pPr>
        <w:spacing w:after="120"/>
        <w:jc w:val="both"/>
      </w:pPr>
      <w:r>
        <w:rPr>
          <w:rFonts w:ascii="Arial" w:cs="Arial" w:eastAsia="Arial" w:hAnsi="Arial"/>
          <w:sz w:val="24"/>
          <w:szCs w:val="24"/>
        </w:rPr>
        <w:t xml:space="preserve">43. Первичные учетные документы прошнуровываются в бухгалтерии по участкам учета в хронологическом порядке, по номерам пачек за месяц. Выходные формы документов хранятся отдельно.</w:t>
      </w:r>
    </w:p>
    <w:p>
      <w:pPr>
        <w:spacing w:after="120"/>
        <w:jc w:val="both"/>
      </w:pPr>
      <w:r>
        <w:rPr>
          <w:rFonts w:ascii="Arial" w:cs="Arial" w:eastAsia="Arial" w:hAnsi="Arial"/>
          <w:sz w:val="24"/>
          <w:szCs w:val="24"/>
        </w:rPr>
        <w:t xml:space="preserve">44. Первичные учетные документы, регистры бухгалтерского учета, бухгалтерские отчеты и балансы до передачи их в архив должны храниться в бухгалтерии в специальных помещениях или закрывающихся шкафах. Срок хранения первичных учетных документов, регистров бухгалтерского учета и бухгалтерской отчетности в учреждении составляет 6 лет. По истечении 6 лет документы сдаются в архив в соответствии с </w:t>
      </w:r>
      <w:hyperlink w:history="1" r:id="rId7y8wqqkwbdixxpaedlef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120"/>
        <w:jc w:val="both"/>
      </w:pPr>
      <w:r>
        <w:rPr>
          <w:rFonts w:ascii="Arial" w:cs="Arial" w:eastAsia="Arial" w:hAnsi="Arial"/>
          <w:sz w:val="24"/>
          <w:szCs w:val="24"/>
        </w:rPr>
        <w:t xml:space="preserve">45. Изъятие первичных документов может производиться только органами дознания, предварительного следствия, прокуратуры, судами, налоговыми службами и финансовой полицией на основании их решений (постановлений) в соответствии с действующим законодательством.</w:t>
      </w:r>
    </w:p>
    <w:p>
      <w:pPr>
        <w:spacing w:after="120"/>
        <w:jc w:val="both"/>
      </w:pPr>
      <w:r>
        <w:rPr>
          <w:rFonts w:ascii="Arial" w:cs="Arial" w:eastAsia="Arial" w:hAnsi="Arial"/>
          <w:sz w:val="24"/>
          <w:szCs w:val="24"/>
        </w:rPr>
        <w:t xml:space="preserve">46. Изъятие оформляется протоколом, копия которого вручается под расписку соответствующему должностному лицу учреждения. С разрешения и в присутствии представителей органов, производящих изъятие, соответствующие должностные лица учреждения могут снять копии с изымаемых документов с указанием оснований и даты их изъятия.</w:t>
      </w:r>
    </w:p>
    <w:p>
      <w:pPr>
        <w:spacing w:after="120"/>
        <w:jc w:val="both"/>
      </w:pPr>
      <w:r>
        <w:rPr>
          <w:rFonts w:ascii="Arial" w:cs="Arial" w:eastAsia="Arial" w:hAnsi="Arial"/>
          <w:sz w:val="24"/>
          <w:szCs w:val="24"/>
        </w:rPr>
        <w:t xml:space="preserve">47. В случае если изымаются недооформленные тома документов (не прошнурованные, не пронумерованные и т.д.), то с разрешения и в присутствии представителей органов, производящих изъятие, соответствующие должностные лица учреждений могут дооформить эти тома (сделать опись, пронумеровать листы, прошнуровать, опечатать, заверить подписью, печатью).</w:t>
      </w:r>
    </w:p>
    <w:p>
      <w:pPr>
        <w:spacing w:after="120"/>
        <w:jc w:val="both"/>
      </w:pPr>
      <w:r>
        <w:rPr>
          <w:rFonts w:ascii="Arial" w:cs="Arial" w:eastAsia="Arial" w:hAnsi="Arial"/>
          <w:sz w:val="24"/>
          <w:szCs w:val="24"/>
        </w:rPr>
        <w:t xml:space="preserve">48. В случае пропажи или уничтожения первичных учетных документов, руководитель учреждения создает приказом комиссию по расследованию причин их пропажи или уничтожения.</w:t>
      </w:r>
    </w:p>
    <w:p>
      <w:pPr>
        <w:spacing w:after="120"/>
        <w:jc w:val="both"/>
      </w:pPr>
      <w:r>
        <w:rPr>
          <w:rFonts w:ascii="Arial" w:cs="Arial" w:eastAsia="Arial" w:hAnsi="Arial"/>
          <w:sz w:val="24"/>
          <w:szCs w:val="24"/>
        </w:rPr>
        <w:t xml:space="preserve">49. В необходимых случаях для участия в работе комиссии приглашаются представители следственных органов, охраны и государственного надзора.</w:t>
      </w:r>
    </w:p>
    <w:p>
      <w:pPr>
        <w:spacing w:after="120"/>
        <w:jc w:val="both"/>
      </w:pPr>
      <w:r>
        <w:rPr>
          <w:rFonts w:ascii="Arial" w:cs="Arial" w:eastAsia="Arial" w:hAnsi="Arial"/>
          <w:sz w:val="24"/>
          <w:szCs w:val="24"/>
        </w:rPr>
        <w:t xml:space="preserve">50. Результаты работы комиссии оформляются актом, который утверждается руководителем учреждения. Копия такого акта направляется в вышестоящую организацию.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Регистры бухгалтерского учета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Бухгалтерский учет в учреждениях осуществляется по мемориально-ордерной или по журнально-ордерной форме бухгалтерского учета в соответствии с настоящим Положением.</w:t>
      </w:r>
    </w:p>
    <w:p>
      <w:pPr>
        <w:spacing w:after="120"/>
        <w:jc w:val="both"/>
      </w:pPr>
      <w:r>
        <w:rPr>
          <w:rFonts w:ascii="Arial" w:cs="Arial" w:eastAsia="Arial" w:hAnsi="Arial"/>
          <w:sz w:val="24"/>
          <w:szCs w:val="24"/>
        </w:rPr>
        <w:t xml:space="preserve">52. Бюджетные учреждения ведут регистры бухгалтерского учета отдельно для бюджетных и отдельно для специальных средств.</w:t>
      </w:r>
    </w:p>
    <w:p>
      <w:pPr>
        <w:spacing w:after="120"/>
        <w:jc w:val="both"/>
      </w:pPr>
      <w:r>
        <w:rPr>
          <w:rFonts w:ascii="Arial" w:cs="Arial" w:eastAsia="Arial" w:hAnsi="Arial"/>
          <w:sz w:val="24"/>
          <w:szCs w:val="24"/>
        </w:rPr>
        <w:t xml:space="preserve">53. Регистры бухгалтерского учета по синтетическим и аналитическим счетам открываются записями сумм остатков на начало года в соответствии с заключительным балансом и регистрами бухгалтерского учета за истекший год.</w:t>
      </w:r>
    </w:p>
    <w:p>
      <w:pPr>
        <w:spacing w:after="120"/>
        <w:jc w:val="both"/>
      </w:pPr>
      <w:r>
        <w:rPr>
          <w:rFonts w:ascii="Arial" w:cs="Arial" w:eastAsia="Arial" w:hAnsi="Arial"/>
          <w:sz w:val="24"/>
          <w:szCs w:val="24"/>
        </w:rPr>
        <w:t xml:space="preserve">54. Проверенные и принятые к учету первичные учетные документы систематизируются по датам совершения операций (в хронологическом) порядке и оформляются раздельными мемориальными ордерами - накопительными ведомостями по операциям за счет бюджетных средств и специальных средств, которым присваиваются следующие постоянные номера: 1, 2, 3, 4, 5, 8, 9, 10, 11, 12, 13, 14 и 15.</w:t>
      </w:r>
    </w:p>
    <w:p>
      <w:pPr>
        <w:spacing w:after="120"/>
        <w:jc w:val="both"/>
      </w:pPr>
      <w:r>
        <w:rPr>
          <w:rFonts w:ascii="Arial" w:cs="Arial" w:eastAsia="Arial" w:hAnsi="Arial"/>
          <w:sz w:val="24"/>
          <w:szCs w:val="24"/>
        </w:rPr>
        <w:t xml:space="preserve">55. По операциям «Сторно» составляются отдельные мемориальные ордера по форме 274, которые нумеруются, начиная с номера 16, за каждый месяц.</w:t>
      </w:r>
    </w:p>
    <w:p>
      <w:pPr>
        <w:spacing w:after="120"/>
        <w:jc w:val="both"/>
      </w:pPr>
      <w:r>
        <w:rPr>
          <w:rFonts w:ascii="Arial" w:cs="Arial" w:eastAsia="Arial" w:hAnsi="Arial"/>
          <w:sz w:val="24"/>
          <w:szCs w:val="24"/>
        </w:rPr>
        <w:t xml:space="preserve">56. Аналитический учет ведется в регистрах бухгалтерского учета (на карточках, накопительных ведомостях, книгах, в том числе с применением пакетов прикладных программ ведения бухгалтерского учета).</w:t>
      </w:r>
    </w:p>
    <w:p>
      <w:pPr>
        <w:spacing w:after="120"/>
        <w:jc w:val="both"/>
      </w:pPr>
      <w:r>
        <w:rPr>
          <w:rFonts w:ascii="Arial" w:cs="Arial" w:eastAsia="Arial" w:hAnsi="Arial"/>
          <w:sz w:val="24"/>
          <w:szCs w:val="24"/>
        </w:rPr>
        <w:t xml:space="preserve">57. В бухгалтерских книгах до начала записей номеруются все страницы (листы). На последней странице листа за подписью главного бухгалтера делается надпись: «В настоящей книге всего пронумеровано ____ страниц (листов)». На каждой книге надписывается: наименование учреждения и год, на который книга открыта. В книге отражается оглавление открытых в ней элементов. При переносе записей на другую страницу книги в оглавлении по данному элементу делается отметка о переносе записи с указанием номеров новых страниц.</w:t>
      </w:r>
    </w:p>
    <w:p>
      <w:pPr>
        <w:spacing w:after="120"/>
        <w:jc w:val="both"/>
      </w:pPr>
      <w:r>
        <w:rPr>
          <w:rFonts w:ascii="Arial" w:cs="Arial" w:eastAsia="Arial" w:hAnsi="Arial"/>
          <w:sz w:val="24"/>
          <w:szCs w:val="24"/>
        </w:rPr>
        <w:t xml:space="preserve">58. Записи в регистрах бухгалтерского учета производятся чернилами, пастой шариковой ручки или при помощи пишущих машин и средств автоматизации с первичных учетных документов, не позднее следующего дня после их получения.</w:t>
      </w:r>
    </w:p>
    <w:p>
      <w:pPr>
        <w:spacing w:after="120"/>
        <w:jc w:val="both"/>
      </w:pPr>
      <w:r>
        <w:rPr>
          <w:rFonts w:ascii="Arial" w:cs="Arial" w:eastAsia="Arial" w:hAnsi="Arial"/>
          <w:sz w:val="24"/>
          <w:szCs w:val="24"/>
        </w:rPr>
        <w:t xml:space="preserve">59. По окончании каждого месяца в регистрах бухгалтерского учета подсчитываются итоги оборотов и выводятся остатки по элементам.</w:t>
      </w:r>
    </w:p>
    <w:p>
      <w:pPr>
        <w:spacing w:after="120"/>
        <w:jc w:val="both"/>
      </w:pPr>
      <w:r>
        <w:rPr>
          <w:rFonts w:ascii="Arial" w:cs="Arial" w:eastAsia="Arial" w:hAnsi="Arial"/>
          <w:sz w:val="24"/>
          <w:szCs w:val="24"/>
        </w:rPr>
        <w:t xml:space="preserve">60. Записи в мемориальные ордера осуществляются по мере совершения операций (но не позднее следующего дня по получении первичного учетного документа), как на основании отдельных документов, так и на основании группы однородных документов. Корреспонденция элементов в мемориальном ордере записывается в зависимости от характера операций по дебету одного элемента и кредиту другого элемента или дебету одного элемента и кредиту нескольких элементов.</w:t>
      </w:r>
    </w:p>
    <w:p>
      <w:pPr>
        <w:spacing w:after="120"/>
        <w:jc w:val="both"/>
      </w:pPr>
      <w:r>
        <w:rPr>
          <w:rFonts w:ascii="Arial" w:cs="Arial" w:eastAsia="Arial" w:hAnsi="Arial"/>
          <w:sz w:val="24"/>
          <w:szCs w:val="24"/>
        </w:rPr>
        <w:t xml:space="preserve">61. Сумма мемориального ордера записывается сначала в графу «Сумма по ордеру», а затем в дебет и кредит соответствующих элементов. Сумма оборотов за месяц по всем элементам, как по дебету, так и по кредиту должна быть равна итогу графы «Сумма по ордеру». Второй строкой после оборотов за месяц выводится остаток на начало следующего месяца по каждому элементу.</w:t>
      </w:r>
    </w:p>
    <w:p>
      <w:pPr>
        <w:spacing w:after="120"/>
        <w:jc w:val="both"/>
      </w:pPr>
      <w:r>
        <w:rPr>
          <w:rFonts w:ascii="Arial" w:cs="Arial" w:eastAsia="Arial" w:hAnsi="Arial"/>
          <w:sz w:val="24"/>
          <w:szCs w:val="24"/>
        </w:rPr>
        <w:t xml:space="preserve">62. Для отражения расходов по кодам экономической классификации расходов бюджета Кыргызской Республики применяется расшифровка к мемориальному ордеру по форме 803.</w:t>
      </w:r>
    </w:p>
    <w:p>
      <w:pPr>
        <w:spacing w:after="120"/>
        <w:jc w:val="both"/>
      </w:pPr>
      <w:r>
        <w:rPr>
          <w:rFonts w:ascii="Arial" w:cs="Arial" w:eastAsia="Arial" w:hAnsi="Arial"/>
          <w:sz w:val="24"/>
          <w:szCs w:val="24"/>
        </w:rPr>
        <w:t xml:space="preserve">63. Мемориальные ордера подписываются главным бухгалтером или его заместителем, а при централизации учета - кроме того, и руководителем группы учета.</w:t>
      </w:r>
    </w:p>
    <w:p>
      <w:pPr>
        <w:spacing w:after="120"/>
        <w:jc w:val="both"/>
      </w:pPr>
      <w:r>
        <w:rPr>
          <w:rFonts w:ascii="Arial" w:cs="Arial" w:eastAsia="Arial" w:hAnsi="Arial"/>
          <w:sz w:val="24"/>
          <w:szCs w:val="24"/>
        </w:rPr>
        <w:t xml:space="preserve">64. По истечении каждого отчетного месяца мемориальные ордера - накопительные ведомости вместе с относящимися к ним документами должны быть подобраны в хронологическом порядке и подшиты. При незначительном количестве документов подшивку можно производить за два-три месяца и более в одну папку. На обложке надписываются: наименование учреждения; название и порядковый номер папки, дела; отчетный период - год и месяц; начальный и последний номера мемориальных ордеров; количество листов в деле.</w:t>
      </w:r>
    </w:p>
    <w:p>
      <w:pPr>
        <w:spacing w:after="120"/>
        <w:jc w:val="both"/>
      </w:pPr>
      <w:r>
        <w:rPr>
          <w:rFonts w:ascii="Arial" w:cs="Arial" w:eastAsia="Arial" w:hAnsi="Arial"/>
          <w:sz w:val="24"/>
          <w:szCs w:val="24"/>
        </w:rPr>
        <w:t xml:space="preserve">65. Книга «Журнал-главная» (форма 308) открывается записями сумм остатков на начало года в соответствии с заключительным балансом за истекший год. Учет в книге «Журнал-главная» ведется по счетам, в соответствии с утвержденным Планом счетов для бюджетных учреждений, отдельно в отношении бюджетных средств и отдельно в отношении специальных средств.</w:t>
      </w:r>
    </w:p>
    <w:p>
      <w:pPr>
        <w:spacing w:after="120"/>
        <w:jc w:val="both"/>
      </w:pPr>
      <w:r>
        <w:rPr>
          <w:rFonts w:ascii="Arial" w:cs="Arial" w:eastAsia="Arial" w:hAnsi="Arial"/>
          <w:sz w:val="24"/>
          <w:szCs w:val="24"/>
        </w:rPr>
        <w:t xml:space="preserve">66. Записи в форме 308 производятся по мере составления мемориальных ордеров, а при доставлении мемориальных ордеров - накопительных ведомостей - один раз за месяц.</w:t>
      </w:r>
    </w:p>
    <w:p>
      <w:pPr>
        <w:spacing w:after="120"/>
        <w:jc w:val="both"/>
      </w:pPr>
      <w:r>
        <w:rPr>
          <w:rFonts w:ascii="Arial" w:cs="Arial" w:eastAsia="Arial" w:hAnsi="Arial"/>
          <w:sz w:val="24"/>
          <w:szCs w:val="24"/>
        </w:rPr>
        <w:t xml:space="preserve">67. Карточки (кроме карточек по основным средствам) регистрируются в реестре карточек (форма 279), который ведется для каждого счета отдельно. Карточки для учета основных средств регистрируются в описи инвентарных карточек по учету основных средств (форма ОС-10).</w:t>
      </w:r>
    </w:p>
    <w:p>
      <w:pPr>
        <w:spacing w:after="120"/>
        <w:jc w:val="both"/>
      </w:pPr>
      <w:r>
        <w:rPr>
          <w:rFonts w:ascii="Arial" w:cs="Arial" w:eastAsia="Arial" w:hAnsi="Arial"/>
          <w:sz w:val="24"/>
          <w:szCs w:val="24"/>
        </w:rPr>
        <w:t xml:space="preserve">68. Основные формы регистров бухгалтерского учета установлены согласно </w:t>
      </w:r>
      <w:hyperlink w:history="1" r:id="rIdovws-urt8nuba5xdycakh">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Требования к системе внутреннего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69. С лицами, предусмотренными действующим законодательством, ответственными за хранение денежных средств и товарно-материальных ценностей, заключаются в установленном порядке договоры о полной индивидуальной материальной ответственности (форма 523).</w:t>
      </w:r>
    </w:p>
    <w:p>
      <w:pPr>
        <w:spacing w:after="120"/>
        <w:jc w:val="both"/>
      </w:pPr>
      <w:r>
        <w:rPr>
          <w:rFonts w:ascii="Arial" w:cs="Arial" w:eastAsia="Arial" w:hAnsi="Arial"/>
          <w:sz w:val="24"/>
          <w:szCs w:val="24"/>
        </w:rPr>
        <w:t xml:space="preserve">70. Получение материальных ценностей осуществляется лицом, полномочия которого подтверждаются доверенностью.</w:t>
      </w:r>
    </w:p>
    <w:p>
      <w:pPr>
        <w:spacing w:after="120"/>
        <w:jc w:val="both"/>
      </w:pPr>
      <w:r>
        <w:rPr>
          <w:rFonts w:ascii="Arial" w:cs="Arial" w:eastAsia="Arial" w:hAnsi="Arial"/>
          <w:sz w:val="24"/>
          <w:szCs w:val="24"/>
        </w:rPr>
        <w:t xml:space="preserve">71. Материально ответственные лица представляют первичные учетные документы по приходу и расходу товарно-материальных ценностей при реестре сдачи документов (по приходным и расходным документам). После проведенной в присутствии материально ответственного лица проверки правильности оформления представленных первичных учетных документов реестр с подписью работника бухгалтерии возвращается материально ответственному лицу.</w:t>
      </w:r>
    </w:p>
    <w:p>
      <w:pPr>
        <w:spacing w:after="120"/>
        <w:jc w:val="both"/>
      </w:pPr>
      <w:r>
        <w:rPr>
          <w:rFonts w:ascii="Arial" w:cs="Arial" w:eastAsia="Arial" w:hAnsi="Arial"/>
          <w:sz w:val="24"/>
          <w:szCs w:val="24"/>
        </w:rPr>
        <w:t xml:space="preserve">72. Исправление ошибок, обнаруженных в записях бухгалтерского учета, производится в следующем порядке:</w:t>
      </w:r>
    </w:p>
    <w:p>
      <w:pPr>
        <w:spacing w:after="120"/>
        <w:jc w:val="both"/>
      </w:pPr>
      <w:r>
        <w:rPr>
          <w:rFonts w:ascii="Arial" w:cs="Arial" w:eastAsia="Arial" w:hAnsi="Arial"/>
          <w:sz w:val="24"/>
          <w:szCs w:val="24"/>
        </w:rPr>
        <w:t xml:space="preserve">а) обнаруженная ошибка за данный отчетный период до момента представления бухгалтерского баланса, не требующая изменения данных мемориального ордера, исправляется путем зачеркивания тонкой чертой неправильных сумм и текста так, чтобы можно было прочитать зачеркнутое и надписывания над зачеркнутым исправленного текста и суммы. Одновременно здесь же на полях против соответствующей строки за подписью главного бухгалтера делается оговорка «Исправлено»;</w:t>
      </w:r>
    </w:p>
    <w:p>
      <w:pPr>
        <w:spacing w:after="120"/>
        <w:jc w:val="both"/>
      </w:pPr>
      <w:r>
        <w:rPr>
          <w:rFonts w:ascii="Arial" w:cs="Arial" w:eastAsia="Arial" w:hAnsi="Arial"/>
          <w:sz w:val="24"/>
          <w:szCs w:val="24"/>
        </w:rPr>
        <w:t xml:space="preserve">б) обнаруженная ошибочная запись до момента представления бухгалтерского баланса, вызванная ошибкой в мемориальном ордере, в зависимости от ее характера, исправляется дополнительным мемориальным ордером или по способу «Красное сторно»; точно также исправляются ошибки во всех случаях, когда они обнаружены в записях бухгалтерского учета за тот отчетный период, за который баланс уже представлен;</w:t>
      </w:r>
    </w:p>
    <w:p>
      <w:pPr>
        <w:spacing w:after="120"/>
        <w:jc w:val="both"/>
      </w:pPr>
      <w:r>
        <w:rPr>
          <w:rFonts w:ascii="Arial" w:cs="Arial" w:eastAsia="Arial" w:hAnsi="Arial"/>
          <w:sz w:val="24"/>
          <w:szCs w:val="24"/>
        </w:rPr>
        <w:t xml:space="preserve">в) дополнительные бухгалтерские записи по исправлению ошибок, а также исправление способом «Красное сторно» оформляются бухгалтерской справкой (форма 433), в которой делается ссылка на номер и дату исправляемого мемориального ордера, документа, обоснование внесения исправления. На основании бухгалтерской справки (форма 433) составляется мемориальный ордер (форма 274).</w:t>
      </w:r>
    </w:p>
    <w:p>
      <w:pPr>
        <w:spacing w:after="120"/>
        <w:jc w:val="both"/>
      </w:pPr>
      <w:r>
        <w:rPr>
          <w:rFonts w:ascii="Arial" w:cs="Arial" w:eastAsia="Arial" w:hAnsi="Arial"/>
          <w:sz w:val="24"/>
          <w:szCs w:val="24"/>
        </w:rPr>
        <w:t xml:space="preserve">73. Если учреждением обнаружены ошибки учета, то на основании соответствующего письменного распоряжения в регистры бухгалтерского учета вносятся исправления путем регистрации такой же бухгалтерской записи, но со знаком минус. Если ошибки относятся к прошлым отчетным годам, то корректировка таких ошибок производится через элемент 41111 100 «Финансовый результат».</w:t>
      </w:r>
    </w:p>
    <w:p>
      <w:pPr>
        <w:spacing w:after="120"/>
        <w:jc w:val="both"/>
      </w:pPr>
      <w:r>
        <w:rPr>
          <w:rFonts w:ascii="Arial" w:cs="Arial" w:eastAsia="Arial" w:hAnsi="Arial"/>
          <w:sz w:val="24"/>
          <w:szCs w:val="24"/>
        </w:rPr>
        <w:t xml:space="preserve">74. При обнаружении в выходных формах документов ошибок бухгалтерия осуществляет диагностику ошибочных данных, внесение исправлений в соответствующие базы данных и получение выходных форм документов с учетом исправлений. Внесение исправлений осуществляется датой обнаружения ошибочных данных путем обязательного оформления измененных документов, сторнирующих проводок. Без оформления документального подтверждения любые исправления непосредственно в электронных базах данных не допускаются.</w:t>
      </w:r>
    </w:p>
    <w:p>
      <w:pPr>
        <w:spacing w:after="120"/>
        <w:jc w:val="both"/>
      </w:pPr>
      <w:r>
        <w:rPr>
          <w:rFonts w:ascii="Arial" w:cs="Arial" w:eastAsia="Arial" w:hAnsi="Arial"/>
          <w:sz w:val="24"/>
          <w:szCs w:val="24"/>
        </w:rPr>
        <w:t xml:space="preserve">75. Для контроля за правильностью бухгалтерских записей по счетам синтетического и аналитического учета составляются оборотные ведомости: форма 285 (оборотная ведомость по счету ___), форма М-44 (оборотная ведомость по материальным запасам) и форма 326 (оборотная ведомость по основным средствам) по каждой группе аналитических счетов и материально ответственным лицам, объединяемых соответствующим синтетическим счетом.</w:t>
      </w:r>
    </w:p>
    <w:p>
      <w:pPr>
        <w:spacing w:after="120"/>
        <w:jc w:val="both"/>
      </w:pPr>
      <w:r>
        <w:rPr>
          <w:rFonts w:ascii="Arial" w:cs="Arial" w:eastAsia="Arial" w:hAnsi="Arial"/>
          <w:sz w:val="24"/>
          <w:szCs w:val="24"/>
        </w:rPr>
        <w:t xml:space="preserve">76. Оборотные ведомости составляются ежемесячно, кроме основных средств и малоценных предметов, по которым оборотные ведомости составляются ежеквартально.</w:t>
      </w:r>
    </w:p>
    <w:p>
      <w:pPr>
        <w:spacing w:after="120"/>
        <w:jc w:val="both"/>
      </w:pPr>
      <w:r>
        <w:rPr>
          <w:rFonts w:ascii="Arial" w:cs="Arial" w:eastAsia="Arial" w:hAnsi="Arial"/>
          <w:sz w:val="24"/>
          <w:szCs w:val="24"/>
        </w:rPr>
        <w:t xml:space="preserve">77. Итоги оборотов и остатки по каждому элементу оборотных ведомостей сверяются с итогами оборотов и остатками этих элементов книги «Журнал-главная» (форма 308). Записи в оборотных ведомостях могут производиться при необходимости в течение нескольких лет.</w:t>
      </w:r>
    </w:p>
    <w:p>
      <w:pPr>
        <w:spacing w:after="120"/>
        <w:jc w:val="both"/>
      </w:pPr>
      <w:r>
        <w:rPr>
          <w:rFonts w:ascii="Arial" w:cs="Arial" w:eastAsia="Arial" w:hAnsi="Arial"/>
          <w:sz w:val="24"/>
          <w:szCs w:val="24"/>
        </w:rPr>
        <w:t xml:space="preserve">78. Для обеспечения контроля за сохранностью бюджетных средств и средств, полученных за счет внебюджетных источников, и достоверности данных бухгалтерского учета учреждения проводят инвентаризацию имущества и финансовых обязательств.</w:t>
      </w:r>
    </w:p>
    <w:p>
      <w:pPr>
        <w:spacing w:after="120"/>
        <w:jc w:val="both"/>
      </w:pPr>
      <w:r>
        <w:rPr>
          <w:rFonts w:ascii="Arial" w:cs="Arial" w:eastAsia="Arial" w:hAnsi="Arial"/>
          <w:sz w:val="24"/>
          <w:szCs w:val="24"/>
        </w:rPr>
        <w:t xml:space="preserve">79. Порядок проведения инвентаризации (количество инвентаризаций в отчетном году, даты их проведения, перечень имущества и обязательств, проверяемых при каждой из них, и т.п.) определяется руководителем учреждения, за исключением случаев, когда проведение инвентаризации обязательно.</w:t>
      </w:r>
    </w:p>
    <w:p>
      <w:pPr>
        <w:spacing w:after="120"/>
        <w:jc w:val="both"/>
      </w:pPr>
      <w:r>
        <w:rPr>
          <w:rFonts w:ascii="Arial" w:cs="Arial" w:eastAsia="Arial" w:hAnsi="Arial"/>
          <w:sz w:val="24"/>
          <w:szCs w:val="24"/>
        </w:rPr>
        <w:t xml:space="preserve">80. Проведение инвентаризации обязательно в следующих случаях:</w:t>
      </w:r>
    </w:p>
    <w:p>
      <w:pPr>
        <w:spacing w:after="120"/>
        <w:jc w:val="both"/>
      </w:pPr>
      <w:r>
        <w:rPr>
          <w:rFonts w:ascii="Arial" w:cs="Arial" w:eastAsia="Arial" w:hAnsi="Arial"/>
          <w:sz w:val="24"/>
          <w:szCs w:val="24"/>
        </w:rPr>
        <w:t xml:space="preserve">- при передаче имущества в аренду, а также выкупе, продаже имущества;</w:t>
      </w:r>
    </w:p>
    <w:p>
      <w:pPr>
        <w:spacing w:after="120"/>
        <w:jc w:val="both"/>
      </w:pPr>
      <w:r>
        <w:rPr>
          <w:rFonts w:ascii="Arial" w:cs="Arial" w:eastAsia="Arial" w:hAnsi="Arial"/>
          <w:sz w:val="24"/>
          <w:szCs w:val="24"/>
        </w:rPr>
        <w:t xml:space="preserve">- перед составлением годовой бухгалтерской отчетности (кроме имущества, инвентаризация которого проводилась не ранее 1 октября отчетного года);</w:t>
      </w:r>
    </w:p>
    <w:p>
      <w:pPr>
        <w:spacing w:after="120"/>
        <w:jc w:val="both"/>
      </w:pPr>
      <w:r>
        <w:rPr>
          <w:rFonts w:ascii="Arial" w:cs="Arial" w:eastAsia="Arial" w:hAnsi="Arial"/>
          <w:sz w:val="24"/>
          <w:szCs w:val="24"/>
        </w:rPr>
        <w:t xml:space="preserve">- при смене материально ответственных лиц;</w:t>
      </w:r>
    </w:p>
    <w:p>
      <w:pPr>
        <w:spacing w:after="120"/>
        <w:jc w:val="both"/>
      </w:pPr>
      <w:r>
        <w:rPr>
          <w:rFonts w:ascii="Arial" w:cs="Arial" w:eastAsia="Arial" w:hAnsi="Arial"/>
          <w:sz w:val="24"/>
          <w:szCs w:val="24"/>
        </w:rPr>
        <w:t xml:space="preserve">- при выявлении фактов хищения, злоупотребления или порчи имущества;</w:t>
      </w:r>
    </w:p>
    <w:p>
      <w:pPr>
        <w:spacing w:after="120"/>
        <w:jc w:val="both"/>
      </w:pPr>
      <w:r>
        <w:rPr>
          <w:rFonts w:ascii="Arial" w:cs="Arial" w:eastAsia="Arial" w:hAnsi="Arial"/>
          <w:sz w:val="24"/>
          <w:szCs w:val="24"/>
        </w:rPr>
        <w:t xml:space="preserve">- в случае стихийного бедствия, пожара или других чрезвычайных ситуаций, вызванных экстремальными условиями;</w:t>
      </w:r>
    </w:p>
    <w:p>
      <w:pPr>
        <w:spacing w:after="120"/>
        <w:jc w:val="both"/>
      </w:pPr>
      <w:r>
        <w:rPr>
          <w:rFonts w:ascii="Arial" w:cs="Arial" w:eastAsia="Arial" w:hAnsi="Arial"/>
          <w:sz w:val="24"/>
          <w:szCs w:val="24"/>
        </w:rPr>
        <w:t xml:space="preserve">- при реорганизации или ликвидации учреждения;</w:t>
      </w:r>
    </w:p>
    <w:p>
      <w:pPr>
        <w:spacing w:after="120"/>
        <w:jc w:val="both"/>
      </w:pPr>
      <w:r>
        <w:rPr>
          <w:rFonts w:ascii="Arial" w:cs="Arial" w:eastAsia="Arial" w:hAnsi="Arial"/>
          <w:sz w:val="24"/>
          <w:szCs w:val="24"/>
        </w:rPr>
        <w:t xml:space="preserve">- в других случаях, предусмотренных действующим законодательством.</w:t>
      </w:r>
    </w:p>
    <w:p>
      <w:pPr>
        <w:spacing w:after="120"/>
        <w:jc w:val="both"/>
      </w:pPr>
      <w:r>
        <w:rPr>
          <w:rFonts w:ascii="Arial" w:cs="Arial" w:eastAsia="Arial" w:hAnsi="Arial"/>
          <w:sz w:val="24"/>
          <w:szCs w:val="24"/>
        </w:rPr>
        <w:t xml:space="preserve">Инвентаризация основных средств может проводиться один раз в три года, а библиотечных фондов - один раз в пять лет.</w:t>
      </w:r>
    </w:p>
    <w:p>
      <w:pPr>
        <w:spacing w:after="120"/>
        <w:jc w:val="both"/>
      </w:pPr>
      <w:r>
        <w:rPr>
          <w:rFonts w:ascii="Arial" w:cs="Arial" w:eastAsia="Arial" w:hAnsi="Arial"/>
          <w:sz w:val="24"/>
          <w:szCs w:val="24"/>
        </w:rPr>
        <w:t xml:space="preserve">81. Для проведения инвентаризации имущества и финансовых обязательств приказом руководителя учреждения назначается инвентаризационная комиссия.</w:t>
      </w:r>
    </w:p>
    <w:p>
      <w:pPr>
        <w:spacing w:after="120"/>
        <w:jc w:val="both"/>
      </w:pPr>
      <w:r>
        <w:rPr>
          <w:rFonts w:ascii="Arial" w:cs="Arial" w:eastAsia="Arial" w:hAnsi="Arial"/>
          <w:sz w:val="24"/>
          <w:szCs w:val="24"/>
        </w:rPr>
        <w:t xml:space="preserve">82. Для оформления результатов инвентаризации необходимы следующие документы:</w:t>
      </w:r>
    </w:p>
    <w:p>
      <w:pPr>
        <w:spacing w:after="120"/>
        <w:jc w:val="both"/>
      </w:pPr>
      <w:r>
        <w:rPr>
          <w:rFonts w:ascii="Arial" w:cs="Arial" w:eastAsia="Arial" w:hAnsi="Arial"/>
          <w:sz w:val="24"/>
          <w:szCs w:val="24"/>
        </w:rPr>
        <w:t xml:space="preserve">- инвентаризационная опись (сличительная ведомость) по форме 401 по объектам основных средств, предметам малоценного инвентаря, материальным запасам, готовой продукции;</w:t>
      </w:r>
    </w:p>
    <w:p>
      <w:pPr>
        <w:spacing w:after="120"/>
        <w:jc w:val="both"/>
      </w:pPr>
      <w:r>
        <w:rPr>
          <w:rFonts w:ascii="Arial" w:cs="Arial" w:eastAsia="Arial" w:hAnsi="Arial"/>
          <w:sz w:val="24"/>
          <w:szCs w:val="24"/>
        </w:rPr>
        <w:t xml:space="preserve">- акт инвентаря наличных денежных средств (форма - по наличным денежным средствам);</w:t>
      </w:r>
    </w:p>
    <w:p>
      <w:pPr>
        <w:spacing w:after="120"/>
        <w:jc w:val="both"/>
      </w:pPr>
      <w:r>
        <w:rPr>
          <w:rFonts w:ascii="Arial" w:cs="Arial" w:eastAsia="Arial" w:hAnsi="Arial"/>
          <w:sz w:val="24"/>
          <w:szCs w:val="24"/>
        </w:rPr>
        <w:t xml:space="preserve">- инвентаризационная опись ценных бумаг и бланков документов строгой отчетности (форма - по ценным бумагам и бланкам документов строгой отчетности);</w:t>
      </w:r>
    </w:p>
    <w:p>
      <w:pPr>
        <w:spacing w:after="120"/>
        <w:jc w:val="both"/>
      </w:pPr>
      <w:r>
        <w:rPr>
          <w:rFonts w:ascii="Arial" w:cs="Arial" w:eastAsia="Arial" w:hAnsi="Arial"/>
          <w:sz w:val="24"/>
          <w:szCs w:val="24"/>
        </w:rPr>
        <w:t xml:space="preserve">- акт инвентаризации расчетов с покупателями, поставщиками и прочими дебиторами и кредиторами (форма - по расчетам);</w:t>
      </w:r>
    </w:p>
    <w:p>
      <w:pPr>
        <w:spacing w:after="120"/>
        <w:jc w:val="both"/>
      </w:pPr>
      <w:r>
        <w:rPr>
          <w:rFonts w:ascii="Arial" w:cs="Arial" w:eastAsia="Arial" w:hAnsi="Arial"/>
          <w:sz w:val="24"/>
          <w:szCs w:val="24"/>
        </w:rPr>
        <w:t xml:space="preserve">- акт о результатах инвентаризации (форма 835) с прилагаемой к нему ведомостью расхождений по результатам инвентаризации (форма 836).</w:t>
      </w:r>
    </w:p>
    <w:p>
      <w:pPr>
        <w:spacing w:after="120"/>
        <w:jc w:val="both"/>
      </w:pPr>
      <w:r>
        <w:rPr>
          <w:rFonts w:ascii="Arial" w:cs="Arial" w:eastAsia="Arial" w:hAnsi="Arial"/>
          <w:sz w:val="24"/>
          <w:szCs w:val="24"/>
        </w:rPr>
        <w:t xml:space="preserve">83. Выявленные при инвентаризации расхождения между фактическим наличием имущества и данным бухгалтерского учета отражаются в соответствующих элементах, предусмотренных настоящим Положением:</w:t>
      </w:r>
    </w:p>
    <w:p>
      <w:pPr>
        <w:spacing w:after="120"/>
        <w:jc w:val="both"/>
      </w:pPr>
      <w:r>
        <w:rPr>
          <w:rFonts w:ascii="Arial" w:cs="Arial" w:eastAsia="Arial" w:hAnsi="Arial"/>
          <w:sz w:val="24"/>
          <w:szCs w:val="24"/>
        </w:rPr>
        <w:t xml:space="preserve">а) излишек материальных ценностей приходуется согласно заключению комиссии по рыночной стоимости на дату проведения инвентаризации, и соответствующая сумма отражается по дебету соответствующих элементов основных фондов и запасов, по кредиту элементов 14 511 500 «Безвозмездное поступление запасов» и 14 511 400 «Безвозмездное поступление основных фондов»;</w:t>
      </w:r>
    </w:p>
    <w:p>
      <w:pPr>
        <w:spacing w:after="120"/>
        <w:jc w:val="both"/>
      </w:pPr>
      <w:r>
        <w:rPr>
          <w:rFonts w:ascii="Arial" w:cs="Arial" w:eastAsia="Arial" w:hAnsi="Arial"/>
          <w:sz w:val="24"/>
          <w:szCs w:val="24"/>
        </w:rPr>
        <w:t xml:space="preserve">б) недостача материальных запасов в пределах норм естественной убыли относится по балансовой стоимости по дебету элемента 28 213 100 «Прочие расходы, не отнесенные к другим статьям» и кредиту элементов запасов (раздел 312);</w:t>
      </w:r>
    </w:p>
    <w:p>
      <w:pPr>
        <w:spacing w:after="120"/>
        <w:jc w:val="both"/>
      </w:pPr>
      <w:r>
        <w:rPr>
          <w:rFonts w:ascii="Arial" w:cs="Arial" w:eastAsia="Arial" w:hAnsi="Arial"/>
          <w:sz w:val="24"/>
          <w:szCs w:val="24"/>
        </w:rPr>
        <w:t xml:space="preserve">в) недостача материальных ценностей и их порча относятся на виновных лиц по балансовой стоимости по дебету элемента 32 171 120 и кредиту элементов по учету нефинансовых активов (категория 31) и финансовых активов (категория 32).</w:t>
      </w:r>
    </w:p>
    <w:p>
      <w:pPr>
        <w:spacing w:after="120"/>
        <w:jc w:val="both"/>
      </w:pPr>
      <w:r>
        <w:rPr>
          <w:rFonts w:ascii="Arial" w:cs="Arial" w:eastAsia="Arial" w:hAnsi="Arial"/>
          <w:sz w:val="24"/>
          <w:szCs w:val="24"/>
        </w:rPr>
        <w:t xml:space="preserve">84. Текущая рыночная стоимость формируется на основе цены, действующей на дату оприходования имущества, на данный или аналогичный вид имущества. Данные о действующей цене имущества должны быть подтверждены документально или экспертным путем.</w:t>
      </w:r>
    </w:p>
    <w:p>
      <w:pPr>
        <w:spacing w:after="120"/>
        <w:jc w:val="both"/>
      </w:pPr>
      <w:r>
        <w:rPr>
          <w:rFonts w:ascii="Arial" w:cs="Arial" w:eastAsia="Arial" w:hAnsi="Arial"/>
          <w:sz w:val="24"/>
          <w:szCs w:val="24"/>
        </w:rPr>
        <w:t xml:space="preserve">85. В случае неустановления виновных лиц или отказа судом в взыскании убытка с виновных лиц, производятся записи по дебету элемента 28 213 100 «Прочие расходы, не отнесенные к другим статьям» и по кредиту элемента 32 171 120 «Недостачи, хищения, растраты».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II. План счетов и руководство по его применению</w:t>
      </w:r>
    </w:p>
    <w:p>
      <w:pPr>
        <w:spacing w:after="120"/>
        <w:jc w:val="both"/>
      </w:pPr>
      <w:r>
        <w:rPr>
          <w:rFonts w:ascii="Arial" w:cs="Arial" w:eastAsia="Arial" w:hAnsi="Arial"/>
          <w:i/>
          <w:iCs/>
          <w:sz w:val="24"/>
          <w:szCs w:val="24"/>
        </w:rPr>
        <w:t xml:space="preserve">(Утратил силу в соответствии с постановлением Правительства КР </w:t>
      </w:r>
      <w:hyperlink w:history="1" r:id="rId56heapl9xlg_cpvh0ox2j">
        <w:r>
          <w:rPr>
            <w:rFonts w:ascii="Arial" w:cs="Arial" w:eastAsia="Arial" w:hAnsi="Arial"/>
            <w:i/>
            <w:iCs/>
            <w:color w:val="1D4ED8"/>
            <w:sz w:val="24"/>
            <w:szCs w:val="24"/>
            <w:u w:val="single"/>
          </w:rPr>
          <w:t xml:space="preserve">3 ноября 2014 года № 624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III. Формы бухгалтерской отчетности и руководство по их составлению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w:t>
      </w:r>
      <w:r>
        <w:rPr>
          <w:rFonts w:ascii="Arial" w:cs="Arial" w:eastAsia="Arial" w:hAnsi="Arial"/>
          <w:sz w:val="24"/>
          <w:szCs w:val="24"/>
        </w:rPr>
        <w:t xml:space="preserve">Формы бухгалтерской отчетности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Форма 1. «Баланс»</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79"/>
        <w:gridCol w:w="831"/>
        <w:gridCol w:w="743"/>
        <w:gridCol w:w="816"/>
        <w:gridCol w:w="774"/>
        <w:gridCol w:w="859"/>
        <w:gridCol w:w="816"/>
        <w:gridCol w:w="816"/>
        <w:gridCol w:w="943"/>
      </w:tblGrid>
      <w:tr>
        <w:tc>
          <w:tcPr>
            <w:tcW w:type="dxa" w:w="357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Форма 1. Баланс</w:t>
            </w:r>
          </w:p>
        </w:tc>
        <w:tc>
          <w:tcPr>
            <w:tcW w:type="dxa" w:w="8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4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Учреждение:</w:t>
            </w:r>
          </w:p>
        </w:tc>
        <w:tc>
          <w:tcPr>
            <w:tcW w:type="dxa" w:w="83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1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1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1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94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357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Отчетная дата:</w:t>
            </w:r>
          </w:p>
        </w:tc>
        <w:tc>
          <w:tcPr>
            <w:tcW w:type="dxa" w:w="83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1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1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1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94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357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Отчетный период:</w:t>
            </w:r>
          </w:p>
        </w:tc>
        <w:tc>
          <w:tcPr>
            <w:tcW w:type="dxa" w:w="83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1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1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1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94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357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Единица измерения:</w:t>
            </w:r>
          </w:p>
        </w:tc>
        <w:tc>
          <w:tcPr>
            <w:tcW w:type="dxa" w:w="83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1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1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1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94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357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Классификация ведомственная:</w:t>
            </w:r>
          </w:p>
        </w:tc>
        <w:tc>
          <w:tcPr>
            <w:tcW w:type="dxa" w:w="83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1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1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1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94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357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Классификация функциональная:</w:t>
            </w:r>
          </w:p>
        </w:tc>
        <w:tc>
          <w:tcPr>
            <w:tcW w:type="dxa" w:w="83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1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1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1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94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9"/>
        <w:gridCol w:w="509"/>
        <w:gridCol w:w="509"/>
        <w:gridCol w:w="509"/>
        <w:gridCol w:w="509"/>
        <w:gridCol w:w="509"/>
        <w:gridCol w:w="509"/>
        <w:gridCol w:w="509"/>
        <w:gridCol w:w="509"/>
        <w:gridCol w:w="509"/>
        <w:gridCol w:w="509"/>
        <w:gridCol w:w="509"/>
        <w:gridCol w:w="509"/>
        <w:gridCol w:w="509"/>
        <w:gridCol w:w="509"/>
        <w:gridCol w:w="509"/>
        <w:gridCol w:w="509"/>
        <w:gridCol w:w="509"/>
        <w:gridCol w:w="508"/>
        <w:gridCol w:w="508"/>
      </w:tblGrid>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w:t>
            </w:r>
          </w:p>
          <w:p>
            <w:pPr>
              <w:jc w:val="left"/>
            </w:pPr>
            <w:r>
              <w:rPr>
                <w:rFonts w:ascii="Arial" w:cs="Arial" w:eastAsia="Arial" w:hAnsi="Arial"/>
                <w:sz w:val="24"/>
                <w:szCs w:val="24"/>
              </w:rPr>
              <w:t xml:space="preserve">конец</w:t>
            </w:r>
          </w:p>
        </w:tc>
        <w:tc>
          <w:tcPr>
            <w:tcW w:type="dxa" w:w="10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w:t>
            </w:r>
          </w:p>
          <w:p>
            <w:pPr>
              <w:jc w:val="left"/>
            </w:pPr>
            <w:r>
              <w:rPr>
                <w:rFonts w:ascii="Arial" w:cs="Arial" w:eastAsia="Arial" w:hAnsi="Arial"/>
                <w:sz w:val="24"/>
                <w:szCs w:val="24"/>
              </w:rPr>
              <w:t xml:space="preserve">начало</w:t>
            </w:r>
          </w:p>
        </w:tc>
        <w:tc>
          <w:tcPr>
            <w:tcW w:type="dxa" w:w="10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w:t>
            </w:r>
          </w:p>
          <w:p>
            <w:pPr>
              <w:jc w:val="left"/>
            </w:pPr>
            <w:r>
              <w:rPr>
                <w:rFonts w:ascii="Arial" w:cs="Arial" w:eastAsia="Arial" w:hAnsi="Arial"/>
                <w:sz w:val="24"/>
                <w:szCs w:val="24"/>
              </w:rPr>
              <w:t xml:space="preserve">конец</w:t>
            </w:r>
          </w:p>
        </w:tc>
        <w:tc>
          <w:tcPr>
            <w:tcW w:type="dxa" w:w="10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w:t>
            </w:r>
          </w:p>
          <w:p>
            <w:pPr>
              <w:jc w:val="left"/>
            </w:pPr>
            <w:r>
              <w:rPr>
                <w:rFonts w:ascii="Arial" w:cs="Arial" w:eastAsia="Arial" w:hAnsi="Arial"/>
                <w:sz w:val="24"/>
                <w:szCs w:val="24"/>
              </w:rPr>
              <w:t xml:space="preserve">начало</w:t>
            </w:r>
          </w:p>
        </w:tc>
        <w:tc>
          <w:tcPr>
            <w:tcW w:type="dxa" w:w="10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w:t>
            </w:r>
          </w:p>
          <w:p>
            <w:pPr>
              <w:jc w:val="left"/>
            </w:pPr>
            <w:r>
              <w:rPr>
                <w:rFonts w:ascii="Arial" w:cs="Arial" w:eastAsia="Arial" w:hAnsi="Arial"/>
                <w:sz w:val="24"/>
                <w:szCs w:val="24"/>
              </w:rPr>
              <w:t xml:space="preserve">конец</w:t>
            </w:r>
          </w:p>
        </w:tc>
        <w:tc>
          <w:tcPr>
            <w:tcW w:type="dxa" w:w="10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w:t>
            </w:r>
          </w:p>
          <w:p>
            <w:pPr>
              <w:jc w:val="left"/>
            </w:pPr>
            <w:r>
              <w:rPr>
                <w:rFonts w:ascii="Arial" w:cs="Arial" w:eastAsia="Arial" w:hAnsi="Arial"/>
                <w:sz w:val="24"/>
                <w:szCs w:val="24"/>
              </w:rPr>
              <w:t xml:space="preserve">начало</w:t>
            </w:r>
          </w:p>
        </w:tc>
        <w:tc>
          <w:tcPr>
            <w:tcW w:type="dxa" w:w="509"/>
            <w:tcBorders>
              <w:top w:val="none" w:color="auto" w:sz="0"/>
              <w:left w:val="none" w:color="auto" w:sz="0"/>
              <w:bottom w:val="none" w:color="auto" w:sz="0"/>
              <w:right w:val="none" w:color="auto" w:sz="0"/>
            </w:tcBorders>
          </w:tcPr>
          <w:p>
            <w:r>
              <w:rPr>
                <w:rFonts w:ascii="Arial" w:cs="Arial" w:eastAsia="Arial" w:hAnsi="Arial"/>
                <w:sz w:val="24"/>
                <w:szCs w:val="24"/>
              </w:rPr>
              <w:t xml:space="preserve"/>
            </w:r>
          </w:p>
        </w:tc>
        <w:tc>
          <w:tcPr>
            <w:tcW w:type="dxa" w:w="509"/>
            <w:tcBorders>
              <w:top w:val="none" w:color="auto" w:sz="0"/>
              <w:left w:val="none" w:color="auto" w:sz="0"/>
              <w:bottom w:val="none" w:color="auto" w:sz="0"/>
              <w:right w:val="none" w:color="auto" w:sz="0"/>
            </w:tcBorders>
          </w:tcPr>
          <w:p>
            <w:r>
              <w:rPr>
                <w:rFonts w:ascii="Arial" w:cs="Arial" w:eastAsia="Arial" w:hAnsi="Arial"/>
                <w:sz w:val="24"/>
                <w:szCs w:val="24"/>
              </w:rPr>
              <w:t xml:space="preserve"/>
            </w:r>
          </w:p>
        </w:tc>
        <w:tc>
          <w:tcPr>
            <w:tcW w:type="dxa" w:w="509"/>
            <w:tcBorders>
              <w:top w:val="none" w:color="auto" w:sz="0"/>
              <w:left w:val="none" w:color="auto" w:sz="0"/>
              <w:bottom w:val="none" w:color="auto" w:sz="0"/>
              <w:right w:val="none" w:color="auto" w:sz="0"/>
            </w:tcBorders>
          </w:tcPr>
          <w:p>
            <w:r>
              <w:rPr>
                <w:rFonts w:ascii="Arial" w:cs="Arial" w:eastAsia="Arial" w:hAnsi="Arial"/>
                <w:sz w:val="24"/>
                <w:szCs w:val="24"/>
              </w:rPr>
              <w:t xml:space="preserve"/>
            </w:r>
          </w:p>
        </w:tc>
        <w:tc>
          <w:tcPr>
            <w:tcW w:type="dxa" w:w="509"/>
            <w:tcBorders>
              <w:top w:val="none" w:color="auto" w:sz="0"/>
              <w:left w:val="none" w:color="auto" w:sz="0"/>
              <w:bottom w:val="none" w:color="auto" w:sz="0"/>
              <w:right w:val="none" w:color="auto" w:sz="0"/>
            </w:tcBorders>
          </w:tcPr>
          <w:p>
            <w:r>
              <w:rPr>
                <w:rFonts w:ascii="Arial" w:cs="Arial" w:eastAsia="Arial" w:hAnsi="Arial"/>
                <w:sz w:val="24"/>
                <w:szCs w:val="24"/>
              </w:rPr>
              <w:t xml:space="preserve"/>
            </w:r>
          </w:p>
        </w:tc>
        <w:tc>
          <w:tcPr>
            <w:tcW w:type="dxa" w:w="509"/>
            <w:tcBorders>
              <w:top w:val="none" w:color="auto" w:sz="0"/>
              <w:left w:val="none" w:color="auto" w:sz="0"/>
              <w:bottom w:val="none" w:color="auto" w:sz="0"/>
              <w:right w:val="none" w:color="auto" w:sz="0"/>
            </w:tcBorders>
          </w:tcPr>
          <w:p>
            <w:r>
              <w:rPr>
                <w:rFonts w:ascii="Arial" w:cs="Arial" w:eastAsia="Arial" w:hAnsi="Arial"/>
                <w:sz w:val="24"/>
                <w:szCs w:val="24"/>
              </w:rPr>
              <w:t xml:space="preserve"/>
            </w:r>
          </w:p>
        </w:tc>
        <w:tc>
          <w:tcPr>
            <w:tcW w:type="dxa" w:w="508"/>
            <w:tcBorders>
              <w:top w:val="none" w:color="auto" w:sz="0"/>
              <w:left w:val="none" w:color="auto" w:sz="0"/>
              <w:bottom w:val="none" w:color="auto" w:sz="0"/>
              <w:right w:val="none" w:color="auto" w:sz="0"/>
            </w:tcBorders>
          </w:tcPr>
          <w:p>
            <w:r>
              <w:rPr>
                <w:rFonts w:ascii="Arial" w:cs="Arial" w:eastAsia="Arial" w:hAnsi="Arial"/>
                <w:sz w:val="24"/>
                <w:szCs w:val="24"/>
              </w:rPr>
              <w:t xml:space="preserve"/>
            </w:r>
          </w:p>
        </w:tc>
        <w:tc>
          <w:tcPr>
            <w:tcW w:type="dxa" w:w="508"/>
            <w:tcBorders>
              <w:top w:val="none" w:color="auto" w:sz="0"/>
              <w:left w:val="none" w:color="auto" w:sz="0"/>
              <w:bottom w:val="none" w:color="auto" w:sz="0"/>
              <w:right w:val="none" w:color="auto" w:sz="0"/>
            </w:tcBorders>
          </w:tcPr>
          <w:p>
            <w:r>
              <w:rPr>
                <w:rFonts w:ascii="Arial" w:cs="Arial" w:eastAsia="Arial" w:hAnsi="Arial"/>
                <w:sz w:val="24"/>
                <w:szCs w:val="24"/>
              </w:rPr>
              <w:t xml:space="preserve"/>
            </w:r>
          </w:p>
        </w:tc>
      </w:tr>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7"/>
            <w:gridSpan w:val="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1018"/>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018"/>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10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r>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АКТИВЫ</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Нефинансовые активы</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Основные фонды</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Запасы</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Ценности</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Непроизведенные активы</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040</w:t>
            </w:r>
          </w:p>
        </w:tc>
        <w:tc>
          <w:tcPr>
            <w:tcW w:type="dxa" w:w="10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0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нефинансовые активы</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10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r>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Финансовые активы</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финансовые активы</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Валюта и депозиты</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и займы</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дебиторская задолженность</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Резерв на безнадежные долги</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финансовые активы</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Валюта и депозиты</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и займы</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Прочая внешняя дебиторская задолженность</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финансовые активы</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10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r>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активы</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10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r>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ОБЯЗАТЕЛЬСТВА И ЧИСТЫЕ АКТИВЫ</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обязательства</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заимствования</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внутренние обязательства</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обязательства</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заимствования</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внешние обязательства</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обязательства</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10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r>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АКТИВЫ</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Чистая стоимость активов</w:t>
            </w:r>
          </w:p>
        </w:tc>
        <w:tc>
          <w:tcPr>
            <w:tcW w:type="dxa" w:w="10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13</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чистые активы</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10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r>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обязательства и чистые активы</w:t>
            </w:r>
          </w:p>
        </w:tc>
        <w:tc>
          <w:tcPr>
            <w:tcW w:type="dxa" w:w="10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10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101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10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r>
      <w:tr>
        <w:tc>
          <w:tcPr>
            <w:tcW w:type="dxa" w:w="101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0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7"/>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27"/>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Руководитель</w:t>
            </w:r>
          </w:p>
        </w:tc>
        <w:tc>
          <w:tcPr>
            <w:tcW w:type="dxa" w:w="101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017"/>
            <w:gridSpan w:val="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5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27"/>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Главный бухгалтер</w:t>
            </w:r>
          </w:p>
        </w:tc>
        <w:tc>
          <w:tcPr>
            <w:tcW w:type="dxa" w:w="101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017"/>
            <w:gridSpan w:val="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5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Дата</w:t>
            </w:r>
          </w:p>
        </w:tc>
        <w:tc>
          <w:tcPr>
            <w:tcW w:type="dxa" w:w="50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7"/>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 Приложения к балансу</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к форме 1: Основные фонды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73"/>
        <w:gridCol w:w="714"/>
        <w:gridCol w:w="1016"/>
        <w:gridCol w:w="1830"/>
        <w:gridCol w:w="1844"/>
      </w:tblGrid>
      <w:tr>
        <w:tc>
          <w:tcPr>
            <w:tcW w:type="dxa" w:w="477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Учреждение:</w:t>
            </w:r>
          </w:p>
        </w:tc>
        <w:tc>
          <w:tcPr>
            <w:tcW w:type="dxa" w:w="71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477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Отчетная дата:</w:t>
            </w:r>
          </w:p>
        </w:tc>
        <w:tc>
          <w:tcPr>
            <w:tcW w:type="dxa" w:w="71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477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Отчетный период:</w:t>
            </w:r>
          </w:p>
        </w:tc>
        <w:tc>
          <w:tcPr>
            <w:tcW w:type="dxa" w:w="71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477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Единица измерения:</w:t>
            </w:r>
          </w:p>
        </w:tc>
        <w:tc>
          <w:tcPr>
            <w:tcW w:type="dxa" w:w="71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477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Классификация ведомственная:</w:t>
            </w:r>
          </w:p>
        </w:tc>
        <w:tc>
          <w:tcPr>
            <w:tcW w:type="dxa" w:w="71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477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Классификация функциональная:</w:t>
            </w:r>
          </w:p>
        </w:tc>
        <w:tc>
          <w:tcPr>
            <w:tcW w:type="dxa" w:w="71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73"/>
        <w:gridCol w:w="714"/>
        <w:gridCol w:w="1016"/>
        <w:gridCol w:w="1830"/>
        <w:gridCol w:w="1844"/>
      </w:tblGrid>
      <w:tr>
        <w:tc>
          <w:tcPr>
            <w:tcW w:type="dxa" w:w="477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3111. Здания и сооружения</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Первоначальная стоимость на начало периода</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начало периода</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Балансовая стоимость на начало периода (010-020)</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госсектора</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госсектора</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Начисленная амортизация</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Списанная амортизация</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Списание</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Первоначальная стоимость на конец периода (010+040+050+060-070-080-090+100-120-130+141-142)</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конец периода (020+111-112)</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Балансовая стоимость на конец периода (150-160)</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3112. Машины и оборудование</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Первоначальная стоимость на начало периода</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начало периода</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Балансовая стоимость на начало периода (180-190)</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Начисленная амортизация</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281</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Списанная амортизация</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282</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Списание</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312</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Первоначальная стоимость на конец периода (180+210+220+230-240-250-260+270-290-300+311-312)</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конец периода (190+281-282)</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Балансовая стоимость на конец периода (320-330)</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3113. Прочие основные фонды</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Первоначальная стоимость на начало периода</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начало периода</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Балансовая стоимость на начало периода (350-360)</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Начисленная амортизация</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451</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Списанная амортизация</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452</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Списание</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481</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482</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Первоначальная стоимость на конец периода (350+380+390+400-410-420-430+440-460-470+481-482)</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конец периода (360+451-452)</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Балансовая стоимость на конец периода (490-500)</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3114. Незавершенное строительство</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Незавершенное строительство на начало периода</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Затраты, отнесенные на стоимость незавершенного строительства</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незавершенного строительства основными фондами</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Незавершенное строительство на конец периода (520+530-540)</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550</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первоначальная стоимость на начало периода (010+180+350+520)</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560</w:t>
            </w:r>
          </w:p>
        </w:tc>
        <w:tc>
          <w:tcPr>
            <w:tcW w:type="dxa" w:w="101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накопленная амортизация на начало периода (020+190+360)</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570</w:t>
            </w:r>
          </w:p>
        </w:tc>
        <w:tc>
          <w:tcPr>
            <w:tcW w:type="dxa" w:w="101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основных фондов на начало периода (030+200+370+520)/(560-570)</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580</w:t>
            </w:r>
          </w:p>
        </w:tc>
        <w:tc>
          <w:tcPr>
            <w:tcW w:type="dxa" w:w="101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первоначальная стоимость на конец периода (150+320+490+550)</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590</w:t>
            </w:r>
          </w:p>
        </w:tc>
        <w:tc>
          <w:tcPr>
            <w:tcW w:type="dxa" w:w="101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накопленная амортизация на конец периода (160+330+500)</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600</w:t>
            </w:r>
          </w:p>
        </w:tc>
        <w:tc>
          <w:tcPr>
            <w:tcW w:type="dxa" w:w="101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основных фондов на конец периода (170+340+510+550)/(590-600)</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610</w:t>
            </w:r>
          </w:p>
        </w:tc>
        <w:tc>
          <w:tcPr>
            <w:tcW w:type="dxa" w:w="101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16"/>
        <w:gridCol w:w="1136"/>
        <w:gridCol w:w="1851"/>
        <w:gridCol w:w="1640"/>
        <w:gridCol w:w="1136"/>
      </w:tblGrid>
      <w:tr>
        <w:tc>
          <w:tcPr>
            <w:tcW w:type="dxa" w:w="441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Руководитель</w:t>
            </w:r>
          </w:p>
        </w:tc>
        <w:tc>
          <w:tcPr>
            <w:tcW w:type="dxa" w:w="11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85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64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1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441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Главный бухгалтер</w:t>
            </w:r>
          </w:p>
        </w:tc>
        <w:tc>
          <w:tcPr>
            <w:tcW w:type="dxa" w:w="11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85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64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1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441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Дата</w:t>
            </w:r>
          </w:p>
        </w:tc>
        <w:tc>
          <w:tcPr>
            <w:tcW w:type="dxa" w:w="11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8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4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к форме 1: Запасы</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Учреждение:</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sz w:val="24"/>
          <w:szCs w:val="24"/>
        </w:rPr>
        <w:t xml:space="preserve">Отчетная дата:</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sz w:val="24"/>
          <w:szCs w:val="24"/>
        </w:rPr>
        <w:t xml:space="preserve">Отчетный период:</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sz w:val="24"/>
          <w:szCs w:val="24"/>
        </w:rPr>
        <w:t xml:space="preserve">Единица измерения:</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sz w:val="24"/>
          <w:szCs w:val="24"/>
        </w:rPr>
        <w:t xml:space="preserve">Классификация ведомственная:</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sz w:val="24"/>
          <w:szCs w:val="24"/>
        </w:rPr>
        <w:t xml:space="preserve">Классификация функциональная:</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55"/>
        <w:gridCol w:w="737"/>
        <w:gridCol w:w="1012"/>
        <w:gridCol w:w="1582"/>
        <w:gridCol w:w="1792"/>
      </w:tblGrid>
      <w:tr>
        <w:tc>
          <w:tcPr>
            <w:tcW w:type="dxa" w:w="505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3121. Стратегические запасы</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31211. Запасы Фонда государственного материального резерва</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Списание</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(010+020+030+040-050-060-070-080-090+101-102)</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3122. Прочие запасы</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31221. Сырье и материалы</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Списание</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(120+130+140+150-160-170-180-190-200+211-212)</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31222. Незавершенное производство</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Незавершенное производство на начало периода</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Отнесение затрат на незавершенное производство</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незавершенного производства готовой продукцией</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Незавершенное производство на конец периода (230+240-250)</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31223. Готовая продукция</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Готовая продукция на начало периода</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Изготовленная готовая продукция</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Реализованная (списанная) готовая продукция</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Готовая продукция на конец периода (270+280-290+300-310)</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31224. Товары для перепродажи</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Товары для перепродажи на начало периода</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Приобретенные (поступившие) товары</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Реализованные (списанные) товары</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Товары для перепродажи на конец периода (330+340-350+360-370)</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31225. МБП</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Списание</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(390+400+410+420-430-440-450-460-470+480-490)</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запасов на начало периода (010+120+230+270+330+390)</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запасов на конец периода (110+220+260+320+380+500)</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520</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16"/>
        <w:gridCol w:w="593"/>
        <w:gridCol w:w="874"/>
        <w:gridCol w:w="1327"/>
        <w:gridCol w:w="1467"/>
      </w:tblGrid>
      <w:tr>
        <w:tc>
          <w:tcPr>
            <w:tcW w:type="dxa" w:w="591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Руководитель</w:t>
            </w:r>
          </w:p>
        </w:tc>
        <w:tc>
          <w:tcPr>
            <w:tcW w:type="dxa" w:w="59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7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467"/>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91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Главный бухгалтер</w:t>
            </w:r>
          </w:p>
        </w:tc>
        <w:tc>
          <w:tcPr>
            <w:tcW w:type="dxa" w:w="59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7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467"/>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9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Дата</w:t>
            </w:r>
          </w:p>
        </w:tc>
        <w:tc>
          <w:tcPr>
            <w:tcW w:type="dxa" w:w="59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7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32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6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к форме 1: Ценности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Учреждение:</w:t>
      </w:r>
      <w:r>
        <w:rPr>
          <w:rFonts w:ascii="Arial" w:cs="Arial" w:eastAsia="Arial" w:hAnsi="Arial"/>
          <w:sz w:val="24"/>
          <w:szCs w:val="24"/>
        </w:rPr>
        <w:t xml:space="preserve">	</w:t>
      </w:r>
      <w:r>
        <w:rPr>
          <w:rFonts w:ascii="Arial" w:cs="Arial" w:eastAsia="Arial" w:hAnsi="Arial"/>
          <w:sz w:val="24"/>
          <w:szCs w:val="24"/>
        </w:rPr>
        <w:t xml:space="preserve">__________________________________</w:t>
      </w:r>
    </w:p>
    <w:p>
      <w:pPr>
        <w:tabs>
          <w:tab w:val="right" w:pos="10178"/>
        </w:tabs>
        <w:spacing w:after="120"/>
      </w:pPr>
      <w:r>
        <w:rPr>
          <w:rFonts w:ascii="Arial" w:cs="Arial" w:eastAsia="Arial" w:hAnsi="Arial"/>
          <w:sz w:val="24"/>
          <w:szCs w:val="24"/>
        </w:rPr>
        <w:t xml:space="preserve">Отчетная дата:</w:t>
      </w:r>
      <w:r>
        <w:rPr>
          <w:rFonts w:ascii="Arial" w:cs="Arial" w:eastAsia="Arial" w:hAnsi="Arial"/>
          <w:sz w:val="24"/>
          <w:szCs w:val="24"/>
        </w:rPr>
        <w:t xml:space="preserve">	</w:t>
      </w:r>
      <w:r>
        <w:rPr>
          <w:rFonts w:ascii="Arial" w:cs="Arial" w:eastAsia="Arial" w:hAnsi="Arial"/>
          <w:sz w:val="24"/>
          <w:szCs w:val="24"/>
        </w:rPr>
        <w:t xml:space="preserve">__________________________________</w:t>
      </w:r>
    </w:p>
    <w:p>
      <w:pPr>
        <w:tabs>
          <w:tab w:val="right" w:pos="10178"/>
        </w:tabs>
        <w:spacing w:after="120"/>
      </w:pPr>
      <w:r>
        <w:rPr>
          <w:rFonts w:ascii="Arial" w:cs="Arial" w:eastAsia="Arial" w:hAnsi="Arial"/>
          <w:sz w:val="24"/>
          <w:szCs w:val="24"/>
        </w:rPr>
        <w:t xml:space="preserve">Отчетный период:</w:t>
      </w:r>
      <w:r>
        <w:rPr>
          <w:rFonts w:ascii="Arial" w:cs="Arial" w:eastAsia="Arial" w:hAnsi="Arial"/>
          <w:sz w:val="24"/>
          <w:szCs w:val="24"/>
        </w:rPr>
        <w:t xml:space="preserve">	</w:t>
      </w:r>
      <w:r>
        <w:rPr>
          <w:rFonts w:ascii="Arial" w:cs="Arial" w:eastAsia="Arial" w:hAnsi="Arial"/>
          <w:sz w:val="24"/>
          <w:szCs w:val="24"/>
        </w:rPr>
        <w:t xml:space="preserve">__________________________________</w:t>
      </w:r>
    </w:p>
    <w:p>
      <w:pPr>
        <w:tabs>
          <w:tab w:val="right" w:pos="10178"/>
        </w:tabs>
        <w:spacing w:after="120"/>
      </w:pPr>
      <w:r>
        <w:rPr>
          <w:rFonts w:ascii="Arial" w:cs="Arial" w:eastAsia="Arial" w:hAnsi="Arial"/>
          <w:sz w:val="24"/>
          <w:szCs w:val="24"/>
        </w:rPr>
        <w:t xml:space="preserve">Единица измерения:</w:t>
      </w:r>
      <w:r>
        <w:rPr>
          <w:rFonts w:ascii="Arial" w:cs="Arial" w:eastAsia="Arial" w:hAnsi="Arial"/>
          <w:sz w:val="24"/>
          <w:szCs w:val="24"/>
        </w:rPr>
        <w:t xml:space="preserve">	</w:t>
      </w:r>
      <w:r>
        <w:rPr>
          <w:rFonts w:ascii="Arial" w:cs="Arial" w:eastAsia="Arial" w:hAnsi="Arial"/>
          <w:sz w:val="24"/>
          <w:szCs w:val="24"/>
        </w:rPr>
        <w:t xml:space="preserve">__________________________________</w:t>
      </w:r>
    </w:p>
    <w:p>
      <w:pPr>
        <w:tabs>
          <w:tab w:val="right" w:pos="10178"/>
        </w:tabs>
        <w:spacing w:after="120"/>
      </w:pPr>
      <w:r>
        <w:rPr>
          <w:rFonts w:ascii="Arial" w:cs="Arial" w:eastAsia="Arial" w:hAnsi="Arial"/>
          <w:sz w:val="24"/>
          <w:szCs w:val="24"/>
        </w:rPr>
        <w:t xml:space="preserve">Классификация ведомственная:</w:t>
      </w:r>
      <w:r>
        <w:rPr>
          <w:rFonts w:ascii="Arial" w:cs="Arial" w:eastAsia="Arial" w:hAnsi="Arial"/>
          <w:sz w:val="24"/>
          <w:szCs w:val="24"/>
        </w:rPr>
        <w:t xml:space="preserve">	</w:t>
      </w:r>
      <w:r>
        <w:rPr>
          <w:rFonts w:ascii="Arial" w:cs="Arial" w:eastAsia="Arial" w:hAnsi="Arial"/>
          <w:sz w:val="24"/>
          <w:szCs w:val="24"/>
        </w:rPr>
        <w:t xml:space="preserve">__________________________________</w:t>
      </w:r>
    </w:p>
    <w:p>
      <w:pPr>
        <w:tabs>
          <w:tab w:val="right" w:pos="10178"/>
        </w:tabs>
        <w:spacing w:after="120"/>
      </w:pPr>
      <w:r>
        <w:rPr>
          <w:rFonts w:ascii="Arial" w:cs="Arial" w:eastAsia="Arial" w:hAnsi="Arial"/>
          <w:sz w:val="24"/>
          <w:szCs w:val="24"/>
        </w:rPr>
        <w:t xml:space="preserve">Классификация функциональная:</w:t>
      </w:r>
      <w:r>
        <w:rPr>
          <w:rFonts w:ascii="Arial" w:cs="Arial" w:eastAsia="Arial" w:hAnsi="Arial"/>
          <w:sz w:val="24"/>
          <w:szCs w:val="24"/>
        </w:rPr>
        <w:t xml:space="preserve">	</w:t>
      </w:r>
      <w:r>
        <w:rPr>
          <w:rFonts w:ascii="Arial" w:cs="Arial" w:eastAsia="Arial" w:hAnsi="Arial"/>
          <w:sz w:val="24"/>
          <w:szCs w:val="24"/>
        </w:rPr>
        <w:t xml:space="preserve">__________________________________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64"/>
        <w:gridCol w:w="698"/>
        <w:gridCol w:w="1034"/>
        <w:gridCol w:w="1720"/>
        <w:gridCol w:w="1961"/>
      </w:tblGrid>
      <w:tr>
        <w:tc>
          <w:tcPr>
            <w:tcW w:type="dxa" w:w="476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3131. Драгоценные металлы и камни</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31311. Драгоценные металлы и камни</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w:t>
            </w:r>
          </w:p>
        </w:tc>
        <w:tc>
          <w:tcPr>
            <w:tcW w:type="dxa" w:w="10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020</w:t>
            </w:r>
          </w:p>
        </w:tc>
        <w:tc>
          <w:tcPr>
            <w:tcW w:type="dxa" w:w="10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030</w:t>
            </w:r>
          </w:p>
        </w:tc>
        <w:tc>
          <w:tcPr>
            <w:tcW w:type="dxa" w:w="10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040</w:t>
            </w:r>
          </w:p>
        </w:tc>
        <w:tc>
          <w:tcPr>
            <w:tcW w:type="dxa" w:w="10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050</w:t>
            </w:r>
          </w:p>
        </w:tc>
        <w:tc>
          <w:tcPr>
            <w:tcW w:type="dxa" w:w="10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w:t>
            </w:r>
          </w:p>
        </w:tc>
        <w:tc>
          <w:tcPr>
            <w:tcW w:type="dxa" w:w="10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070</w:t>
            </w:r>
          </w:p>
        </w:tc>
        <w:tc>
          <w:tcPr>
            <w:tcW w:type="dxa" w:w="10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080</w:t>
            </w:r>
          </w:p>
        </w:tc>
        <w:tc>
          <w:tcPr>
            <w:tcW w:type="dxa" w:w="10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091</w:t>
            </w:r>
          </w:p>
        </w:tc>
        <w:tc>
          <w:tcPr>
            <w:tcW w:type="dxa" w:w="10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092</w:t>
            </w:r>
          </w:p>
        </w:tc>
        <w:tc>
          <w:tcPr>
            <w:tcW w:type="dxa" w:w="10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(010+020+030+040-050-060-070-080+091-092)</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10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3132. Активы культурного наследия</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31321. Активы культурного наследия</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c>
          <w:tcPr>
            <w:tcW w:type="dxa" w:w="10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w:t>
            </w:r>
          </w:p>
        </w:tc>
        <w:tc>
          <w:tcPr>
            <w:tcW w:type="dxa" w:w="10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w:t>
            </w:r>
          </w:p>
        </w:tc>
        <w:tc>
          <w:tcPr>
            <w:tcW w:type="dxa" w:w="10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w:t>
            </w:r>
          </w:p>
        </w:tc>
        <w:tc>
          <w:tcPr>
            <w:tcW w:type="dxa" w:w="10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10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w:t>
            </w:r>
          </w:p>
        </w:tc>
        <w:tc>
          <w:tcPr>
            <w:tcW w:type="dxa" w:w="10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170</w:t>
            </w:r>
          </w:p>
        </w:tc>
        <w:tc>
          <w:tcPr>
            <w:tcW w:type="dxa" w:w="10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w:t>
            </w:r>
          </w:p>
        </w:tc>
        <w:tc>
          <w:tcPr>
            <w:tcW w:type="dxa" w:w="10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191</w:t>
            </w:r>
          </w:p>
        </w:tc>
        <w:tc>
          <w:tcPr>
            <w:tcW w:type="dxa" w:w="10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192</w:t>
            </w:r>
          </w:p>
        </w:tc>
        <w:tc>
          <w:tcPr>
            <w:tcW w:type="dxa" w:w="10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(110+120+130+140-150-160-170-180+191-192)</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10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3133. Ювелирные изделия</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31331. Ювелирные изделия</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c>
          <w:tcPr>
            <w:tcW w:type="dxa" w:w="10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w:t>
            </w:r>
          </w:p>
        </w:tc>
        <w:tc>
          <w:tcPr>
            <w:tcW w:type="dxa" w:w="10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w:t>
            </w:r>
          </w:p>
        </w:tc>
        <w:tc>
          <w:tcPr>
            <w:tcW w:type="dxa" w:w="10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w:t>
            </w:r>
          </w:p>
        </w:tc>
        <w:tc>
          <w:tcPr>
            <w:tcW w:type="dxa" w:w="10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Продажи</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w:t>
            </w:r>
          </w:p>
        </w:tc>
        <w:tc>
          <w:tcPr>
            <w:tcW w:type="dxa" w:w="10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260</w:t>
            </w:r>
          </w:p>
        </w:tc>
        <w:tc>
          <w:tcPr>
            <w:tcW w:type="dxa" w:w="10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w:t>
            </w:r>
          </w:p>
        </w:tc>
        <w:tc>
          <w:tcPr>
            <w:tcW w:type="dxa" w:w="10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280</w:t>
            </w:r>
          </w:p>
        </w:tc>
        <w:tc>
          <w:tcPr>
            <w:tcW w:type="dxa" w:w="10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291</w:t>
            </w:r>
          </w:p>
        </w:tc>
        <w:tc>
          <w:tcPr>
            <w:tcW w:type="dxa" w:w="10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292</w:t>
            </w:r>
          </w:p>
        </w:tc>
        <w:tc>
          <w:tcPr>
            <w:tcW w:type="dxa" w:w="10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(210+220+230+240-250-260-270-280+291-292)</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c>
          <w:tcPr>
            <w:tcW w:type="dxa" w:w="10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ценностей на начало периода (010+110+210)</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310</w:t>
            </w:r>
          </w:p>
        </w:tc>
        <w:tc>
          <w:tcPr>
            <w:tcW w:type="dxa" w:w="10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ценностей на конец периода (100+200+300)</w:t>
            </w:r>
          </w:p>
        </w:tc>
        <w:tc>
          <w:tcPr>
            <w:tcW w:type="dxa" w:w="6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320</w:t>
            </w:r>
          </w:p>
        </w:tc>
        <w:tc>
          <w:tcPr>
            <w:tcW w:type="dxa" w:w="10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55"/>
        <w:gridCol w:w="733"/>
        <w:gridCol w:w="888"/>
        <w:gridCol w:w="1481"/>
        <w:gridCol w:w="1621"/>
      </w:tblGrid>
      <w:tr>
        <w:tc>
          <w:tcPr>
            <w:tcW w:type="dxa" w:w="545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Руководитель</w:t>
            </w:r>
          </w:p>
        </w:tc>
        <w:tc>
          <w:tcPr>
            <w:tcW w:type="dxa" w:w="7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8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8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62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45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Главный бухгалтер</w:t>
            </w:r>
          </w:p>
        </w:tc>
        <w:tc>
          <w:tcPr>
            <w:tcW w:type="dxa" w:w="7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8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8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62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45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Дата</w:t>
            </w:r>
          </w:p>
        </w:tc>
        <w:tc>
          <w:tcPr>
            <w:tcW w:type="dxa" w:w="73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8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8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62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к форме 1: Непроизведенные активы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59"/>
        <w:gridCol w:w="601"/>
        <w:gridCol w:w="971"/>
        <w:gridCol w:w="1394"/>
        <w:gridCol w:w="1553"/>
      </w:tblGrid>
      <w:tr>
        <w:tc>
          <w:tcPr>
            <w:tcW w:type="dxa" w:w="56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Учреждение:</w:t>
            </w:r>
          </w:p>
        </w:tc>
        <w:tc>
          <w:tcPr>
            <w:tcW w:type="dxa" w:w="60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39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55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6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Отчетная дата:</w:t>
            </w:r>
          </w:p>
        </w:tc>
        <w:tc>
          <w:tcPr>
            <w:tcW w:type="dxa" w:w="60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39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55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6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Отчетный период:</w:t>
            </w:r>
          </w:p>
        </w:tc>
        <w:tc>
          <w:tcPr>
            <w:tcW w:type="dxa" w:w="60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39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55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6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Единица измерения:</w:t>
            </w:r>
          </w:p>
        </w:tc>
        <w:tc>
          <w:tcPr>
            <w:tcW w:type="dxa" w:w="60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39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55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6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Классификация ведомственная:</w:t>
            </w:r>
          </w:p>
        </w:tc>
        <w:tc>
          <w:tcPr>
            <w:tcW w:type="dxa" w:w="60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39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55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6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Классификация функциональная:</w:t>
            </w:r>
          </w:p>
        </w:tc>
        <w:tc>
          <w:tcPr>
            <w:tcW w:type="dxa" w:w="60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97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39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55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53"/>
        <w:gridCol w:w="719"/>
        <w:gridCol w:w="981"/>
        <w:gridCol w:w="1708"/>
        <w:gridCol w:w="1918"/>
      </w:tblGrid>
      <w:tr>
        <w:tc>
          <w:tcPr>
            <w:tcW w:type="dxa" w:w="48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3141. Земля</w:t>
            </w:r>
          </w:p>
        </w:tc>
        <w:tc>
          <w:tcPr>
            <w:tcW w:type="dxa" w:w="7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31411. Сельскохозяйственные земли</w:t>
            </w:r>
          </w:p>
        </w:tc>
        <w:tc>
          <w:tcPr>
            <w:tcW w:type="dxa" w:w="7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Остаток на начало периода</w:t>
            </w:r>
          </w:p>
        </w:tc>
        <w:tc>
          <w:tcPr>
            <w:tcW w:type="dxa" w:w="7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w:t>
            </w:r>
          </w:p>
        </w:tc>
        <w:tc>
          <w:tcPr>
            <w:tcW w:type="dxa" w:w="9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Приобретение</w:t>
            </w:r>
          </w:p>
        </w:tc>
        <w:tc>
          <w:tcPr>
            <w:tcW w:type="dxa" w:w="7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020</w:t>
            </w:r>
          </w:p>
        </w:tc>
        <w:tc>
          <w:tcPr>
            <w:tcW w:type="dxa" w:w="9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Получение от другой единицы сектора госуправления</w:t>
            </w:r>
          </w:p>
        </w:tc>
        <w:tc>
          <w:tcPr>
            <w:tcW w:type="dxa" w:w="7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030</w:t>
            </w:r>
          </w:p>
        </w:tc>
        <w:tc>
          <w:tcPr>
            <w:tcW w:type="dxa" w:w="9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Иное безвозмездное поступление</w:t>
            </w:r>
          </w:p>
        </w:tc>
        <w:tc>
          <w:tcPr>
            <w:tcW w:type="dxa" w:w="7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040</w:t>
            </w:r>
          </w:p>
        </w:tc>
        <w:tc>
          <w:tcPr>
            <w:tcW w:type="dxa" w:w="9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Продажи</w:t>
            </w:r>
          </w:p>
        </w:tc>
        <w:tc>
          <w:tcPr>
            <w:tcW w:type="dxa" w:w="7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050</w:t>
            </w:r>
          </w:p>
        </w:tc>
        <w:tc>
          <w:tcPr>
            <w:tcW w:type="dxa" w:w="9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Передача другой единице сектора госуправления</w:t>
            </w:r>
          </w:p>
        </w:tc>
        <w:tc>
          <w:tcPr>
            <w:tcW w:type="dxa" w:w="7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w:t>
            </w:r>
          </w:p>
        </w:tc>
        <w:tc>
          <w:tcPr>
            <w:tcW w:type="dxa" w:w="9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Иная безвозмездная передача</w:t>
            </w:r>
          </w:p>
        </w:tc>
        <w:tc>
          <w:tcPr>
            <w:tcW w:type="dxa" w:w="7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070</w:t>
            </w:r>
          </w:p>
        </w:tc>
        <w:tc>
          <w:tcPr>
            <w:tcW w:type="dxa" w:w="9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Обесценение</w:t>
            </w:r>
          </w:p>
        </w:tc>
        <w:tc>
          <w:tcPr>
            <w:tcW w:type="dxa" w:w="7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080</w:t>
            </w:r>
          </w:p>
        </w:tc>
        <w:tc>
          <w:tcPr>
            <w:tcW w:type="dxa" w:w="9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Поступление по результатам инвентаризации</w:t>
            </w:r>
          </w:p>
        </w:tc>
        <w:tc>
          <w:tcPr>
            <w:tcW w:type="dxa" w:w="7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091</w:t>
            </w:r>
          </w:p>
        </w:tc>
        <w:tc>
          <w:tcPr>
            <w:tcW w:type="dxa" w:w="9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Выбытие по результатам инвентаризации</w:t>
            </w:r>
          </w:p>
        </w:tc>
        <w:tc>
          <w:tcPr>
            <w:tcW w:type="dxa" w:w="7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092</w:t>
            </w:r>
          </w:p>
        </w:tc>
        <w:tc>
          <w:tcPr>
            <w:tcW w:type="dxa" w:w="9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Остаток на конец периода (010+020+030+040-050-060-070-080+091-092)</w:t>
            </w:r>
          </w:p>
        </w:tc>
        <w:tc>
          <w:tcPr>
            <w:tcW w:type="dxa" w:w="7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9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31412. Несельскохозяйственные земли</w:t>
            </w:r>
          </w:p>
        </w:tc>
        <w:tc>
          <w:tcPr>
            <w:tcW w:type="dxa" w:w="7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Остаток на начало периода</w:t>
            </w:r>
          </w:p>
        </w:tc>
        <w:tc>
          <w:tcPr>
            <w:tcW w:type="dxa" w:w="7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c>
          <w:tcPr>
            <w:tcW w:type="dxa" w:w="9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Приобретение</w:t>
            </w:r>
          </w:p>
        </w:tc>
        <w:tc>
          <w:tcPr>
            <w:tcW w:type="dxa" w:w="7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w:t>
            </w:r>
          </w:p>
        </w:tc>
        <w:tc>
          <w:tcPr>
            <w:tcW w:type="dxa" w:w="9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Получение от другой единицы сектора госуправления</w:t>
            </w:r>
          </w:p>
        </w:tc>
        <w:tc>
          <w:tcPr>
            <w:tcW w:type="dxa" w:w="7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w:t>
            </w:r>
          </w:p>
        </w:tc>
        <w:tc>
          <w:tcPr>
            <w:tcW w:type="dxa" w:w="9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Иное безвозмездное поступление</w:t>
            </w:r>
          </w:p>
        </w:tc>
        <w:tc>
          <w:tcPr>
            <w:tcW w:type="dxa" w:w="7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w:t>
            </w:r>
          </w:p>
        </w:tc>
        <w:tc>
          <w:tcPr>
            <w:tcW w:type="dxa" w:w="9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Продажи</w:t>
            </w:r>
          </w:p>
        </w:tc>
        <w:tc>
          <w:tcPr>
            <w:tcW w:type="dxa" w:w="7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9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Передача другой единице сектора госуправления</w:t>
            </w:r>
          </w:p>
        </w:tc>
        <w:tc>
          <w:tcPr>
            <w:tcW w:type="dxa" w:w="7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w:t>
            </w:r>
          </w:p>
        </w:tc>
        <w:tc>
          <w:tcPr>
            <w:tcW w:type="dxa" w:w="9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Иная безвозмездная передача</w:t>
            </w:r>
          </w:p>
        </w:tc>
        <w:tc>
          <w:tcPr>
            <w:tcW w:type="dxa" w:w="7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170</w:t>
            </w:r>
          </w:p>
        </w:tc>
        <w:tc>
          <w:tcPr>
            <w:tcW w:type="dxa" w:w="9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Обесценение</w:t>
            </w:r>
          </w:p>
        </w:tc>
        <w:tc>
          <w:tcPr>
            <w:tcW w:type="dxa" w:w="7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w:t>
            </w:r>
          </w:p>
        </w:tc>
        <w:tc>
          <w:tcPr>
            <w:tcW w:type="dxa" w:w="9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Поступление по результатам инвентаризации</w:t>
            </w:r>
          </w:p>
        </w:tc>
        <w:tc>
          <w:tcPr>
            <w:tcW w:type="dxa" w:w="7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191</w:t>
            </w:r>
          </w:p>
        </w:tc>
        <w:tc>
          <w:tcPr>
            <w:tcW w:type="dxa" w:w="9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Выбытие по результатам инвентаризации</w:t>
            </w:r>
          </w:p>
        </w:tc>
        <w:tc>
          <w:tcPr>
            <w:tcW w:type="dxa" w:w="7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192</w:t>
            </w:r>
          </w:p>
        </w:tc>
        <w:tc>
          <w:tcPr>
            <w:tcW w:type="dxa" w:w="9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Остаток на конец периода (110+120+130+140-150-160-170-180+191-192)</w:t>
            </w:r>
          </w:p>
        </w:tc>
        <w:tc>
          <w:tcPr>
            <w:tcW w:type="dxa" w:w="7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9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Всего непроизведенных активов на начало(010+110)</w:t>
            </w:r>
          </w:p>
        </w:tc>
        <w:tc>
          <w:tcPr>
            <w:tcW w:type="dxa" w:w="7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c>
          <w:tcPr>
            <w:tcW w:type="dxa" w:w="9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Всего непроизведенных активов на конец (100+200)</w:t>
            </w:r>
          </w:p>
        </w:tc>
        <w:tc>
          <w:tcPr>
            <w:tcW w:type="dxa" w:w="7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w:t>
            </w:r>
          </w:p>
        </w:tc>
        <w:tc>
          <w:tcPr>
            <w:tcW w:type="dxa" w:w="9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Справочная информация на конец отчетного периода:</w:t>
            </w:r>
          </w:p>
        </w:tc>
      </w:tr>
      <w:tr>
        <w:tc>
          <w:tcPr>
            <w:tcW w:type="dxa" w:w="339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Общая площадь сельскохозяйственных участков в распоряжении учреждения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339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Общая площадь несельскохозяйственных участков в распоряжении учреждения</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9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Руководитель</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339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Главный бухгалтер</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339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Дата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к форме 1: Валюта и депозиты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59"/>
        <w:gridCol w:w="776"/>
        <w:gridCol w:w="843"/>
        <w:gridCol w:w="1472"/>
        <w:gridCol w:w="1628"/>
      </w:tblGrid>
      <w:tr>
        <w:tc>
          <w:tcPr>
            <w:tcW w:type="dxa" w:w="545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Учреждение:</w:t>
            </w:r>
          </w:p>
        </w:tc>
        <w:tc>
          <w:tcPr>
            <w:tcW w:type="dxa" w:w="77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47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628"/>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45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Отчетная дата:</w:t>
            </w:r>
          </w:p>
        </w:tc>
        <w:tc>
          <w:tcPr>
            <w:tcW w:type="dxa" w:w="77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47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628"/>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45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Отчетный период:</w:t>
            </w:r>
          </w:p>
        </w:tc>
        <w:tc>
          <w:tcPr>
            <w:tcW w:type="dxa" w:w="77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47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628"/>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45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Единица измерения:</w:t>
            </w:r>
          </w:p>
        </w:tc>
        <w:tc>
          <w:tcPr>
            <w:tcW w:type="dxa" w:w="77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47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628"/>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45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Классификация ведомственная:</w:t>
            </w:r>
          </w:p>
        </w:tc>
        <w:tc>
          <w:tcPr>
            <w:tcW w:type="dxa" w:w="77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47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628"/>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45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Классификация функциональная:</w:t>
            </w:r>
          </w:p>
        </w:tc>
        <w:tc>
          <w:tcPr>
            <w:tcW w:type="dxa" w:w="77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47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628"/>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02"/>
        <w:gridCol w:w="774"/>
        <w:gridCol w:w="894"/>
        <w:gridCol w:w="1610"/>
        <w:gridCol w:w="1798"/>
      </w:tblGrid>
      <w:tr>
        <w:tc>
          <w:tcPr>
            <w:tcW w:type="dxa" w:w="510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3212. Валюта и депозиты (внутренние)</w:t>
            </w:r>
          </w:p>
        </w:tc>
        <w:tc>
          <w:tcPr>
            <w:tcW w:type="dxa" w:w="7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32121. Счета в системе Казначейства Кыргызской Республики</w:t>
            </w:r>
          </w:p>
        </w:tc>
        <w:tc>
          <w:tcPr>
            <w:tcW w:type="dxa" w:w="7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w:t>
            </w:r>
          </w:p>
        </w:tc>
        <w:tc>
          <w:tcPr>
            <w:tcW w:type="dxa" w:w="8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Приток денежных средств</w:t>
            </w:r>
          </w:p>
        </w:tc>
        <w:tc>
          <w:tcPr>
            <w:tcW w:type="dxa" w:w="7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020</w:t>
            </w:r>
          </w:p>
        </w:tc>
        <w:tc>
          <w:tcPr>
            <w:tcW w:type="dxa" w:w="8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Отток денежных средств</w:t>
            </w:r>
          </w:p>
        </w:tc>
        <w:tc>
          <w:tcPr>
            <w:tcW w:type="dxa" w:w="7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030</w:t>
            </w:r>
          </w:p>
        </w:tc>
        <w:tc>
          <w:tcPr>
            <w:tcW w:type="dxa" w:w="8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(010+020-030)</w:t>
            </w:r>
          </w:p>
        </w:tc>
        <w:tc>
          <w:tcPr>
            <w:tcW w:type="dxa" w:w="7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040</w:t>
            </w:r>
          </w:p>
        </w:tc>
        <w:tc>
          <w:tcPr>
            <w:tcW w:type="dxa" w:w="8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32122. Счета в коммерческих банках Кыргызской Республики</w:t>
            </w:r>
          </w:p>
        </w:tc>
        <w:tc>
          <w:tcPr>
            <w:tcW w:type="dxa" w:w="7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050</w:t>
            </w:r>
          </w:p>
        </w:tc>
        <w:tc>
          <w:tcPr>
            <w:tcW w:type="dxa" w:w="8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Приток денежных средств</w:t>
            </w:r>
          </w:p>
        </w:tc>
        <w:tc>
          <w:tcPr>
            <w:tcW w:type="dxa" w:w="7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w:t>
            </w:r>
          </w:p>
        </w:tc>
        <w:tc>
          <w:tcPr>
            <w:tcW w:type="dxa" w:w="8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Отток денежных средств</w:t>
            </w:r>
          </w:p>
        </w:tc>
        <w:tc>
          <w:tcPr>
            <w:tcW w:type="dxa" w:w="7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070</w:t>
            </w:r>
          </w:p>
        </w:tc>
        <w:tc>
          <w:tcPr>
            <w:tcW w:type="dxa" w:w="8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7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080</w:t>
            </w:r>
          </w:p>
        </w:tc>
        <w:tc>
          <w:tcPr>
            <w:tcW w:type="dxa" w:w="8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(050+060-070+080)</w:t>
            </w:r>
          </w:p>
        </w:tc>
        <w:tc>
          <w:tcPr>
            <w:tcW w:type="dxa" w:w="7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090</w:t>
            </w:r>
          </w:p>
        </w:tc>
        <w:tc>
          <w:tcPr>
            <w:tcW w:type="dxa" w:w="8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32123. Наличные денежные средства в кассе учреждений</w:t>
            </w:r>
          </w:p>
        </w:tc>
        <w:tc>
          <w:tcPr>
            <w:tcW w:type="dxa" w:w="7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8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Приток денежных средств</w:t>
            </w:r>
          </w:p>
        </w:tc>
        <w:tc>
          <w:tcPr>
            <w:tcW w:type="dxa" w:w="7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c>
          <w:tcPr>
            <w:tcW w:type="dxa" w:w="8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Отток денежных средств</w:t>
            </w:r>
          </w:p>
        </w:tc>
        <w:tc>
          <w:tcPr>
            <w:tcW w:type="dxa" w:w="7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w:t>
            </w:r>
          </w:p>
        </w:tc>
        <w:tc>
          <w:tcPr>
            <w:tcW w:type="dxa" w:w="8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7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w:t>
            </w:r>
          </w:p>
        </w:tc>
        <w:tc>
          <w:tcPr>
            <w:tcW w:type="dxa" w:w="8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(100+110-120+130)</w:t>
            </w:r>
          </w:p>
        </w:tc>
        <w:tc>
          <w:tcPr>
            <w:tcW w:type="dxa" w:w="7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w:t>
            </w:r>
          </w:p>
        </w:tc>
        <w:tc>
          <w:tcPr>
            <w:tcW w:type="dxa" w:w="8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валюта и депозиты (внутренние) на начало периода (010+050+100)</w:t>
            </w:r>
          </w:p>
        </w:tc>
        <w:tc>
          <w:tcPr>
            <w:tcW w:type="dxa" w:w="7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8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валюта и депозиты (внутренние) на конец периода (040+090+140)</w:t>
            </w:r>
          </w:p>
        </w:tc>
        <w:tc>
          <w:tcPr>
            <w:tcW w:type="dxa" w:w="7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w:t>
            </w:r>
          </w:p>
        </w:tc>
        <w:tc>
          <w:tcPr>
            <w:tcW w:type="dxa" w:w="8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3222. Депозиты Правительства Кыргызской Республики за рубежом</w:t>
            </w:r>
          </w:p>
        </w:tc>
        <w:tc>
          <w:tcPr>
            <w:tcW w:type="dxa" w:w="7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32221. Депозиты Правительства Кыргызской Республики за рубежом</w:t>
            </w:r>
          </w:p>
        </w:tc>
        <w:tc>
          <w:tcPr>
            <w:tcW w:type="dxa" w:w="7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170</w:t>
            </w:r>
          </w:p>
        </w:tc>
        <w:tc>
          <w:tcPr>
            <w:tcW w:type="dxa" w:w="8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Приток денежных средств</w:t>
            </w:r>
          </w:p>
        </w:tc>
        <w:tc>
          <w:tcPr>
            <w:tcW w:type="dxa" w:w="7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w:t>
            </w:r>
          </w:p>
        </w:tc>
        <w:tc>
          <w:tcPr>
            <w:tcW w:type="dxa" w:w="8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Отток денежных средств</w:t>
            </w:r>
          </w:p>
        </w:tc>
        <w:tc>
          <w:tcPr>
            <w:tcW w:type="dxa" w:w="7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w:t>
            </w:r>
          </w:p>
        </w:tc>
        <w:tc>
          <w:tcPr>
            <w:tcW w:type="dxa" w:w="8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7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8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(170+180-190+200)</w:t>
            </w:r>
          </w:p>
        </w:tc>
        <w:tc>
          <w:tcPr>
            <w:tcW w:type="dxa" w:w="7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c>
          <w:tcPr>
            <w:tcW w:type="dxa" w:w="8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валюта и депозиты на начало периода (150+170)</w:t>
            </w:r>
          </w:p>
        </w:tc>
        <w:tc>
          <w:tcPr>
            <w:tcW w:type="dxa" w:w="7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w:t>
            </w:r>
          </w:p>
        </w:tc>
        <w:tc>
          <w:tcPr>
            <w:tcW w:type="dxa" w:w="8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валюта и депозиты на конец периода (160+210)</w:t>
            </w:r>
          </w:p>
        </w:tc>
        <w:tc>
          <w:tcPr>
            <w:tcW w:type="dxa" w:w="7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w:t>
            </w:r>
          </w:p>
        </w:tc>
        <w:tc>
          <w:tcPr>
            <w:tcW w:type="dxa" w:w="89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1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46"/>
        <w:gridCol w:w="774"/>
        <w:gridCol w:w="849"/>
        <w:gridCol w:w="1472"/>
        <w:gridCol w:w="1637"/>
      </w:tblGrid>
      <w:tr>
        <w:tc>
          <w:tcPr>
            <w:tcW w:type="dxa" w:w="544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Руководитель</w:t>
            </w:r>
          </w:p>
        </w:tc>
        <w:tc>
          <w:tcPr>
            <w:tcW w:type="dxa" w:w="7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7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44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Главный бухгалтер</w:t>
            </w:r>
          </w:p>
        </w:tc>
        <w:tc>
          <w:tcPr>
            <w:tcW w:type="dxa" w:w="7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7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4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Дата</w:t>
            </w:r>
          </w:p>
        </w:tc>
        <w:tc>
          <w:tcPr>
            <w:tcW w:type="dxa" w:w="77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7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63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к форме 1: Ценные бумаги, кроме акций (активы)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23"/>
        <w:gridCol w:w="771"/>
        <w:gridCol w:w="845"/>
        <w:gridCol w:w="1490"/>
        <w:gridCol w:w="1649"/>
      </w:tblGrid>
      <w:tr>
        <w:tc>
          <w:tcPr>
            <w:tcW w:type="dxa" w:w="54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Учреждение:</w:t>
            </w:r>
          </w:p>
        </w:tc>
        <w:tc>
          <w:tcPr>
            <w:tcW w:type="dxa" w:w="77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64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4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Отчетная дата:</w:t>
            </w:r>
          </w:p>
        </w:tc>
        <w:tc>
          <w:tcPr>
            <w:tcW w:type="dxa" w:w="77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64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4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Отчетный период:</w:t>
            </w:r>
          </w:p>
        </w:tc>
        <w:tc>
          <w:tcPr>
            <w:tcW w:type="dxa" w:w="77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64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4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Единица измерения:</w:t>
            </w:r>
          </w:p>
        </w:tc>
        <w:tc>
          <w:tcPr>
            <w:tcW w:type="dxa" w:w="77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64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4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Классификация ведомственная:</w:t>
            </w:r>
          </w:p>
        </w:tc>
        <w:tc>
          <w:tcPr>
            <w:tcW w:type="dxa" w:w="77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64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4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Классификация функциональная:</w:t>
            </w:r>
          </w:p>
        </w:tc>
        <w:tc>
          <w:tcPr>
            <w:tcW w:type="dxa" w:w="77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64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24"/>
        <w:gridCol w:w="771"/>
        <w:gridCol w:w="890"/>
        <w:gridCol w:w="1604"/>
        <w:gridCol w:w="1789"/>
      </w:tblGrid>
      <w:tr>
        <w:tc>
          <w:tcPr>
            <w:tcW w:type="dxa" w:w="51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3213. Ценные бумаги, кроме акций (внутренние)</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32131. Краткосрочные ценные бумаги, кроме акций (внутренние)</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w:t>
            </w:r>
          </w:p>
        </w:tc>
        <w:tc>
          <w:tcPr>
            <w:tcW w:type="dxa" w:w="8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020</w:t>
            </w:r>
          </w:p>
        </w:tc>
        <w:tc>
          <w:tcPr>
            <w:tcW w:type="dxa" w:w="8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030</w:t>
            </w:r>
          </w:p>
        </w:tc>
        <w:tc>
          <w:tcPr>
            <w:tcW w:type="dxa" w:w="8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040</w:t>
            </w:r>
          </w:p>
        </w:tc>
        <w:tc>
          <w:tcPr>
            <w:tcW w:type="dxa" w:w="8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премий</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050</w:t>
            </w:r>
          </w:p>
        </w:tc>
        <w:tc>
          <w:tcPr>
            <w:tcW w:type="dxa" w:w="8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дисконтов</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w:t>
            </w:r>
          </w:p>
        </w:tc>
        <w:tc>
          <w:tcPr>
            <w:tcW w:type="dxa" w:w="8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070</w:t>
            </w:r>
          </w:p>
        </w:tc>
        <w:tc>
          <w:tcPr>
            <w:tcW w:type="dxa" w:w="8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(010+020-030-040-050+060-070)</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080</w:t>
            </w:r>
          </w:p>
        </w:tc>
        <w:tc>
          <w:tcPr>
            <w:tcW w:type="dxa" w:w="8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32132. Долгосрочные ценные бумаги, кроме акций (внутренние)</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090</w:t>
            </w:r>
          </w:p>
        </w:tc>
        <w:tc>
          <w:tcPr>
            <w:tcW w:type="dxa" w:w="8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8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c>
          <w:tcPr>
            <w:tcW w:type="dxa" w:w="8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w:t>
            </w:r>
          </w:p>
        </w:tc>
        <w:tc>
          <w:tcPr>
            <w:tcW w:type="dxa" w:w="8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премий</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w:t>
            </w:r>
          </w:p>
        </w:tc>
        <w:tc>
          <w:tcPr>
            <w:tcW w:type="dxa" w:w="8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дисконтов</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w:t>
            </w:r>
          </w:p>
        </w:tc>
        <w:tc>
          <w:tcPr>
            <w:tcW w:type="dxa" w:w="8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8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(090+100-110-120-130+140-150)</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w:t>
            </w:r>
          </w:p>
        </w:tc>
        <w:tc>
          <w:tcPr>
            <w:tcW w:type="dxa" w:w="8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Всего ценные бумаги, кроме акций (внутренние), на начало периода (010+090)</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170</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Всего ценные бумаги, кроме акций (внутренние), на конец периода (080+160)</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3223. Ценные бумаги, кроме акций (внешние)</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32231. Краткосрочные ценные бумаги, кроме акций (внешние)</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w:t>
            </w:r>
          </w:p>
        </w:tc>
        <w:tc>
          <w:tcPr>
            <w:tcW w:type="dxa" w:w="8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8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c>
          <w:tcPr>
            <w:tcW w:type="dxa" w:w="8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w:t>
            </w:r>
          </w:p>
        </w:tc>
        <w:tc>
          <w:tcPr>
            <w:tcW w:type="dxa" w:w="8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премий</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w:t>
            </w:r>
          </w:p>
        </w:tc>
        <w:tc>
          <w:tcPr>
            <w:tcW w:type="dxa" w:w="8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дисконтов</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w:t>
            </w:r>
          </w:p>
        </w:tc>
        <w:tc>
          <w:tcPr>
            <w:tcW w:type="dxa" w:w="8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w:t>
            </w:r>
          </w:p>
        </w:tc>
        <w:tc>
          <w:tcPr>
            <w:tcW w:type="dxa" w:w="8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(190+200-210-220-230+240-250)</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260</w:t>
            </w:r>
          </w:p>
        </w:tc>
        <w:tc>
          <w:tcPr>
            <w:tcW w:type="dxa" w:w="8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32232. Долгосрочные ценные бумаги, кроме акций (внешние)</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w:t>
            </w:r>
          </w:p>
        </w:tc>
        <w:tc>
          <w:tcPr>
            <w:tcW w:type="dxa" w:w="8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280</w:t>
            </w:r>
          </w:p>
        </w:tc>
        <w:tc>
          <w:tcPr>
            <w:tcW w:type="dxa" w:w="8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290</w:t>
            </w:r>
          </w:p>
        </w:tc>
        <w:tc>
          <w:tcPr>
            <w:tcW w:type="dxa" w:w="8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c>
          <w:tcPr>
            <w:tcW w:type="dxa" w:w="8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премий</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310</w:t>
            </w:r>
          </w:p>
        </w:tc>
        <w:tc>
          <w:tcPr>
            <w:tcW w:type="dxa" w:w="8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дисконтов</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320</w:t>
            </w:r>
          </w:p>
        </w:tc>
        <w:tc>
          <w:tcPr>
            <w:tcW w:type="dxa" w:w="8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330</w:t>
            </w:r>
          </w:p>
        </w:tc>
        <w:tc>
          <w:tcPr>
            <w:tcW w:type="dxa" w:w="8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(270+280-290-300-310+320-330)</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340</w:t>
            </w:r>
          </w:p>
        </w:tc>
        <w:tc>
          <w:tcPr>
            <w:tcW w:type="dxa" w:w="8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Всего ценные бумаги, кроме акций (внешние), на начало периода (190+270)</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350</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Всего ценные бумаги, кроме акций (внешние), на конец периода (260+340)</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360</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Всего ценные бумаги, кроме акций, на начало периода (170+350)</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370</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Всего ценные бумаги, кроме акций, на конец периода (180+360)</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380</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91"/>
        <w:gridCol w:w="869"/>
        <w:gridCol w:w="953"/>
        <w:gridCol w:w="1476"/>
        <w:gridCol w:w="1889"/>
      </w:tblGrid>
      <w:tr>
        <w:tc>
          <w:tcPr>
            <w:tcW w:type="dxa" w:w="499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Руководитель</w:t>
            </w:r>
          </w:p>
        </w:tc>
        <w:tc>
          <w:tcPr>
            <w:tcW w:type="dxa" w:w="8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499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Главный бухгалтер</w:t>
            </w:r>
          </w:p>
        </w:tc>
        <w:tc>
          <w:tcPr>
            <w:tcW w:type="dxa" w:w="8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499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Дата</w:t>
            </w:r>
          </w:p>
        </w:tc>
        <w:tc>
          <w:tcPr>
            <w:tcW w:type="dxa" w:w="86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5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7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88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к форме 1: Кредиты, ссуды и займы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91"/>
        <w:gridCol w:w="869"/>
        <w:gridCol w:w="953"/>
        <w:gridCol w:w="1476"/>
        <w:gridCol w:w="1889"/>
      </w:tblGrid>
      <w:tr>
        <w:tc>
          <w:tcPr>
            <w:tcW w:type="dxa" w:w="499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Учреждение:</w:t>
            </w:r>
          </w:p>
        </w:tc>
        <w:tc>
          <w:tcPr>
            <w:tcW w:type="dxa" w:w="86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499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Отчетная дата:</w:t>
            </w:r>
          </w:p>
        </w:tc>
        <w:tc>
          <w:tcPr>
            <w:tcW w:type="dxa" w:w="86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499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Отчетный период:</w:t>
            </w:r>
          </w:p>
        </w:tc>
        <w:tc>
          <w:tcPr>
            <w:tcW w:type="dxa" w:w="86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499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Единица измерения:</w:t>
            </w:r>
          </w:p>
        </w:tc>
        <w:tc>
          <w:tcPr>
            <w:tcW w:type="dxa" w:w="86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499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Классификация ведомственная:</w:t>
            </w:r>
          </w:p>
        </w:tc>
        <w:tc>
          <w:tcPr>
            <w:tcW w:type="dxa" w:w="86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499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Классификация функциональная:</w:t>
            </w:r>
          </w:p>
        </w:tc>
        <w:tc>
          <w:tcPr>
            <w:tcW w:type="dxa" w:w="86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76"/>
        <w:gridCol w:w="849"/>
        <w:gridCol w:w="993"/>
        <w:gridCol w:w="1753"/>
        <w:gridCol w:w="2007"/>
      </w:tblGrid>
      <w:tr>
        <w:tc>
          <w:tcPr>
            <w:tcW w:type="dxa" w:w="457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3214. Внутренние кредиты, ссуды, займы</w:t>
            </w:r>
          </w:p>
        </w:tc>
        <w:tc>
          <w:tcPr>
            <w:tcW w:type="dxa" w:w="8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32141. Ссуды другим уровням государственного управления</w:t>
            </w:r>
          </w:p>
        </w:tc>
        <w:tc>
          <w:tcPr>
            <w:tcW w:type="dxa" w:w="8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0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w:t>
            </w:r>
          </w:p>
        </w:tc>
        <w:tc>
          <w:tcPr>
            <w:tcW w:type="dxa" w:w="99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0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Выданные кредиты, ссуды, займы</w:t>
            </w:r>
          </w:p>
        </w:tc>
        <w:tc>
          <w:tcPr>
            <w:tcW w:type="dxa" w:w="8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020</w:t>
            </w:r>
          </w:p>
        </w:tc>
        <w:tc>
          <w:tcPr>
            <w:tcW w:type="dxa" w:w="99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0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кредиты, ссуды, займы</w:t>
            </w:r>
          </w:p>
        </w:tc>
        <w:tc>
          <w:tcPr>
            <w:tcW w:type="dxa" w:w="8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030</w:t>
            </w:r>
          </w:p>
        </w:tc>
        <w:tc>
          <w:tcPr>
            <w:tcW w:type="dxa" w:w="99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0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Списанные кредиты, ссуды, займы</w:t>
            </w:r>
          </w:p>
        </w:tc>
        <w:tc>
          <w:tcPr>
            <w:tcW w:type="dxa" w:w="8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040</w:t>
            </w:r>
          </w:p>
        </w:tc>
        <w:tc>
          <w:tcPr>
            <w:tcW w:type="dxa" w:w="99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0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8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041</w:t>
            </w:r>
          </w:p>
        </w:tc>
        <w:tc>
          <w:tcPr>
            <w:tcW w:type="dxa" w:w="99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0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(010+020-030-040+041)</w:t>
            </w:r>
          </w:p>
        </w:tc>
        <w:tc>
          <w:tcPr>
            <w:tcW w:type="dxa" w:w="8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050</w:t>
            </w:r>
          </w:p>
        </w:tc>
        <w:tc>
          <w:tcPr>
            <w:tcW w:type="dxa" w:w="99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0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32142. Ссуды предприятиям, финансовым учреждениям и населению</w:t>
            </w:r>
          </w:p>
        </w:tc>
        <w:tc>
          <w:tcPr>
            <w:tcW w:type="dxa" w:w="8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0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w:t>
            </w:r>
          </w:p>
        </w:tc>
        <w:tc>
          <w:tcPr>
            <w:tcW w:type="dxa" w:w="99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0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Выданные кредиты, ссуды, займы</w:t>
            </w:r>
          </w:p>
        </w:tc>
        <w:tc>
          <w:tcPr>
            <w:tcW w:type="dxa" w:w="8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070</w:t>
            </w:r>
          </w:p>
        </w:tc>
        <w:tc>
          <w:tcPr>
            <w:tcW w:type="dxa" w:w="99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0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8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071</w:t>
            </w:r>
          </w:p>
        </w:tc>
        <w:tc>
          <w:tcPr>
            <w:tcW w:type="dxa" w:w="99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0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кредиты, ссуды, займы</w:t>
            </w:r>
          </w:p>
        </w:tc>
        <w:tc>
          <w:tcPr>
            <w:tcW w:type="dxa" w:w="8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080</w:t>
            </w:r>
          </w:p>
        </w:tc>
        <w:tc>
          <w:tcPr>
            <w:tcW w:type="dxa" w:w="99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0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Списанные кредиты, ссуды, займы</w:t>
            </w:r>
          </w:p>
        </w:tc>
        <w:tc>
          <w:tcPr>
            <w:tcW w:type="dxa" w:w="8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090</w:t>
            </w:r>
          </w:p>
        </w:tc>
        <w:tc>
          <w:tcPr>
            <w:tcW w:type="dxa" w:w="99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0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(060+070+071-080-090)</w:t>
            </w:r>
          </w:p>
        </w:tc>
        <w:tc>
          <w:tcPr>
            <w:tcW w:type="dxa" w:w="8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99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0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57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Всего кредитов, ссуд, займов (внутренние) на начало периода (010+060)</w:t>
            </w:r>
          </w:p>
        </w:tc>
        <w:tc>
          <w:tcPr>
            <w:tcW w:type="dxa" w:w="8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Всего кредитов, ссуд, займов (внутренние) на конец периода (050+100)</w:t>
            </w:r>
          </w:p>
        </w:tc>
        <w:tc>
          <w:tcPr>
            <w:tcW w:type="dxa" w:w="8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3224. Кредиты и займы (внешние)</w:t>
            </w:r>
          </w:p>
        </w:tc>
        <w:tc>
          <w:tcPr>
            <w:tcW w:type="dxa" w:w="8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32241. Кредиты правительствам других государств</w:t>
            </w:r>
          </w:p>
        </w:tc>
        <w:tc>
          <w:tcPr>
            <w:tcW w:type="dxa" w:w="8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0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w:t>
            </w:r>
          </w:p>
        </w:tc>
        <w:tc>
          <w:tcPr>
            <w:tcW w:type="dxa" w:w="99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0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Выданные кредиты, ссуды, займы</w:t>
            </w:r>
          </w:p>
        </w:tc>
        <w:tc>
          <w:tcPr>
            <w:tcW w:type="dxa" w:w="8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w:t>
            </w:r>
          </w:p>
        </w:tc>
        <w:tc>
          <w:tcPr>
            <w:tcW w:type="dxa" w:w="99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0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8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w:t>
            </w:r>
          </w:p>
        </w:tc>
        <w:tc>
          <w:tcPr>
            <w:tcW w:type="dxa" w:w="99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0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кредиты, ссуды, займы</w:t>
            </w:r>
          </w:p>
        </w:tc>
        <w:tc>
          <w:tcPr>
            <w:tcW w:type="dxa" w:w="8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99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0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Списанные кредиты, ссуды, займы</w:t>
            </w:r>
          </w:p>
        </w:tc>
        <w:tc>
          <w:tcPr>
            <w:tcW w:type="dxa" w:w="8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w:t>
            </w:r>
          </w:p>
        </w:tc>
        <w:tc>
          <w:tcPr>
            <w:tcW w:type="dxa" w:w="99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0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(130+140+141-150-160)</w:t>
            </w:r>
          </w:p>
        </w:tc>
        <w:tc>
          <w:tcPr>
            <w:tcW w:type="dxa" w:w="8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170</w:t>
            </w:r>
          </w:p>
        </w:tc>
        <w:tc>
          <w:tcPr>
            <w:tcW w:type="dxa" w:w="99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0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кредитов, ссуд и займов на начало периода (110+130)</w:t>
            </w:r>
          </w:p>
        </w:tc>
        <w:tc>
          <w:tcPr>
            <w:tcW w:type="dxa" w:w="8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w:t>
            </w:r>
          </w:p>
        </w:tc>
        <w:tc>
          <w:tcPr>
            <w:tcW w:type="dxa" w:w="99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0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кредитов, ссуд и займов на конец периода (120+170)</w:t>
            </w:r>
          </w:p>
        </w:tc>
        <w:tc>
          <w:tcPr>
            <w:tcW w:type="dxa" w:w="8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c>
          <w:tcPr>
            <w:tcW w:type="dxa" w:w="99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0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88"/>
        <w:gridCol w:w="873"/>
        <w:gridCol w:w="951"/>
        <w:gridCol w:w="1481"/>
        <w:gridCol w:w="1886"/>
      </w:tblGrid>
      <w:tr>
        <w:tc>
          <w:tcPr>
            <w:tcW w:type="dxa" w:w="498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Руководитель</w:t>
            </w:r>
          </w:p>
        </w:tc>
        <w:tc>
          <w:tcPr>
            <w:tcW w:type="dxa" w:w="87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5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8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88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498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Главный бухгалтер</w:t>
            </w:r>
          </w:p>
        </w:tc>
        <w:tc>
          <w:tcPr>
            <w:tcW w:type="dxa" w:w="87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5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8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88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498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Дата</w:t>
            </w:r>
          </w:p>
        </w:tc>
        <w:tc>
          <w:tcPr>
            <w:tcW w:type="dxa" w:w="87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5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8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88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к форме 1: Акции и другие формы участия в капитале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71"/>
        <w:gridCol w:w="881"/>
        <w:gridCol w:w="782"/>
        <w:gridCol w:w="1392"/>
        <w:gridCol w:w="1551"/>
      </w:tblGrid>
      <w:tr>
        <w:tc>
          <w:tcPr>
            <w:tcW w:type="dxa" w:w="557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Учреждение:</w:t>
            </w:r>
          </w:p>
        </w:tc>
        <w:tc>
          <w:tcPr>
            <w:tcW w:type="dxa" w:w="88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39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57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Отчетная дата:</w:t>
            </w:r>
          </w:p>
        </w:tc>
        <w:tc>
          <w:tcPr>
            <w:tcW w:type="dxa" w:w="88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39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57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Отчетный период:</w:t>
            </w:r>
          </w:p>
        </w:tc>
        <w:tc>
          <w:tcPr>
            <w:tcW w:type="dxa" w:w="88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39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57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Единица измерения:</w:t>
            </w:r>
          </w:p>
        </w:tc>
        <w:tc>
          <w:tcPr>
            <w:tcW w:type="dxa" w:w="88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39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57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Классификация ведомственная:</w:t>
            </w:r>
          </w:p>
        </w:tc>
        <w:tc>
          <w:tcPr>
            <w:tcW w:type="dxa" w:w="88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39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57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Классификация функциональная:</w:t>
            </w:r>
          </w:p>
        </w:tc>
        <w:tc>
          <w:tcPr>
            <w:tcW w:type="dxa" w:w="88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39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26"/>
        <w:gridCol w:w="802"/>
        <w:gridCol w:w="912"/>
        <w:gridCol w:w="1588"/>
        <w:gridCol w:w="1950"/>
      </w:tblGrid>
      <w:tr>
        <w:tc>
          <w:tcPr>
            <w:tcW w:type="dxa" w:w="492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3215. Акции и другие формы участия в капитале (внутренние)</w:t>
            </w:r>
          </w:p>
        </w:tc>
        <w:tc>
          <w:tcPr>
            <w:tcW w:type="dxa" w:w="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w:t>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акций и других форм участия в капитале</w:t>
            </w:r>
          </w:p>
        </w:tc>
        <w:tc>
          <w:tcPr>
            <w:tcW w:type="dxa" w:w="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020</w:t>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 акций и других форм участия в капитале</w:t>
            </w:r>
          </w:p>
        </w:tc>
        <w:tc>
          <w:tcPr>
            <w:tcW w:type="dxa" w:w="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030</w:t>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(010+020-030)</w:t>
            </w:r>
          </w:p>
        </w:tc>
        <w:tc>
          <w:tcPr>
            <w:tcW w:type="dxa" w:w="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040</w:t>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92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3225. Акции и другие формы участия в капитале (внешние)</w:t>
            </w:r>
          </w:p>
        </w:tc>
        <w:tc>
          <w:tcPr>
            <w:tcW w:type="dxa" w:w="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050</w:t>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акций и других форм участия в капитале</w:t>
            </w:r>
          </w:p>
        </w:tc>
        <w:tc>
          <w:tcPr>
            <w:tcW w:type="dxa" w:w="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w:t>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Продажа акций и других форм участия в капитале</w:t>
            </w:r>
          </w:p>
        </w:tc>
        <w:tc>
          <w:tcPr>
            <w:tcW w:type="dxa" w:w="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070</w:t>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(050+060-070)</w:t>
            </w:r>
          </w:p>
        </w:tc>
        <w:tc>
          <w:tcPr>
            <w:tcW w:type="dxa" w:w="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080</w:t>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акций и других форм участия в капитале на начало (010+050)</w:t>
            </w:r>
          </w:p>
        </w:tc>
        <w:tc>
          <w:tcPr>
            <w:tcW w:type="dxa" w:w="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090</w:t>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акций и других форм участия в капитале на конец (040+080)</w:t>
            </w:r>
          </w:p>
        </w:tc>
        <w:tc>
          <w:tcPr>
            <w:tcW w:type="dxa" w:w="8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91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49"/>
        <w:gridCol w:w="837"/>
        <w:gridCol w:w="837"/>
        <w:gridCol w:w="1658"/>
        <w:gridCol w:w="1597"/>
      </w:tblGrid>
      <w:tr>
        <w:tc>
          <w:tcPr>
            <w:tcW w:type="dxa" w:w="524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Руководитель</w:t>
            </w:r>
          </w:p>
        </w:tc>
        <w:tc>
          <w:tcPr>
            <w:tcW w:type="dxa" w:w="8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58"/>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597"/>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24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Главный бухгалтер</w:t>
            </w:r>
          </w:p>
        </w:tc>
        <w:tc>
          <w:tcPr>
            <w:tcW w:type="dxa" w:w="8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58"/>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597"/>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2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Дата</w:t>
            </w:r>
          </w:p>
        </w:tc>
        <w:tc>
          <w:tcPr>
            <w:tcW w:type="dxa" w:w="83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3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65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9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9</w:t>
      </w:r>
    </w:p>
    <w:p>
      <w:pPr>
        <w:spacing w:after="120"/>
        <w:jc w:val="both"/>
      </w:pPr>
      <w:r>
        <w:rPr>
          <w:rFonts w:ascii="Arial" w:cs="Arial" w:eastAsia="Arial" w:hAnsi="Arial"/>
          <w:sz w:val="24"/>
          <w:szCs w:val="24"/>
        </w:rPr>
        <w:t xml:space="preserve">к форме 1: Прочая дебиторская задолженность</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38"/>
        <w:gridCol w:w="849"/>
        <w:gridCol w:w="1168"/>
        <w:gridCol w:w="1441"/>
        <w:gridCol w:w="1582"/>
      </w:tblGrid>
      <w:tr>
        <w:tc>
          <w:tcPr>
            <w:tcW w:type="dxa" w:w="51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Учреждение:</w:t>
            </w:r>
          </w:p>
        </w:tc>
        <w:tc>
          <w:tcPr>
            <w:tcW w:type="dxa" w:w="84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1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Отчетная дата:</w:t>
            </w:r>
          </w:p>
        </w:tc>
        <w:tc>
          <w:tcPr>
            <w:tcW w:type="dxa" w:w="84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1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Отчетный период:</w:t>
            </w:r>
          </w:p>
        </w:tc>
        <w:tc>
          <w:tcPr>
            <w:tcW w:type="dxa" w:w="84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1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Единица измерения:</w:t>
            </w:r>
          </w:p>
        </w:tc>
        <w:tc>
          <w:tcPr>
            <w:tcW w:type="dxa" w:w="84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1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Классификация ведомственная:</w:t>
            </w:r>
          </w:p>
        </w:tc>
        <w:tc>
          <w:tcPr>
            <w:tcW w:type="dxa" w:w="84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1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Классификация функциональная:</w:t>
            </w:r>
          </w:p>
        </w:tc>
        <w:tc>
          <w:tcPr>
            <w:tcW w:type="dxa" w:w="84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82"/>
        <w:gridCol w:w="857"/>
        <w:gridCol w:w="1179"/>
        <w:gridCol w:w="1588"/>
        <w:gridCol w:w="1773"/>
      </w:tblGrid>
      <w:tr>
        <w:tc>
          <w:tcPr>
            <w:tcW w:type="dxa" w:w="478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3217. Прочая внутренняя дебиторская задолженность</w:t>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32171. Прочая внутренняя дебиторская задолженность</w:t>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11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Признанная дебиторская задолженность служащих</w:t>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11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недостачи, хищения, растраты</w:t>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11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внутриведомственные расчеты</w:t>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11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Признанная прочая внутренняя дебиторская задолженность</w:t>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11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Погашенная дебиторская задолженность служащих</w:t>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w:t>
            </w:r>
          </w:p>
        </w:tc>
        <w:tc>
          <w:tcPr>
            <w:tcW w:type="dxa" w:w="11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недостачи, хищения, растраты</w:t>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w:t>
            </w:r>
          </w:p>
        </w:tc>
        <w:tc>
          <w:tcPr>
            <w:tcW w:type="dxa" w:w="11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Зачет по внутриведомственным расчетам</w:t>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11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Погашенная прочая внутренняя дебиторская задолженность</w:t>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11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(010+020+030+040+050-060-070-080-090)</w:t>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32173. Проценты и дивиденды к получению</w:t>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Начисленные проценты к получению по ценным бумагам</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Начисленные проценты к получению по кредитам и займам</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Начисленные дивиденды к получению</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Начисленная к получению доля прибыли НБКР</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проценты к получению по ценным бумагам</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проценты к получению по кредитам и займам</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170</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дивиденды к получению</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Погашенная доля прибыли НБКР</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Списанные проценты к получению по кредитам и займам</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(110+120+130+140+150-160-170-180-190-200)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32174. Внутренние авансы, уплаченные</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Уплаченные авансы в отношении запасов</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Уплаченные авансы в отношении услуг и работ</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Уплаченные авансы в отношении основных фондов</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уплаченные авансы</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260</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запасами авансы уплаченные</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расходами авансы, уплаченные в отношении работ и услуг</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280</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основными фондами авансы, уплаченные</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290</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прочие авансы</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(220+230+240+250+260-270-280-290-300)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310</w:t>
            </w:r>
          </w:p>
        </w:tc>
        <w:tc>
          <w:tcPr>
            <w:tcW w:type="dxa" w:w="11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Прочая внутренняя дебиторская задолженность на начало периода (010+110+220)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320</w:t>
            </w:r>
          </w:p>
        </w:tc>
        <w:tc>
          <w:tcPr>
            <w:tcW w:type="dxa" w:w="11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Прочая внутренняя дебиторская задолженность на конец периода (100+210+310)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330</w:t>
            </w:r>
          </w:p>
        </w:tc>
        <w:tc>
          <w:tcPr>
            <w:tcW w:type="dxa" w:w="11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3227. Внешняя дебиторская задолженность</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32271. Прочая внешняя дебиторская задолженность</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340</w:t>
            </w:r>
          </w:p>
        </w:tc>
        <w:tc>
          <w:tcPr>
            <w:tcW w:type="dxa" w:w="11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Признанная дебиторская задолженность</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350</w:t>
            </w:r>
          </w:p>
        </w:tc>
        <w:tc>
          <w:tcPr>
            <w:tcW w:type="dxa" w:w="11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Погашенная дебиторская задолженность</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360</w:t>
            </w:r>
          </w:p>
        </w:tc>
        <w:tc>
          <w:tcPr>
            <w:tcW w:type="dxa" w:w="11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361</w:t>
            </w:r>
          </w:p>
        </w:tc>
        <w:tc>
          <w:tcPr>
            <w:tcW w:type="dxa" w:w="11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(340+350-360+361)</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370</w:t>
            </w:r>
          </w:p>
        </w:tc>
        <w:tc>
          <w:tcPr>
            <w:tcW w:type="dxa" w:w="11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32272. Внешние авансы, уплаченные</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380</w:t>
            </w:r>
          </w:p>
        </w:tc>
        <w:tc>
          <w:tcPr>
            <w:tcW w:type="dxa" w:w="11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Уплаченные авансы в отношении запасов</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390</w:t>
            </w:r>
          </w:p>
        </w:tc>
        <w:tc>
          <w:tcPr>
            <w:tcW w:type="dxa" w:w="11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Уплаченные авансы в отношении услуг и работ</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400</w:t>
            </w:r>
          </w:p>
        </w:tc>
        <w:tc>
          <w:tcPr>
            <w:tcW w:type="dxa" w:w="11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Уплаченные авансы в отношении основных фондов</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410</w:t>
            </w:r>
          </w:p>
        </w:tc>
        <w:tc>
          <w:tcPr>
            <w:tcW w:type="dxa" w:w="11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уплаченные авансы</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420</w:t>
            </w:r>
          </w:p>
        </w:tc>
        <w:tc>
          <w:tcPr>
            <w:tcW w:type="dxa" w:w="11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запасами авансы, уплаченные</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430</w:t>
            </w:r>
          </w:p>
        </w:tc>
        <w:tc>
          <w:tcPr>
            <w:tcW w:type="dxa" w:w="11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расходами авансы, уплаченные</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440</w:t>
            </w:r>
          </w:p>
        </w:tc>
        <w:tc>
          <w:tcPr>
            <w:tcW w:type="dxa" w:w="11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основными фондами авансы, уплаченные</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450</w:t>
            </w:r>
          </w:p>
        </w:tc>
        <w:tc>
          <w:tcPr>
            <w:tcW w:type="dxa" w:w="11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прочие авансы</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460</w:t>
            </w:r>
          </w:p>
        </w:tc>
        <w:tc>
          <w:tcPr>
            <w:tcW w:type="dxa" w:w="11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461</w:t>
            </w:r>
          </w:p>
        </w:tc>
        <w:tc>
          <w:tcPr>
            <w:tcW w:type="dxa" w:w="11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(380+390+400+410+420-430-440-450-460+461)</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470</w:t>
            </w:r>
          </w:p>
        </w:tc>
        <w:tc>
          <w:tcPr>
            <w:tcW w:type="dxa" w:w="11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Прочая внешняя дебиторская задолженность на начало периода (340+380)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480</w:t>
            </w:r>
          </w:p>
        </w:tc>
        <w:tc>
          <w:tcPr>
            <w:tcW w:type="dxa" w:w="11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Прочая внешняя дебиторская задолженность на конец периода (370+470)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490</w:t>
            </w:r>
          </w:p>
        </w:tc>
        <w:tc>
          <w:tcPr>
            <w:tcW w:type="dxa" w:w="11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прочая дебиторская задолженность на начало периода (320+480)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500</w:t>
            </w:r>
          </w:p>
        </w:tc>
        <w:tc>
          <w:tcPr>
            <w:tcW w:type="dxa" w:w="11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прочая дебиторская задолженность на конец периода (330+490)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510</w:t>
            </w:r>
          </w:p>
        </w:tc>
        <w:tc>
          <w:tcPr>
            <w:tcW w:type="dxa" w:w="11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19"/>
        <w:gridCol w:w="851"/>
        <w:gridCol w:w="1170"/>
        <w:gridCol w:w="1443"/>
        <w:gridCol w:w="1595"/>
      </w:tblGrid>
      <w:tr>
        <w:tc>
          <w:tcPr>
            <w:tcW w:type="dxa" w:w="51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Руководитель</w:t>
            </w:r>
          </w:p>
        </w:tc>
        <w:tc>
          <w:tcPr>
            <w:tcW w:type="dxa" w:w="85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7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4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595"/>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1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Главный бухгалтер</w:t>
            </w:r>
          </w:p>
        </w:tc>
        <w:tc>
          <w:tcPr>
            <w:tcW w:type="dxa" w:w="85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7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4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595"/>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11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Дата</w:t>
            </w:r>
          </w:p>
        </w:tc>
        <w:tc>
          <w:tcPr>
            <w:tcW w:type="dxa" w:w="85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7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4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9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10</w:t>
      </w:r>
    </w:p>
    <w:p>
      <w:pPr>
        <w:spacing w:after="120"/>
        <w:jc w:val="both"/>
      </w:pPr>
      <w:r>
        <w:rPr>
          <w:rFonts w:ascii="Arial" w:cs="Arial" w:eastAsia="Arial" w:hAnsi="Arial"/>
          <w:sz w:val="24"/>
          <w:szCs w:val="24"/>
        </w:rPr>
        <w:t xml:space="preserve">к форме 1: Ценные бумаги, кроме акций (обязательства)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66"/>
        <w:gridCol w:w="908"/>
        <w:gridCol w:w="798"/>
        <w:gridCol w:w="1374"/>
        <w:gridCol w:w="1533"/>
      </w:tblGrid>
      <w:tr>
        <w:tc>
          <w:tcPr>
            <w:tcW w:type="dxa" w:w="556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Учреждение:</w:t>
            </w:r>
          </w:p>
        </w:tc>
        <w:tc>
          <w:tcPr>
            <w:tcW w:type="dxa" w:w="908"/>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798"/>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37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53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56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Отчетная дата:</w:t>
            </w:r>
          </w:p>
        </w:tc>
        <w:tc>
          <w:tcPr>
            <w:tcW w:type="dxa" w:w="908"/>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798"/>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37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53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56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Отчетный период:</w:t>
            </w:r>
          </w:p>
        </w:tc>
        <w:tc>
          <w:tcPr>
            <w:tcW w:type="dxa" w:w="908"/>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798"/>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37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53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56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Единица измерения:</w:t>
            </w:r>
          </w:p>
        </w:tc>
        <w:tc>
          <w:tcPr>
            <w:tcW w:type="dxa" w:w="908"/>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798"/>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37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53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56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Классификация ведомственная:</w:t>
            </w:r>
          </w:p>
        </w:tc>
        <w:tc>
          <w:tcPr>
            <w:tcW w:type="dxa" w:w="908"/>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798"/>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37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53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56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Классификация функциональная:</w:t>
            </w:r>
          </w:p>
        </w:tc>
        <w:tc>
          <w:tcPr>
            <w:tcW w:type="dxa" w:w="908"/>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798"/>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37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53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27"/>
        <w:gridCol w:w="904"/>
        <w:gridCol w:w="883"/>
        <w:gridCol w:w="1589"/>
        <w:gridCol w:w="1775"/>
      </w:tblGrid>
      <w:tr>
        <w:tc>
          <w:tcPr>
            <w:tcW w:type="dxa" w:w="50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3313. Ценные бумаги, кроме акций</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33131. Государственные краткосрочные внутренние ценные бумаги, кроме акций</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w:t>
            </w:r>
          </w:p>
        </w:tc>
        <w:tc>
          <w:tcPr>
            <w:tcW w:type="dxa" w:w="8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Выпущенные ценные бумаги</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020</w:t>
            </w:r>
          </w:p>
        </w:tc>
        <w:tc>
          <w:tcPr>
            <w:tcW w:type="dxa" w:w="8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ценные бумаги</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030</w:t>
            </w:r>
          </w:p>
        </w:tc>
        <w:tc>
          <w:tcPr>
            <w:tcW w:type="dxa" w:w="8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премий на ценные бумаги</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040</w:t>
            </w:r>
          </w:p>
        </w:tc>
        <w:tc>
          <w:tcPr>
            <w:tcW w:type="dxa" w:w="8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дисконтов на ценные бумаги</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050</w:t>
            </w:r>
          </w:p>
        </w:tc>
        <w:tc>
          <w:tcPr>
            <w:tcW w:type="dxa" w:w="8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(010+020-030+040-050)</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w:t>
            </w:r>
          </w:p>
        </w:tc>
        <w:tc>
          <w:tcPr>
            <w:tcW w:type="dxa" w:w="8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33132. Государственные долгосрочные внутренние ценные бумаги, кроме акций</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070</w:t>
            </w:r>
          </w:p>
        </w:tc>
        <w:tc>
          <w:tcPr>
            <w:tcW w:type="dxa" w:w="8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Выпущенные ценные бумаги</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080</w:t>
            </w:r>
          </w:p>
        </w:tc>
        <w:tc>
          <w:tcPr>
            <w:tcW w:type="dxa" w:w="8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ценные бумаги</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090</w:t>
            </w:r>
          </w:p>
        </w:tc>
        <w:tc>
          <w:tcPr>
            <w:tcW w:type="dxa" w:w="8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премий на ценные бумаги</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8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дисконтов на ценные бумаги</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c>
          <w:tcPr>
            <w:tcW w:type="dxa" w:w="8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(070+080-090+100-110)</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w:t>
            </w:r>
          </w:p>
        </w:tc>
        <w:tc>
          <w:tcPr>
            <w:tcW w:type="dxa" w:w="8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государственных внутренних ценных бумаг, кроме акций на начало (010+070)</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w:t>
            </w:r>
          </w:p>
        </w:tc>
        <w:tc>
          <w:tcPr>
            <w:tcW w:type="dxa" w:w="8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государственных внутренних ценных бумаг, кроме акций на начало (060+120)</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w:t>
            </w:r>
          </w:p>
        </w:tc>
        <w:tc>
          <w:tcPr>
            <w:tcW w:type="dxa" w:w="8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59"/>
        <w:gridCol w:w="908"/>
        <w:gridCol w:w="831"/>
        <w:gridCol w:w="1463"/>
        <w:gridCol w:w="1417"/>
      </w:tblGrid>
      <w:tr>
        <w:tc>
          <w:tcPr>
            <w:tcW w:type="dxa" w:w="555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Руководитель</w:t>
            </w:r>
          </w:p>
        </w:tc>
        <w:tc>
          <w:tcPr>
            <w:tcW w:type="dxa" w:w="9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6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417"/>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55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Главный бухгалтер</w:t>
            </w:r>
          </w:p>
        </w:tc>
        <w:tc>
          <w:tcPr>
            <w:tcW w:type="dxa" w:w="9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6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417"/>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5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Дата</w:t>
            </w:r>
          </w:p>
        </w:tc>
        <w:tc>
          <w:tcPr>
            <w:tcW w:type="dxa" w:w="90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3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6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41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11</w:t>
      </w:r>
    </w:p>
    <w:p>
      <w:pPr>
        <w:spacing w:after="120"/>
        <w:jc w:val="both"/>
      </w:pPr>
      <w:r>
        <w:rPr>
          <w:rFonts w:ascii="Arial" w:cs="Arial" w:eastAsia="Arial" w:hAnsi="Arial"/>
          <w:sz w:val="24"/>
          <w:szCs w:val="24"/>
        </w:rPr>
        <w:t xml:space="preserve">к форме 1: Заимствования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47"/>
        <w:gridCol w:w="778"/>
        <w:gridCol w:w="942"/>
        <w:gridCol w:w="1376"/>
        <w:gridCol w:w="1535"/>
      </w:tblGrid>
      <w:tr>
        <w:tc>
          <w:tcPr>
            <w:tcW w:type="dxa" w:w="554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Учреждение:</w:t>
            </w:r>
          </w:p>
        </w:tc>
        <w:tc>
          <w:tcPr>
            <w:tcW w:type="dxa" w:w="778"/>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535"/>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54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Отчетная дата:</w:t>
            </w:r>
          </w:p>
        </w:tc>
        <w:tc>
          <w:tcPr>
            <w:tcW w:type="dxa" w:w="778"/>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535"/>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54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Отчетный период:</w:t>
            </w:r>
          </w:p>
        </w:tc>
        <w:tc>
          <w:tcPr>
            <w:tcW w:type="dxa" w:w="778"/>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535"/>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54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Единица измерения:</w:t>
            </w:r>
          </w:p>
        </w:tc>
        <w:tc>
          <w:tcPr>
            <w:tcW w:type="dxa" w:w="778"/>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535"/>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54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Классификация ведомственная:</w:t>
            </w:r>
          </w:p>
        </w:tc>
        <w:tc>
          <w:tcPr>
            <w:tcW w:type="dxa" w:w="778"/>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535"/>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54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Классификация функциональная:</w:t>
            </w:r>
          </w:p>
        </w:tc>
        <w:tc>
          <w:tcPr>
            <w:tcW w:type="dxa" w:w="778"/>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535"/>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72"/>
        <w:gridCol w:w="778"/>
        <w:gridCol w:w="963"/>
        <w:gridCol w:w="1680"/>
        <w:gridCol w:w="1885"/>
      </w:tblGrid>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3314. Внутренние заимствования</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33141. Заимствования от других единиц государственного управления</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Остаток на начало периода</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Получено заимствований от других единиц государственного управления</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Погашено заимствований от других единиц государственного управления</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Списано заимствований от других единиц государственного управления</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041</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Остаток на конец периода (010+020-030-040+041)</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33142. Заимствования от предприятий, организаций, финансовых учреждений</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Остаток на начало периода</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Получено заимствований от предприятий, организаций, финансовых учреждений</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Погашено заимствований от предприятий, организаций, финансовых учреждений</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Списано заимствований от предприятий, организаций, финансовых учреждений</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091</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Остаток на конец периода (060+070-080-090+091)</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Всего внутренние заимствования на начало периода (010+060)</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Всего внутренние заимствования на конец периода (050+100)</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3324. Внешние заимствования</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Остаток на начало периода</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Получено заимствований по двусторонним долговым соглашениям</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Погашено заимствований по двусторонним долговым соглашениям</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Списано заимствований по двусторонним долговым соглашениям</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Остаток на конец периода (130+140-150-160+170)</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33242. Многосторонние долговые соглашения</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Остаток на начало периода</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Получено заимствований по многосторонним долговым соглашениям</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Погашено заимствований по многосторонним долговым соглашениям</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Списано заимствований по многосторонним долговым соглашениям</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Остаток на конец периода (190+200-210-220+230)</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33243. Иностранные финансовые институты</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Остаток на начало периода</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Получено заимствований от иностранных финансовых институтов</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Погашено заимствований от иностранных финансовых институтов</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Списано заимствований от иностранных финансовых институтов</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Остаток на конец периода (250+260-270-280+290)</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33249. Прочий внешний долг</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Остаток на начало периода</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Получены прочие внешние заимствования</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Погашены прочие внешние заимствования</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Списаны прочие внешние заимствования</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Остаток на конец периода (310+320-330-340+350)</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Всего внешних заимствований на начало периода (130+190+250+310)</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Всего внешних заимствований на конец периода (180+240+300+360)</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Всего заимствований на начало периода (110+370)</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Всего заимствований на конец периода (120+380)</w:t>
            </w:r>
          </w:p>
        </w:tc>
        <w:tc>
          <w:tcPr>
            <w:tcW w:type="dxa" w:w="7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400</w:t>
            </w:r>
          </w:p>
        </w:tc>
        <w:tc>
          <w:tcPr>
            <w:tcW w:type="dxa" w:w="9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53"/>
        <w:gridCol w:w="773"/>
        <w:gridCol w:w="944"/>
        <w:gridCol w:w="1377"/>
        <w:gridCol w:w="1531"/>
      </w:tblGrid>
      <w:tr>
        <w:tc>
          <w:tcPr>
            <w:tcW w:type="dxa" w:w="55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Руководитель</w:t>
            </w:r>
          </w:p>
        </w:tc>
        <w:tc>
          <w:tcPr>
            <w:tcW w:type="dxa" w:w="77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77"/>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53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5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Главный бухгалтер</w:t>
            </w:r>
          </w:p>
        </w:tc>
        <w:tc>
          <w:tcPr>
            <w:tcW w:type="dxa" w:w="77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77"/>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53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5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Дата</w:t>
            </w:r>
          </w:p>
        </w:tc>
        <w:tc>
          <w:tcPr>
            <w:tcW w:type="dxa" w:w="77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12</w:t>
      </w:r>
    </w:p>
    <w:p>
      <w:pPr>
        <w:spacing w:after="120"/>
        <w:jc w:val="both"/>
      </w:pPr>
      <w:r>
        <w:rPr>
          <w:rFonts w:ascii="Arial" w:cs="Arial" w:eastAsia="Arial" w:hAnsi="Arial"/>
          <w:sz w:val="24"/>
          <w:szCs w:val="24"/>
        </w:rPr>
        <w:t xml:space="preserve">к форме 1: Прочие обязательства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79"/>
        <w:gridCol w:w="812"/>
        <w:gridCol w:w="853"/>
        <w:gridCol w:w="1679"/>
        <w:gridCol w:w="1455"/>
      </w:tblGrid>
      <w:tr>
        <w:tc>
          <w:tcPr>
            <w:tcW w:type="dxa" w:w="537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Учреждение:</w:t>
            </w:r>
          </w:p>
        </w:tc>
        <w:tc>
          <w:tcPr>
            <w:tcW w:type="dxa" w:w="81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67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37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Отчетная дата:</w:t>
            </w:r>
          </w:p>
        </w:tc>
        <w:tc>
          <w:tcPr>
            <w:tcW w:type="dxa" w:w="81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67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37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Отчетный период:</w:t>
            </w:r>
          </w:p>
        </w:tc>
        <w:tc>
          <w:tcPr>
            <w:tcW w:type="dxa" w:w="81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67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37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Единица измерения:</w:t>
            </w:r>
          </w:p>
        </w:tc>
        <w:tc>
          <w:tcPr>
            <w:tcW w:type="dxa" w:w="81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67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37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Классификация ведомственная:</w:t>
            </w:r>
          </w:p>
        </w:tc>
        <w:tc>
          <w:tcPr>
            <w:tcW w:type="dxa" w:w="81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67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37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Классификация функциональная:</w:t>
            </w:r>
          </w:p>
        </w:tc>
        <w:tc>
          <w:tcPr>
            <w:tcW w:type="dxa" w:w="81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67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23"/>
        <w:gridCol w:w="839"/>
        <w:gridCol w:w="945"/>
        <w:gridCol w:w="1738"/>
        <w:gridCol w:w="1934"/>
      </w:tblGrid>
      <w:tr>
        <w:tc>
          <w:tcPr>
            <w:tcW w:type="dxa" w:w="47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3317. Прочая внутренняя кредиторская задолженность</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33171. Прочая внутренняя кредиторская задолженность</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Признанная кредиторская задолженность служащих</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обязательства по стипендиям</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9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внутриведомственные расчеты</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обязательства по средствам, полученным во временное пользование</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обязательства по компенсационным выплатам</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обязательства по субсидиям</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обязательства по грантам</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Признанная прочая кредиторская задолженность</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Погашенная кредиторская задолженность служащих</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стипендиям</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Зачет по внутриведомственным расчетам</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средствам, полученным во временное пользование</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компенсационным выплатам</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субсидиям</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грантам</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Погашенная прочая кредиторская задолженность</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(010+020+030+040+050+060+070+080+090-100-110-120-130-140-150-160-170)</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33172. Обязательства по оплате труда</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Начисленные обязательства по оплате труда</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оплате труда</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(190+200-210)</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33173. Проценты к оплате</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Начисленные проценты к оплате по ценным бумагам</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Начисленные проценты к оплате по кредитам и займам</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проценты к оплате по ценным бумагам</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проценты к оплате по кредитам и займам</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Списанные проценты к оплате по кредитам и займам</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281</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(230+240+250-260-270-280+281)</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33174. Счета к оплате (внутренние)</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счета к оплате в отношении запасов</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счета к оплате в отношении услуг и работ</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счета к оплате в отношении основных фондов</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счета к оплате в отношении запасов</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счета к оплате в отношении услуг и работ</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счета к оплате в отношении основных фондов</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(300+310+320+330-340-350-360)</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33175. Обязательства по социальным пособиям</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Начисленные обязательства по социальным пособиям</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социальным пособиям</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(380+390-400)</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33176. Внутренние авансы, полученные</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Полученные авансы</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доходами авансы полученные</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(420+430-440)</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33177. Расчеты по платежам в бюджет</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обязательства по платежам в бюджет</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платежам в бюджет</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(460+470-480)</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внутренних обязательств на начало периода (010+190+230+300+380+420+460)</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внутренних обязательств на конец периода (180+220+290+370+410+450+490)</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3325. Прочая внешняя кредиторская задолженность</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33251. Проценты к оплате</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Начисленные проценты к оплате по ценным бумагам</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Начисленные проценты к оплате по кредитам и займам</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проценты к оплате по ценным бумагам</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проценты к оплате по кредитам и займам</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Списанные проценты к оплате по кредитам и займам</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571</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(520+530+540-550-560-570+571)</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33252. Счета к оплате (внешние)</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590</w:t>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счета к оплате в отношении запасов</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счета к оплате в отношении услуг и работ</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счета к оплате в отношении основных фондов</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счета к оплате в отношении запасов</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счета к оплате в отношении услуг и работ</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счета к оплате в отношении основных фондов</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651</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(590+600+610+620-630-640-650+651)</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33253. Взносы в международные организации и объединения в рамках СНГ</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обязательства по взносам в международные организации</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обязательства по взносам в интеграционные объединения в рамках СНГ</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обязательства по прочим взносам</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взносам в международные организации</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взносам в интеграционные объединения в рамках СНГ</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обязательства по прочим взносам</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730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731</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(670+680+690+700-710-720-730+731)</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33259. Прочие внешние обязательства</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Признанные прочие внешние обязательства</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Погашенные прочие внешние обязательства</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771</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(750+760-770+771)</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780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внешних обязательств на начало периода (520+590+670+750)</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внешних обязательств на конец периода (580+660+740+780)</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прочих обязательств на начало периода (500+790)</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прочих обязательств на конец периода (510+800)</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820</w:t>
            </w:r>
          </w:p>
        </w:tc>
        <w:tc>
          <w:tcPr>
            <w:tcW w:type="dxa" w:w="9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43"/>
        <w:gridCol w:w="816"/>
        <w:gridCol w:w="847"/>
        <w:gridCol w:w="1678"/>
        <w:gridCol w:w="1894"/>
      </w:tblGrid>
      <w:tr>
        <w:tc>
          <w:tcPr>
            <w:tcW w:type="dxa" w:w="494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Руководитель</w:t>
            </w:r>
          </w:p>
        </w:tc>
        <w:tc>
          <w:tcPr>
            <w:tcW w:type="dxa" w:w="8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78"/>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89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494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Главный бухгалтер</w:t>
            </w:r>
          </w:p>
        </w:tc>
        <w:tc>
          <w:tcPr>
            <w:tcW w:type="dxa" w:w="8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78"/>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89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494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Дата</w:t>
            </w:r>
          </w:p>
        </w:tc>
        <w:tc>
          <w:tcPr>
            <w:tcW w:type="dxa" w:w="81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67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89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13</w:t>
      </w:r>
    </w:p>
    <w:p>
      <w:pPr>
        <w:spacing w:after="120"/>
        <w:jc w:val="both"/>
      </w:pPr>
      <w:r>
        <w:rPr>
          <w:rFonts w:ascii="Arial" w:cs="Arial" w:eastAsia="Arial" w:hAnsi="Arial"/>
          <w:sz w:val="24"/>
          <w:szCs w:val="24"/>
        </w:rPr>
        <w:t xml:space="preserve">к форме 1: Чистые активы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43"/>
        <w:gridCol w:w="812"/>
        <w:gridCol w:w="853"/>
        <w:gridCol w:w="1679"/>
        <w:gridCol w:w="1891"/>
      </w:tblGrid>
      <w:tr>
        <w:tc>
          <w:tcPr>
            <w:tcW w:type="dxa" w:w="494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Учреждение:</w:t>
            </w:r>
          </w:p>
        </w:tc>
        <w:tc>
          <w:tcPr>
            <w:tcW w:type="dxa" w:w="812"/>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1679"/>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r>
      <w:tr>
        <w:tc>
          <w:tcPr>
            <w:tcW w:type="dxa" w:w="494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Отчетная дата:</w:t>
            </w:r>
          </w:p>
        </w:tc>
        <w:tc>
          <w:tcPr>
            <w:tcW w:type="dxa" w:w="812"/>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1679"/>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r>
      <w:tr>
        <w:tc>
          <w:tcPr>
            <w:tcW w:type="dxa" w:w="494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Отчетный период:</w:t>
            </w:r>
          </w:p>
        </w:tc>
        <w:tc>
          <w:tcPr>
            <w:tcW w:type="dxa" w:w="812"/>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1679"/>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r>
      <w:tr>
        <w:tc>
          <w:tcPr>
            <w:tcW w:type="dxa" w:w="494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Единица измерения:</w:t>
            </w:r>
          </w:p>
        </w:tc>
        <w:tc>
          <w:tcPr>
            <w:tcW w:type="dxa" w:w="812"/>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1679"/>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r>
      <w:tr>
        <w:tc>
          <w:tcPr>
            <w:tcW w:type="dxa" w:w="494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Классификация ведомственная:</w:t>
            </w:r>
          </w:p>
        </w:tc>
        <w:tc>
          <w:tcPr>
            <w:tcW w:type="dxa" w:w="812"/>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1679"/>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r>
      <w:tr>
        <w:tc>
          <w:tcPr>
            <w:tcW w:type="dxa" w:w="494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Классификация функциональная:</w:t>
            </w:r>
          </w:p>
        </w:tc>
        <w:tc>
          <w:tcPr>
            <w:tcW w:type="dxa" w:w="812"/>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1679"/>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67"/>
        <w:gridCol w:w="800"/>
        <w:gridCol w:w="997"/>
        <w:gridCol w:w="1653"/>
        <w:gridCol w:w="1861"/>
      </w:tblGrid>
      <w:tr>
        <w:tc>
          <w:tcPr>
            <w:tcW w:type="dxa" w:w="486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4111. Чистые активы</w:t>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6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41111. Финансовый результат</w:t>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отчетного периода</w:t>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расходы за период</w:t>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доходы за период</w:t>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отчетного периода (010-020+030)</w:t>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86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41112. Резервы</w:t>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отчетного периода</w:t>
            </w:r>
          </w:p>
        </w:tc>
        <w:tc>
          <w:tcPr>
            <w:tcW w:type="dxa" w:w="8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050</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Увеличение резерва переоценки</w:t>
            </w:r>
          </w:p>
        </w:tc>
        <w:tc>
          <w:tcPr>
            <w:tcW w:type="dxa" w:w="8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Уменьшение резерва переоценки</w:t>
            </w:r>
          </w:p>
        </w:tc>
        <w:tc>
          <w:tcPr>
            <w:tcW w:type="dxa" w:w="8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070</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отчетного периода (050-060+070)</w:t>
            </w:r>
          </w:p>
        </w:tc>
        <w:tc>
          <w:tcPr>
            <w:tcW w:type="dxa" w:w="8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080</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86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41113. Капитал, внесенный другими субъектами госсектора</w:t>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отчетного периода</w:t>
            </w:r>
          </w:p>
        </w:tc>
        <w:tc>
          <w:tcPr>
            <w:tcW w:type="dxa" w:w="8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090</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Полученное финансирование из государственного бюджета</w:t>
            </w:r>
          </w:p>
        </w:tc>
        <w:tc>
          <w:tcPr>
            <w:tcW w:type="dxa" w:w="8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полученного из государственного бюджета финансирования доходами</w:t>
            </w:r>
          </w:p>
        </w:tc>
        <w:tc>
          <w:tcPr>
            <w:tcW w:type="dxa" w:w="8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Возврат финансирования в государственный бюджет</w:t>
            </w:r>
          </w:p>
        </w:tc>
        <w:tc>
          <w:tcPr>
            <w:tcW w:type="dxa" w:w="8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конец отчетного периода (090+100-110-120)</w:t>
            </w:r>
          </w:p>
        </w:tc>
        <w:tc>
          <w:tcPr>
            <w:tcW w:type="dxa" w:w="8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активы на начало отчетного периода (010+050+090)</w:t>
            </w:r>
          </w:p>
        </w:tc>
        <w:tc>
          <w:tcPr>
            <w:tcW w:type="dxa" w:w="8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активы на конец отчетного периода (040+080+130)</w:t>
            </w:r>
          </w:p>
        </w:tc>
        <w:tc>
          <w:tcPr>
            <w:tcW w:type="dxa" w:w="8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9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43"/>
        <w:gridCol w:w="816"/>
        <w:gridCol w:w="847"/>
        <w:gridCol w:w="1678"/>
        <w:gridCol w:w="1894"/>
      </w:tblGrid>
      <w:tr>
        <w:tc>
          <w:tcPr>
            <w:tcW w:type="dxa" w:w="494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Руководитель</w:t>
            </w:r>
          </w:p>
        </w:tc>
        <w:tc>
          <w:tcPr>
            <w:tcW w:type="dxa" w:w="8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78"/>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89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494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лавный бухгалтер</w:t>
            </w:r>
          </w:p>
        </w:tc>
        <w:tc>
          <w:tcPr>
            <w:tcW w:type="dxa" w:w="8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78"/>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89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494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Дата</w:t>
            </w:r>
          </w:p>
        </w:tc>
        <w:tc>
          <w:tcPr>
            <w:tcW w:type="dxa" w:w="81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67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89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4. Пояснительная записка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4. </w:t>
      </w:r>
      <w:r>
        <w:rPr>
          <w:rFonts w:ascii="Arial" w:cs="Arial" w:eastAsia="Arial" w:hAnsi="Arial"/>
          <w:sz w:val="24"/>
          <w:szCs w:val="24"/>
        </w:rPr>
        <w:t xml:space="preserve">Приложения к пояснительной записке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к пояснительной записке: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Сведения</w:t>
            </w:r>
          </w:p>
          <w:p>
            <w:pPr>
              <w:jc w:val="left"/>
            </w:pPr>
            <w:r>
              <w:rPr>
                <w:rFonts w:ascii="Arial" w:cs="Arial" w:eastAsia="Arial" w:hAnsi="Arial"/>
                <w:sz w:val="24"/>
                <w:szCs w:val="24"/>
              </w:rPr>
              <w:t xml:space="preserve">о количестве подведомственных учреждений.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к пояснительной записке: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Сведения</w:t>
            </w:r>
          </w:p>
          <w:p>
            <w:pPr>
              <w:jc w:val="left"/>
            </w:pPr>
            <w:r>
              <w:rPr>
                <w:rFonts w:ascii="Arial" w:cs="Arial" w:eastAsia="Arial" w:hAnsi="Arial"/>
                <w:sz w:val="24"/>
                <w:szCs w:val="24"/>
              </w:rPr>
              <w:t xml:space="preserve">о проведении инвентаризации.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к пояснительной записке: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 о запасах</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0"/>
        <w:gridCol w:w="1042"/>
        <w:gridCol w:w="584"/>
        <w:gridCol w:w="843"/>
        <w:gridCol w:w="877"/>
        <w:gridCol w:w="584"/>
        <w:gridCol w:w="584"/>
        <w:gridCol w:w="843"/>
        <w:gridCol w:w="877"/>
        <w:gridCol w:w="584"/>
        <w:gridCol w:w="584"/>
        <w:gridCol w:w="843"/>
        <w:gridCol w:w="877"/>
        <w:gridCol w:w="584"/>
      </w:tblGrid>
      <w:tr>
        <w:tc>
          <w:tcPr>
            <w:tcW w:type="dxa" w:w="4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r>
        <w:tc>
          <w:tcPr>
            <w:tcW w:type="dxa" w:w="4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31221 110</w:t>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Продукты питания</w:t>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31221 120</w:t>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Медикаменты и перевязочные материалы</w:t>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31221 130</w:t>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w:t>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31221 140</w:t>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Запасные части</w:t>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31221 150</w:t>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материалы и канцелярские товары</w:t>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31221 160</w:t>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Тара</w:t>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31221 170</w:t>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материалы</w:t>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31221 190</w:t>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сырье и материалы</w:t>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1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95"/>
        <w:gridCol w:w="1495"/>
        <w:gridCol w:w="2485"/>
        <w:gridCol w:w="2259"/>
        <w:gridCol w:w="2445"/>
      </w:tblGrid>
      <w:tr>
        <w:tc>
          <w:tcPr>
            <w:tcW w:type="dxa" w:w="299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Руководитель</w:t>
            </w:r>
          </w:p>
        </w:tc>
        <w:tc>
          <w:tcPr>
            <w:tcW w:type="dxa" w:w="24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25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44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299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Главный бухгалтер</w:t>
            </w:r>
          </w:p>
        </w:tc>
        <w:tc>
          <w:tcPr>
            <w:tcW w:type="dxa" w:w="24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25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44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149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Дата</w:t>
            </w:r>
          </w:p>
        </w:tc>
        <w:tc>
          <w:tcPr>
            <w:tcW w:type="dxa" w:w="149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4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25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44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4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4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4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к пояснительной записке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Сведения</w:t>
            </w:r>
          </w:p>
          <w:p>
            <w:pPr>
              <w:jc w:val="left"/>
            </w:pPr>
            <w:r>
              <w:rPr>
                <w:rFonts w:ascii="Arial" w:cs="Arial" w:eastAsia="Arial" w:hAnsi="Arial"/>
                <w:sz w:val="24"/>
                <w:szCs w:val="24"/>
              </w:rPr>
              <w:t xml:space="preserve">о движении денежных средств на счетах в системе Казначейства Кыргызской Республики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Справочная информация: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Примечание: Сведения должны быть сверены и заверены региональными отделениями казначейства. Обороты по депозитным и учетным счетам показываются в развернутом виде (в разрезе поступления и расходования денежных средств). При консолидации баланса районов и городов сумма финансирования из местных бюджетов исключается.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4.1</w:t>
      </w:r>
    </w:p>
    <w:p>
      <w:pPr>
        <w:spacing w:after="120"/>
        <w:jc w:val="both"/>
      </w:pPr>
      <w:r>
        <w:rPr>
          <w:rFonts w:ascii="Arial" w:cs="Arial" w:eastAsia="Arial" w:hAnsi="Arial"/>
          <w:sz w:val="24"/>
          <w:szCs w:val="24"/>
        </w:rPr>
        <w:t xml:space="preserve">к пояснительной записке: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w:t>
      </w:r>
    </w:p>
    <w:p>
      <w:pPr>
        <w:spacing w:after="120"/>
        <w:jc w:val="both"/>
      </w:pPr>
      <w:r>
        <w:rPr>
          <w:rFonts w:ascii="Arial" w:cs="Arial" w:eastAsia="Arial" w:hAnsi="Arial"/>
          <w:sz w:val="24"/>
          <w:szCs w:val="24"/>
        </w:rPr>
        <w:t xml:space="preserve">о восстановленных кассовых расходах</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1"/>
        <w:gridCol w:w="831"/>
        <w:gridCol w:w="938"/>
        <w:gridCol w:w="938"/>
        <w:gridCol w:w="938"/>
        <w:gridCol w:w="1016"/>
        <w:gridCol w:w="1016"/>
        <w:gridCol w:w="1016"/>
        <w:gridCol w:w="885"/>
        <w:gridCol w:w="885"/>
        <w:gridCol w:w="885"/>
      </w:tblGrid>
      <w:tr>
        <w:tc>
          <w:tcPr>
            <w:tcW w:type="dxa" w:w="1662"/>
            <w:gridSpan w:val="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Элемент</w:t>
            </w:r>
          </w:p>
        </w:tc>
        <w:tc>
          <w:tcPr>
            <w:tcW w:type="dxa" w:w="2814"/>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3048"/>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Бюджетные средства</w:t>
            </w:r>
          </w:p>
        </w:tc>
        <w:tc>
          <w:tcPr>
            <w:tcW w:type="dxa" w:w="2655"/>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средства</w:t>
            </w:r>
          </w:p>
        </w:tc>
      </w:tr>
      <w:tr>
        <w:tc>
          <w:tcPr>
            <w:tcW w:type="dxa" w:w="8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Код</w:t>
            </w:r>
          </w:p>
        </w:tc>
        <w:tc>
          <w:tcPr>
            <w:tcW w:type="dxa" w:w="8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w:t>
            </w:r>
          </w:p>
        </w:tc>
        <w:tc>
          <w:tcPr>
            <w:tcW w:type="dxa" w:w="9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Поступление</w:t>
            </w:r>
          </w:p>
        </w:tc>
        <w:tc>
          <w:tcPr>
            <w:tcW w:type="dxa" w:w="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Расходование</w:t>
            </w:r>
          </w:p>
        </w:tc>
        <w:tc>
          <w:tcPr>
            <w:tcW w:type="dxa" w:w="9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Остаток</w:t>
            </w:r>
          </w:p>
        </w:tc>
        <w:tc>
          <w:tcPr>
            <w:tcW w:type="dxa" w:w="10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Поступление</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Расходование</w:t>
            </w:r>
          </w:p>
        </w:tc>
        <w:tc>
          <w:tcPr>
            <w:tcW w:type="dxa" w:w="10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Остаток</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Поступление</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Расходование</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Остаток</w:t>
            </w:r>
          </w:p>
        </w:tc>
      </w:tr>
      <w:tr>
        <w:tc>
          <w:tcPr>
            <w:tcW w:type="dxa" w:w="8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8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0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r>
      <w:tr>
        <w:tc>
          <w:tcPr>
            <w:tcW w:type="dxa" w:w="8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662"/>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Всего</w:t>
            </w:r>
          </w:p>
        </w:tc>
        <w:tc>
          <w:tcPr>
            <w:tcW w:type="dxa" w:w="9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Сведения должны быть сверены и заверены региональными отделениями казначейства.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40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Руководитель</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40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Главный бухгалтер</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Дата</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4.2</w:t>
      </w:r>
    </w:p>
    <w:p>
      <w:pPr>
        <w:spacing w:after="120"/>
        <w:jc w:val="both"/>
      </w:pPr>
      <w:r>
        <w:rPr>
          <w:rFonts w:ascii="Arial" w:cs="Arial" w:eastAsia="Arial" w:hAnsi="Arial"/>
          <w:sz w:val="24"/>
          <w:szCs w:val="24"/>
        </w:rPr>
        <w:t xml:space="preserve">к пояснительной записке: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Сведения</w:t>
            </w:r>
          </w:p>
          <w:p>
            <w:pPr>
              <w:jc w:val="left"/>
            </w:pPr>
            <w:r>
              <w:rPr>
                <w:rFonts w:ascii="Arial" w:cs="Arial" w:eastAsia="Arial" w:hAnsi="Arial"/>
                <w:sz w:val="24"/>
                <w:szCs w:val="24"/>
              </w:rPr>
              <w:t xml:space="preserve">об остатках наличных денежных средств в кассе учреждений.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к пояснительной записке: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Сведения</w:t>
            </w:r>
          </w:p>
          <w:p>
            <w:pPr>
              <w:jc w:val="left"/>
            </w:pPr>
            <w:r>
              <w:rPr>
                <w:rFonts w:ascii="Arial" w:cs="Arial" w:eastAsia="Arial" w:hAnsi="Arial"/>
                <w:sz w:val="24"/>
                <w:szCs w:val="24"/>
              </w:rPr>
              <w:t xml:space="preserve">о недостачах и хищениях денежных средств и материальных ценностей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к пояснительной записке: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Сведения</w:t>
            </w:r>
          </w:p>
          <w:p>
            <w:pPr>
              <w:jc w:val="left"/>
            </w:pPr>
            <w:r>
              <w:rPr>
                <w:rFonts w:ascii="Arial" w:cs="Arial" w:eastAsia="Arial" w:hAnsi="Arial"/>
                <w:sz w:val="24"/>
                <w:szCs w:val="24"/>
              </w:rPr>
              <w:t xml:space="preserve">по дебиторской и кредиторской задолженности.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Вид задолженности __________________________________________________________</w:t>
            </w:r>
          </w:p>
          <w:p>
            <w:pPr>
              <w:jc w:val="left"/>
            </w:pPr>
            <w:r>
              <w:rPr>
                <w:rFonts w:ascii="Arial" w:cs="Arial" w:eastAsia="Arial" w:hAnsi="Arial"/>
                <w:sz w:val="24"/>
                <w:szCs w:val="24"/>
              </w:rPr>
              <w:t xml:space="preserve"> (дебиторская, кредиторская)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6.1</w:t>
      </w:r>
    </w:p>
    <w:p>
      <w:pPr>
        <w:spacing w:after="120"/>
        <w:jc w:val="both"/>
      </w:pPr>
      <w:r>
        <w:rPr>
          <w:rFonts w:ascii="Arial" w:cs="Arial" w:eastAsia="Arial" w:hAnsi="Arial"/>
          <w:sz w:val="24"/>
          <w:szCs w:val="24"/>
        </w:rPr>
        <w:t xml:space="preserve">к пояснительной записке: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Сведения</w:t>
            </w:r>
          </w:p>
          <w:p>
            <w:pPr>
              <w:jc w:val="left"/>
            </w:pPr>
            <w:r>
              <w:rPr>
                <w:rFonts w:ascii="Arial" w:cs="Arial" w:eastAsia="Arial" w:hAnsi="Arial"/>
                <w:sz w:val="24"/>
                <w:szCs w:val="24"/>
              </w:rPr>
              <w:t xml:space="preserve">о дебиторской и кредиторской задолженности служащих.</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к пояснительной записке: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Справка</w:t>
            </w:r>
          </w:p>
          <w:p>
            <w:pPr>
              <w:jc w:val="left"/>
            </w:pPr>
            <w:r>
              <w:rPr>
                <w:rFonts w:ascii="Arial" w:cs="Arial" w:eastAsia="Arial" w:hAnsi="Arial"/>
                <w:sz w:val="24"/>
                <w:szCs w:val="24"/>
              </w:rPr>
              <w:t xml:space="preserve">по закрытию счетов по завершению отчетного периода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8.1</w:t>
      </w:r>
    </w:p>
    <w:p>
      <w:pPr>
        <w:spacing w:after="120"/>
        <w:jc w:val="both"/>
      </w:pPr>
      <w:r>
        <w:rPr>
          <w:rFonts w:ascii="Arial" w:cs="Arial" w:eastAsia="Arial" w:hAnsi="Arial"/>
          <w:sz w:val="24"/>
          <w:szCs w:val="24"/>
        </w:rPr>
        <w:t xml:space="preserve">к пояснительной записке: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w:t>
      </w:r>
    </w:p>
    <w:p>
      <w:pPr>
        <w:spacing w:after="120"/>
        <w:jc w:val="both"/>
      </w:pPr>
      <w:r>
        <w:rPr>
          <w:rFonts w:ascii="Arial" w:cs="Arial" w:eastAsia="Arial" w:hAnsi="Arial"/>
          <w:sz w:val="24"/>
          <w:szCs w:val="24"/>
        </w:rPr>
        <w:t xml:space="preserve">о полученных и переданных активах и обязательствах другой единице сектора государственного управления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71"/>
        <w:gridCol w:w="1371"/>
        <w:gridCol w:w="1371"/>
        <w:gridCol w:w="1371"/>
        <w:gridCol w:w="891"/>
        <w:gridCol w:w="891"/>
        <w:gridCol w:w="728"/>
        <w:gridCol w:w="728"/>
        <w:gridCol w:w="728"/>
        <w:gridCol w:w="728"/>
      </w:tblGrid>
      <w:tr>
        <w:tc>
          <w:tcPr>
            <w:tcW w:type="dxa" w:w="2742"/>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Получатель средств</w:t>
            </w:r>
          </w:p>
        </w:tc>
        <w:tc>
          <w:tcPr>
            <w:tcW w:type="dxa" w:w="2742"/>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Контрагент</w:t>
            </w:r>
          </w:p>
        </w:tc>
        <w:tc>
          <w:tcPr>
            <w:tcW w:type="dxa" w:w="1782"/>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Элемент</w:t>
            </w:r>
          </w:p>
        </w:tc>
        <w:tc>
          <w:tcPr>
            <w:tcW w:type="dxa" w:w="1456"/>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Бюджетные</w:t>
            </w:r>
          </w:p>
          <w:p>
            <w:pPr>
              <w:jc w:val="left"/>
            </w:pPr>
            <w:r>
              <w:rPr>
                <w:rFonts w:ascii="Arial" w:cs="Arial" w:eastAsia="Arial" w:hAnsi="Arial"/>
                <w:sz w:val="24"/>
                <w:szCs w:val="24"/>
              </w:rPr>
              <w:t xml:space="preserve">средства</w:t>
            </w:r>
          </w:p>
        </w:tc>
        <w:tc>
          <w:tcPr>
            <w:tcW w:type="dxa" w:w="1456"/>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Специальные</w:t>
            </w:r>
          </w:p>
          <w:p>
            <w:pPr>
              <w:jc w:val="left"/>
            </w:pPr>
            <w:r>
              <w:rPr>
                <w:rFonts w:ascii="Arial" w:cs="Arial" w:eastAsia="Arial" w:hAnsi="Arial"/>
                <w:sz w:val="24"/>
                <w:szCs w:val="24"/>
              </w:rPr>
              <w:t xml:space="preserve">средства</w:t>
            </w:r>
          </w:p>
        </w:tc>
      </w:tr>
      <w:tr>
        <w:tc>
          <w:tcPr>
            <w:tcW w:type="dxa" w:w="1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Классификация</w:t>
            </w:r>
          </w:p>
          <w:p>
            <w:pPr>
              <w:jc w:val="left"/>
            </w:pPr>
            <w:r>
              <w:rPr>
                <w:rFonts w:ascii="Arial" w:cs="Arial" w:eastAsia="Arial" w:hAnsi="Arial"/>
                <w:sz w:val="24"/>
                <w:szCs w:val="24"/>
              </w:rPr>
              <w:t xml:space="preserve">ведомственная</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Классификация</w:t>
            </w:r>
          </w:p>
          <w:p>
            <w:pPr>
              <w:jc w:val="left"/>
            </w:pPr>
            <w:r>
              <w:rPr>
                <w:rFonts w:ascii="Arial" w:cs="Arial" w:eastAsia="Arial" w:hAnsi="Arial"/>
                <w:sz w:val="24"/>
                <w:szCs w:val="24"/>
              </w:rPr>
              <w:t xml:space="preserve">ведомственная</w:t>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w:t>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w:t>
            </w:r>
          </w:p>
          <w:p>
            <w:pPr>
              <w:jc w:val="left"/>
            </w:pPr>
            <w:r>
              <w:rPr>
                <w:rFonts w:ascii="Arial" w:cs="Arial" w:eastAsia="Arial" w:hAnsi="Arial"/>
                <w:sz w:val="24"/>
                <w:szCs w:val="24"/>
              </w:rPr>
              <w:t xml:space="preserve">дебету</w:t>
            </w:r>
          </w:p>
        </w:tc>
        <w:tc>
          <w:tcPr>
            <w:tcW w:type="dxa" w:w="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w:t>
            </w:r>
          </w:p>
          <w:p>
            <w:pPr>
              <w:jc w:val="left"/>
            </w:pPr>
            <w:r>
              <w:rPr>
                <w:rFonts w:ascii="Arial" w:cs="Arial" w:eastAsia="Arial" w:hAnsi="Arial"/>
                <w:sz w:val="24"/>
                <w:szCs w:val="24"/>
              </w:rPr>
              <w:t xml:space="preserve">кредиту</w:t>
            </w:r>
          </w:p>
        </w:tc>
        <w:tc>
          <w:tcPr>
            <w:tcW w:type="dxa" w:w="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w:t>
            </w:r>
          </w:p>
          <w:p>
            <w:pPr>
              <w:jc w:val="left"/>
            </w:pPr>
            <w:r>
              <w:rPr>
                <w:rFonts w:ascii="Arial" w:cs="Arial" w:eastAsia="Arial" w:hAnsi="Arial"/>
                <w:sz w:val="24"/>
                <w:szCs w:val="24"/>
              </w:rPr>
              <w:t xml:space="preserve">дебету</w:t>
            </w:r>
          </w:p>
        </w:tc>
        <w:tc>
          <w:tcPr>
            <w:tcW w:type="dxa" w:w="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w:t>
            </w:r>
          </w:p>
          <w:p>
            <w:pPr>
              <w:jc w:val="left"/>
            </w:pPr>
            <w:r>
              <w:rPr>
                <w:rFonts w:ascii="Arial" w:cs="Arial" w:eastAsia="Arial" w:hAnsi="Arial"/>
                <w:sz w:val="24"/>
                <w:szCs w:val="24"/>
              </w:rPr>
              <w:t xml:space="preserve">кредиту</w:t>
            </w:r>
          </w:p>
        </w:tc>
      </w:tr>
      <w:tr>
        <w:tc>
          <w:tcPr>
            <w:tcW w:type="dxa" w:w="137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w:t>
            </w:r>
          </w:p>
        </w:tc>
        <w:tc>
          <w:tcPr>
            <w:tcW w:type="dxa" w:w="13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w:t>
            </w:r>
          </w:p>
        </w:tc>
        <w:tc>
          <w:tcPr>
            <w:tcW w:type="dxa" w:w="13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w:t>
            </w:r>
          </w:p>
        </w:tc>
        <w:tc>
          <w:tcPr>
            <w:tcW w:type="dxa" w:w="13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w:t>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w:t>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w:t>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w:t>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w:t>
            </w:r>
          </w:p>
        </w:tc>
      </w:tr>
      <w:tr>
        <w:tc>
          <w:tcPr>
            <w:tcW w:type="dxa" w:w="1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2742"/>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Итого по элементу</w:t>
            </w:r>
          </w:p>
        </w:tc>
        <w:tc>
          <w:tcPr>
            <w:tcW w:type="dxa" w:w="13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х</w:t>
            </w:r>
          </w:p>
        </w:tc>
        <w:tc>
          <w:tcPr>
            <w:tcW w:type="dxa" w:w="13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х</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37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Всего</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х</w:t>
            </w:r>
          </w:p>
        </w:tc>
        <w:tc>
          <w:tcPr>
            <w:tcW w:type="dxa" w:w="13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х</w:t>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2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71"/>
        <w:gridCol w:w="2036"/>
        <w:gridCol w:w="2036"/>
        <w:gridCol w:w="2036"/>
      </w:tblGrid>
      <w:tr>
        <w:tc>
          <w:tcPr>
            <w:tcW w:type="dxa" w:w="407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Руководитель</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407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Главный бухгалтер</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407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Дата</w:t>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Переданные и полученные основные фонды показываются по первоначальной стоимости, также отдельной строкой показывается накопленная амортизация по соответствующему коду.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8.2.</w:t>
      </w:r>
    </w:p>
    <w:p>
      <w:pPr>
        <w:spacing w:after="120"/>
        <w:jc w:val="both"/>
      </w:pPr>
      <w:r>
        <w:rPr>
          <w:rFonts w:ascii="Arial" w:cs="Arial" w:eastAsia="Arial" w:hAnsi="Arial"/>
          <w:sz w:val="24"/>
          <w:szCs w:val="24"/>
        </w:rPr>
        <w:t xml:space="preserve">к пояснительной записке: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Справка о безвозмездно полученных и переданных активах и обязательствах внебюджетной организации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Примечание: Переданные и полученные основные фонды показываются по первоначальной стоимости, также отдельной строкой показывается накопленная амортизация по соответствующему коду.</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9</w:t>
      </w:r>
    </w:p>
    <w:p>
      <w:pPr>
        <w:spacing w:after="120"/>
        <w:jc w:val="both"/>
      </w:pPr>
      <w:r>
        <w:rPr>
          <w:rFonts w:ascii="Arial" w:cs="Arial" w:eastAsia="Arial" w:hAnsi="Arial"/>
          <w:sz w:val="24"/>
          <w:szCs w:val="24"/>
        </w:rPr>
        <w:t xml:space="preserve">к пояснительной записке: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Сведения</w:t>
            </w:r>
          </w:p>
          <w:p>
            <w:pPr>
              <w:jc w:val="left"/>
            </w:pPr>
            <w:r>
              <w:rPr>
                <w:rFonts w:ascii="Arial" w:cs="Arial" w:eastAsia="Arial" w:hAnsi="Arial"/>
                <w:sz w:val="24"/>
                <w:szCs w:val="24"/>
              </w:rPr>
              <w:t xml:space="preserve">об открытых кредитах из республиканского бюджета по ведомственной классификации</w:t>
            </w:r>
          </w:p>
          <w:p>
            <w:pPr>
              <w:jc w:val="left"/>
            </w:pPr>
            <w:r>
              <w:rPr>
                <w:rFonts w:ascii="Arial" w:cs="Arial" w:eastAsia="Arial" w:hAnsi="Arial"/>
                <w:sz w:val="24"/>
                <w:szCs w:val="24"/>
              </w:rPr>
              <w:t xml:space="preserve">на _____________________ 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10</w:t>
      </w:r>
    </w:p>
    <w:p>
      <w:pPr>
        <w:spacing w:after="120"/>
        <w:jc w:val="both"/>
      </w:pPr>
      <w:r>
        <w:rPr>
          <w:rFonts w:ascii="Arial" w:cs="Arial" w:eastAsia="Arial" w:hAnsi="Arial"/>
          <w:sz w:val="24"/>
          <w:szCs w:val="24"/>
        </w:rPr>
        <w:t xml:space="preserve">к пояснительной записке: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Справка</w:t>
            </w:r>
          </w:p>
          <w:p>
            <w:pPr>
              <w:jc w:val="left"/>
            </w:pPr>
            <w:r>
              <w:rPr>
                <w:rFonts w:ascii="Arial" w:cs="Arial" w:eastAsia="Arial" w:hAnsi="Arial"/>
                <w:sz w:val="24"/>
                <w:szCs w:val="24"/>
              </w:rPr>
              <w:t xml:space="preserve">о прямых расходных операциях, произведенных Центральным казначейством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Порядок составления, предоставления и консолидации бухгалтерской отчетности в секторе государственного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592. Бюджетные учреждения, территориальные отделы (далее по тексту - финансовые органы) Министерства финансов Кыргызской Республики составляют квартальную и годовую бухгалтерскую отчетность по формам согласно приложениям к настоящему Положению.</w:t>
      </w:r>
    </w:p>
    <w:p>
      <w:pPr>
        <w:spacing w:after="120"/>
        <w:jc w:val="both"/>
      </w:pPr>
      <w:r>
        <w:rPr>
          <w:rFonts w:ascii="Arial" w:cs="Arial" w:eastAsia="Arial" w:hAnsi="Arial"/>
          <w:sz w:val="24"/>
          <w:szCs w:val="24"/>
        </w:rPr>
        <w:t xml:space="preserve">593. Бюджетные учреждения, финансовые органы составляют бухгалтерскую отчетность на 30 июня, 30 сентября и 31 декабря нарастающим итогом с начала года, в сомах.</w:t>
      </w:r>
    </w:p>
    <w:p>
      <w:pPr>
        <w:spacing w:after="120"/>
        <w:jc w:val="both"/>
      </w:pPr>
      <w:r>
        <w:rPr>
          <w:rFonts w:ascii="Arial" w:cs="Arial" w:eastAsia="Arial" w:hAnsi="Arial"/>
          <w:sz w:val="24"/>
          <w:szCs w:val="24"/>
        </w:rPr>
        <w:t xml:space="preserve">594. Данные в отчетах (квартальных, годовых) представляются с учетом всех операций и событий, относящихся к отчетному периоду (кварталу, году), в том числе с учетом последующих корректирующих событий, если такие корректировки не противоречат правилам подготовки отчетности по исполнению бюджетов.</w:t>
      </w:r>
    </w:p>
    <w:p>
      <w:pPr>
        <w:spacing w:after="120"/>
        <w:jc w:val="both"/>
      </w:pPr>
      <w:r>
        <w:rPr>
          <w:rFonts w:ascii="Arial" w:cs="Arial" w:eastAsia="Arial" w:hAnsi="Arial"/>
          <w:sz w:val="24"/>
          <w:szCs w:val="24"/>
        </w:rPr>
        <w:t xml:space="preserve">595. Отчетным годом является календарный год с 1 января по 31 декабря включительно. Первым отчетным годом для вновь созданных бюджетных учреждений является период с даты их регистрации в порядке установленном законодательством Кыргызской Республики, по 31 декабря года их создания.</w:t>
      </w:r>
    </w:p>
    <w:p>
      <w:pPr>
        <w:spacing w:after="120"/>
        <w:jc w:val="both"/>
      </w:pPr>
      <w:r>
        <w:rPr>
          <w:rFonts w:ascii="Arial" w:cs="Arial" w:eastAsia="Arial" w:hAnsi="Arial"/>
          <w:sz w:val="24"/>
          <w:szCs w:val="24"/>
        </w:rPr>
        <w:t xml:space="preserve">596. Бюджетные учреждения, финансирование которых передано с одного уровня бюджета на другой, или переданные из одного подчинения в другое составляют бухгалтерскую отчетность на дату передачи или ликвидации в объеме форм годовой бухгалтерской отчетности и представляют ее своему министерству или ведомству как по прежней, так и по новой подчиненности, и органам, ответственным за исполнение соответствующих бюджетов. Финансирование расходов по переданным учреждениям отражается по новой подчиненности полностью с начала года. При этом уточняются соответствующие бюджетные ассигнования.</w:t>
      </w:r>
    </w:p>
    <w:p>
      <w:pPr>
        <w:spacing w:after="120"/>
        <w:jc w:val="both"/>
      </w:pPr>
      <w:r>
        <w:rPr>
          <w:rFonts w:ascii="Arial" w:cs="Arial" w:eastAsia="Arial" w:hAnsi="Arial"/>
          <w:sz w:val="24"/>
          <w:szCs w:val="24"/>
        </w:rPr>
        <w:t xml:space="preserve">597. При реорганизации (слиянии, присоединении, разделении, выделении, преобразовании) учреждений в состав передаточного акта или разделительного баланса включается бухгалтерская отчетность, составляемая в объеме годовой бухгалтерской отчетности, на последнюю отчетную дату и представляется как по прежней, так и по новой подчиненности и в органы, ответственные за исполнение соответствующих бюджетов. К годовой бухгалтерской отчетности должны быть приложены акты инвентаризации имущества и обязательств, подтверждающие достоверность отдельных статей балансов.</w:t>
      </w:r>
    </w:p>
    <w:p>
      <w:pPr>
        <w:spacing w:after="120"/>
        <w:jc w:val="both"/>
      </w:pPr>
      <w:r>
        <w:rPr>
          <w:rFonts w:ascii="Arial" w:cs="Arial" w:eastAsia="Arial" w:hAnsi="Arial"/>
          <w:sz w:val="24"/>
          <w:szCs w:val="24"/>
        </w:rPr>
        <w:t xml:space="preserve">598. Министерства и ведомства, состоящие на республиканском бюджете, на основании представленной бюджетными учреждениями бухгалтерской отчетности составляют консолидированную бухгалтерскую отчетность, и представляет ее в Министерство финансов Кыргызской Республики в установленные сроки.</w:t>
      </w:r>
    </w:p>
    <w:p>
      <w:pPr>
        <w:spacing w:after="120"/>
        <w:jc w:val="both"/>
      </w:pPr>
      <w:r>
        <w:rPr>
          <w:rFonts w:ascii="Arial" w:cs="Arial" w:eastAsia="Arial" w:hAnsi="Arial"/>
          <w:sz w:val="24"/>
          <w:szCs w:val="24"/>
        </w:rPr>
        <w:t xml:space="preserve">599. Финансовые органы на основании представленной бюджетными учреждениями, состоящими на местных бюджетах, бухгалтерской отчетности составляют консолидированную бухгалтерскую отчетность и представляют ее Министерство финансов Кыргызской Республики в установленные сроки.</w:t>
      </w:r>
    </w:p>
    <w:p>
      <w:pPr>
        <w:spacing w:after="120"/>
        <w:jc w:val="both"/>
      </w:pPr>
      <w:r>
        <w:rPr>
          <w:rFonts w:ascii="Arial" w:cs="Arial" w:eastAsia="Arial" w:hAnsi="Arial"/>
          <w:sz w:val="24"/>
          <w:szCs w:val="24"/>
        </w:rPr>
        <w:t xml:space="preserve">600. Бюджетное учреждение представляет бухгалтерскую отчетность своему вышестоящему министерству или ведомству в установленные им сроки.</w:t>
      </w:r>
    </w:p>
    <w:p>
      <w:pPr>
        <w:spacing w:after="120"/>
        <w:jc w:val="both"/>
      </w:pPr>
      <w:r>
        <w:rPr>
          <w:rFonts w:ascii="Arial" w:cs="Arial" w:eastAsia="Arial" w:hAnsi="Arial"/>
          <w:sz w:val="24"/>
          <w:szCs w:val="24"/>
        </w:rPr>
        <w:t xml:space="preserve">601. Бухгалтерская отчетность представляется на бумажных носителях и в виде электронного документа, с представлением на электронных носителях или путем передачи по телекоммуникационным каналам связи, с обязательным обеспечением защиты информации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602. Дополнительные формы бухгалтерской отчетности для их представления в составе квартальной, годовой бухгалтерской отчетности могут быть установлены:</w:t>
      </w:r>
    </w:p>
    <w:p>
      <w:pPr>
        <w:spacing w:after="120"/>
        <w:jc w:val="both"/>
      </w:pPr>
      <w:r>
        <w:rPr>
          <w:rFonts w:ascii="Arial" w:cs="Arial" w:eastAsia="Arial" w:hAnsi="Arial"/>
          <w:sz w:val="24"/>
          <w:szCs w:val="24"/>
        </w:rPr>
        <w:t xml:space="preserve"> - Министерством финансов - министерств и ведомств, для структурных и территориальных подразделений Министерства финансов Кыргызской Республики;</w:t>
      </w:r>
    </w:p>
    <w:p>
      <w:pPr>
        <w:spacing w:after="120"/>
        <w:jc w:val="both"/>
      </w:pPr>
      <w:r>
        <w:rPr>
          <w:rFonts w:ascii="Arial" w:cs="Arial" w:eastAsia="Arial" w:hAnsi="Arial"/>
          <w:sz w:val="24"/>
          <w:szCs w:val="24"/>
        </w:rPr>
        <w:t xml:space="preserve"> - министерствами и ведомствами - для подведомственных им распорядителей, получателей бюджетных средств;</w:t>
      </w:r>
    </w:p>
    <w:p>
      <w:pPr>
        <w:spacing w:after="120"/>
        <w:jc w:val="both"/>
      </w:pPr>
      <w:r>
        <w:rPr>
          <w:rFonts w:ascii="Arial" w:cs="Arial" w:eastAsia="Arial" w:hAnsi="Arial"/>
          <w:sz w:val="24"/>
          <w:szCs w:val="24"/>
        </w:rPr>
        <w:t xml:space="preserve"> - территориальными финансовыми органами - для бюджетных учреждений, состоящих на местных бюджетах.</w:t>
      </w:r>
    </w:p>
    <w:p>
      <w:pPr>
        <w:spacing w:after="120"/>
        <w:jc w:val="both"/>
      </w:pPr>
      <w:r>
        <w:rPr>
          <w:rFonts w:ascii="Arial" w:cs="Arial" w:eastAsia="Arial" w:hAnsi="Arial"/>
          <w:sz w:val="24"/>
          <w:szCs w:val="24"/>
        </w:rPr>
        <w:t xml:space="preserve">603. Бухгалтерская отчетность подписывается:</w:t>
      </w:r>
    </w:p>
    <w:p>
      <w:pPr>
        <w:spacing w:after="120"/>
        <w:jc w:val="both"/>
      </w:pPr>
      <w:r>
        <w:rPr>
          <w:rFonts w:ascii="Arial" w:cs="Arial" w:eastAsia="Arial" w:hAnsi="Arial"/>
          <w:sz w:val="24"/>
          <w:szCs w:val="24"/>
        </w:rPr>
        <w:t xml:space="preserve">- руководителем и главным бухгалтером (бухгалтером) министерств и ведомств, бюджетных учреждений, при наличии в штате финансово-экономических служб - руководителями этих служб;</w:t>
      </w:r>
    </w:p>
    <w:p>
      <w:pPr>
        <w:spacing w:after="120"/>
        <w:jc w:val="both"/>
      </w:pPr>
      <w:r>
        <w:rPr>
          <w:rFonts w:ascii="Arial" w:cs="Arial" w:eastAsia="Arial" w:hAnsi="Arial"/>
          <w:sz w:val="24"/>
          <w:szCs w:val="24"/>
        </w:rPr>
        <w:t xml:space="preserve">- руководителем и исполнителем финансовых органов, структурного подразделения Министерства финансов Кыргызской Республики.</w:t>
      </w:r>
    </w:p>
    <w:p>
      <w:pPr>
        <w:spacing w:after="120"/>
        <w:jc w:val="both"/>
      </w:pPr>
      <w:r>
        <w:rPr>
          <w:rFonts w:ascii="Arial" w:cs="Arial" w:eastAsia="Arial" w:hAnsi="Arial"/>
          <w:sz w:val="24"/>
          <w:szCs w:val="24"/>
        </w:rPr>
        <w:t xml:space="preserve">604. В случае передачи получателем бюджетных средств полномочий по ведению бюджетного учета иному государственному (муниципальному) учреждению (далее - централизованной бухгалтерии) бухгалтерская отчетность составляется и представляется в порядке, предусмотренном настоящим Положением и соглашением о передаче полномочий по ведению бюджетного учета. Бухгалтерская отчетность, составленная централизованной бухгалтерией, подписывается руководителем получателя бюджетных средств, передавшего полномочия по ведению учета, руководителем и главным бухгалтером (бухгалтером) централизованной бухгалтерии, осуществляющей ведение бюджетного учета.</w:t>
      </w:r>
    </w:p>
    <w:p>
      <w:pPr>
        <w:spacing w:after="120"/>
        <w:jc w:val="both"/>
      </w:pPr>
      <w:r>
        <w:rPr>
          <w:rFonts w:ascii="Arial" w:cs="Arial" w:eastAsia="Arial" w:hAnsi="Arial"/>
          <w:sz w:val="24"/>
          <w:szCs w:val="24"/>
        </w:rPr>
        <w:t xml:space="preserve">605. Ответственность за подготовку, достоверность составления и представление бухгалтерской отчетности несут руководители министерств и ведомств, бюджетных учреждений, финансовых органов, отдельных подразделений Министерства финансов Кыргызской Республики.</w:t>
      </w:r>
    </w:p>
    <w:p>
      <w:pPr>
        <w:spacing w:after="120"/>
        <w:jc w:val="both"/>
      </w:pPr>
      <w:r>
        <w:rPr>
          <w:rFonts w:ascii="Arial" w:cs="Arial" w:eastAsia="Arial" w:hAnsi="Arial"/>
          <w:sz w:val="24"/>
          <w:szCs w:val="24"/>
        </w:rPr>
        <w:t xml:space="preserve">606. Бухгалтерская отчетность учреждений составляется на основе бухгалтерских записей, подтвержденных оправдательными документами. До составления баланса производится сверка оборотов и остатков по аналитическим счетам с оборотами и остатками по счетам синтетического учета, выверка расчетов с дебиторами, кредиторами и по другим обязательствам.</w:t>
      </w:r>
    </w:p>
    <w:p>
      <w:pPr>
        <w:spacing w:after="120"/>
        <w:jc w:val="both"/>
      </w:pPr>
      <w:r>
        <w:rPr>
          <w:rFonts w:ascii="Arial" w:cs="Arial" w:eastAsia="Arial" w:hAnsi="Arial"/>
          <w:sz w:val="24"/>
          <w:szCs w:val="24"/>
        </w:rPr>
        <w:t xml:space="preserve">607. Статьи годового баланса обосновываются данными инвентаризации. Выявленные при инвентаризации расхождения между фактическими остатками материальных ценностей и остатками по данным бухгалтерского учета отражаются в бухгалтерском учете соответствующим образом.</w:t>
      </w:r>
    </w:p>
    <w:p>
      <w:pPr>
        <w:spacing w:after="120"/>
        <w:jc w:val="both"/>
      </w:pPr>
      <w:r>
        <w:rPr>
          <w:rFonts w:ascii="Arial" w:cs="Arial" w:eastAsia="Arial" w:hAnsi="Arial"/>
          <w:sz w:val="24"/>
          <w:szCs w:val="24"/>
        </w:rPr>
        <w:t xml:space="preserve">608. Все расчеты с подотчетными лицами, дебиторами и кредиторами к концу года завершаются. От подотчетных лиц своевременно истребуются авансовые отчеты, а также остатки неиспользованных сумм. Суммы дебиторской задолженности, за исключением обязательных авансов, полностью взыскиваются, а кредиторская задолженность погашается. Незаконченные расчеты сверяются и подтверждаются в установленном порядке.</w:t>
      </w:r>
    </w:p>
    <w:p>
      <w:pPr>
        <w:spacing w:after="120"/>
        <w:jc w:val="both"/>
      </w:pPr>
      <w:r>
        <w:rPr>
          <w:rFonts w:ascii="Arial" w:cs="Arial" w:eastAsia="Arial" w:hAnsi="Arial"/>
          <w:sz w:val="24"/>
          <w:szCs w:val="24"/>
        </w:rPr>
        <w:t xml:space="preserve">609. В бухгалтерских отчетах не допускаются подчистки, помарки. При исправлении ошибок делается соответствующая оговорка, которая заверяется лицами, подписавшими отчет и баланс.</w:t>
      </w:r>
    </w:p>
    <w:p>
      <w:pPr>
        <w:spacing w:after="120"/>
        <w:jc w:val="both"/>
      </w:pPr>
      <w:r>
        <w:rPr>
          <w:rFonts w:ascii="Arial" w:cs="Arial" w:eastAsia="Arial" w:hAnsi="Arial"/>
          <w:sz w:val="24"/>
          <w:szCs w:val="24"/>
        </w:rPr>
        <w:t xml:space="preserve">610. Консолидированная отчетность составляется на основании показателей форм бухгалтерской отчетности, представленных министерствами и ведомствами, бюджетными учреждениями, обобщенных путем суммирования одноименных показателей (статей). При подготовке консолидированной отчетности взаимные операции (внутренние расчеты) между министерствами и ведомствами и подведомственными им бюджетными учреждениями, по движению между ними активов (финансовых, нефинансовых) и обязательств исключаются.</w:t>
      </w:r>
    </w:p>
    <w:p>
      <w:pPr>
        <w:spacing w:after="120"/>
        <w:jc w:val="both"/>
      </w:pPr>
      <w:r>
        <w:rPr>
          <w:rFonts w:ascii="Arial" w:cs="Arial" w:eastAsia="Arial" w:hAnsi="Arial"/>
          <w:sz w:val="24"/>
          <w:szCs w:val="24"/>
        </w:rPr>
        <w:t xml:space="preserve">611. Структурное подразделение Министерства финансов Кыргызской Республики, в функции которого входит составление финансовой отчетности, составляет консолидированную бухгалтерскую отчетность на основании бухгалтерской отчетности, представленной министерствами и ведомствами, финансовыми органами, структурными подразделениями Министерства финансов Кыргызской Республики, путем суммирования одноименных показателей (статей) и исключения взаимных операций (внутренних расчетов).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 Порядок составления отчетности бюджетным учреждением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612. Баланс состоит из 3-х разделов: активы, обязательства и чистые активы. В активы включены нефинансовые и финансовые активы. Нефинансовые активы при составлении баланса агрегируются по группам (т.е. по 3-му уровню).</w:t>
      </w:r>
    </w:p>
    <w:p>
      <w:pPr>
        <w:spacing w:after="120"/>
        <w:jc w:val="both"/>
      </w:pPr>
      <w:r>
        <w:rPr>
          <w:rFonts w:ascii="Arial" w:cs="Arial" w:eastAsia="Arial" w:hAnsi="Arial"/>
          <w:sz w:val="24"/>
          <w:szCs w:val="24"/>
        </w:rPr>
        <w:t xml:space="preserve">613. Показатели в Форме 1 «Баланс» (далее - Баланс) отражаются в разрезе итоговых показателей (графы 4, 5), бюджетных (графы 6, 7), и специальных средств (графы 8, 9), на конец отчетного периода и начало года.</w:t>
      </w:r>
    </w:p>
    <w:p>
      <w:pPr>
        <w:spacing w:after="120"/>
        <w:jc w:val="both"/>
      </w:pPr>
      <w:r>
        <w:rPr>
          <w:rFonts w:ascii="Arial" w:cs="Arial" w:eastAsia="Arial" w:hAnsi="Arial"/>
          <w:sz w:val="24"/>
          <w:szCs w:val="24"/>
        </w:rPr>
        <w:t xml:space="preserve">614. В графах «На начало» показываются данные о стоимости активов, обязательств, чистых активов на начало года, которые должны соответствовать данным граф «На конец» предыдущего года с учетом на начало отчетного года данных по реорганизации (в случае ее проведения) или иных данных, изменивших показатели баланса в установленных законодательством Кыргызской Республики случаях.</w:t>
      </w:r>
    </w:p>
    <w:p>
      <w:pPr>
        <w:spacing w:after="120"/>
        <w:jc w:val="both"/>
      </w:pPr>
      <w:r>
        <w:rPr>
          <w:rFonts w:ascii="Arial" w:cs="Arial" w:eastAsia="Arial" w:hAnsi="Arial"/>
          <w:sz w:val="24"/>
          <w:szCs w:val="24"/>
        </w:rPr>
        <w:t xml:space="preserve">615. В строку 010 «Основные фонды» включаются остатки по следующим счетам: 31111 «Жилые здания и помещения», 31112 «Нежилые здания», 31113 «Сооружения», 31121 «Транспортные средства», 31122 «Механизмы и производственное оборудование», 31123 «Мебель, офисное оборудование и инструменты», 31124 «Прочие основные средства», 31131 «Культивируемые активы, включая растения и животных», 31132 «Нематериальные активы», 31133 «Библиотечный фонд», 31141 «Незавершенное строительство».</w:t>
      </w:r>
    </w:p>
    <w:p>
      <w:pPr>
        <w:spacing w:after="120"/>
        <w:jc w:val="both"/>
      </w:pPr>
      <w:r>
        <w:rPr>
          <w:rFonts w:ascii="Arial" w:cs="Arial" w:eastAsia="Arial" w:hAnsi="Arial"/>
          <w:sz w:val="24"/>
          <w:szCs w:val="24"/>
        </w:rPr>
        <w:t xml:space="preserve">616. В строку 020 «Запасы» включаются остатки по следующим счетам: 31211 «Запасы фонда государственного материального резерва», 31221 «Сырье и материалы», 31122 «Незавершенное производство», 31223 «Готовая продукция», 31224 «Товары для перепродажи», 31225 «МБП».</w:t>
      </w:r>
    </w:p>
    <w:p>
      <w:pPr>
        <w:spacing w:after="120"/>
        <w:jc w:val="both"/>
      </w:pPr>
      <w:r>
        <w:rPr>
          <w:rFonts w:ascii="Arial" w:cs="Arial" w:eastAsia="Arial" w:hAnsi="Arial"/>
          <w:sz w:val="24"/>
          <w:szCs w:val="24"/>
        </w:rPr>
        <w:t xml:space="preserve">617. В строку 030 «Ценности» включаются остатки по следующим счетам: 31311 «Драгоценные металлы и камни», 31321 «Активы культурного наследия», 31331 «Ювелирные изделия».</w:t>
      </w:r>
    </w:p>
    <w:p>
      <w:pPr>
        <w:spacing w:after="120"/>
        <w:jc w:val="both"/>
      </w:pPr>
      <w:r>
        <w:rPr>
          <w:rFonts w:ascii="Arial" w:cs="Arial" w:eastAsia="Arial" w:hAnsi="Arial"/>
          <w:sz w:val="24"/>
          <w:szCs w:val="24"/>
        </w:rPr>
        <w:t xml:space="preserve">618. В строку 040 «Непроизведенные активы» включаются остатки по следующим счетам: 31411 «Сельскохозяйственные земли», 31412 «Несельскохозяйственные земли».</w:t>
      </w:r>
    </w:p>
    <w:p>
      <w:pPr>
        <w:spacing w:after="120"/>
        <w:jc w:val="both"/>
      </w:pPr>
      <w:r>
        <w:rPr>
          <w:rFonts w:ascii="Arial" w:cs="Arial" w:eastAsia="Arial" w:hAnsi="Arial"/>
          <w:sz w:val="24"/>
          <w:szCs w:val="24"/>
        </w:rPr>
        <w:t xml:space="preserve">619. В строке 050 «Итого: нефинансовые активы» отражается арифметическая сумма строк 010, 020, 030 и 040. Финансовые активы подразделяются на внутренние и внешние финансовые активы. Внутренние финансовые активы агрегируются по подгруппам (т.е. по 4-му уровню).</w:t>
      </w:r>
    </w:p>
    <w:p>
      <w:pPr>
        <w:spacing w:after="120"/>
        <w:jc w:val="both"/>
      </w:pPr>
      <w:r>
        <w:rPr>
          <w:rFonts w:ascii="Arial" w:cs="Arial" w:eastAsia="Arial" w:hAnsi="Arial"/>
          <w:sz w:val="24"/>
          <w:szCs w:val="24"/>
        </w:rPr>
        <w:t xml:space="preserve">620. В строку 060 «Валюта и депозиты» включаются остатки по следующим счетам: 32121 «Счета в системе Казначейства Кыргызской Республики», 32122 «Счета в коммерческих банках Кыргызской Республики и за рубежом», 32123 «Наличные денежные средства в кассе учреждений».</w:t>
      </w:r>
    </w:p>
    <w:p>
      <w:pPr>
        <w:spacing w:after="120"/>
        <w:jc w:val="both"/>
      </w:pPr>
      <w:r>
        <w:rPr>
          <w:rFonts w:ascii="Arial" w:cs="Arial" w:eastAsia="Arial" w:hAnsi="Arial"/>
          <w:sz w:val="24"/>
          <w:szCs w:val="24"/>
        </w:rPr>
        <w:t xml:space="preserve">621. В строку 070 «Ценные бумаги, кроме акций» включаются остатки по следующим счетам: 32131 «Краткосрочные ценные бумаги, кроме акций», 32132 «Долгосрочные ценные бумаги, кроме акций».</w:t>
      </w:r>
    </w:p>
    <w:p>
      <w:pPr>
        <w:spacing w:after="120"/>
        <w:jc w:val="both"/>
      </w:pPr>
      <w:r>
        <w:rPr>
          <w:rFonts w:ascii="Arial" w:cs="Arial" w:eastAsia="Arial" w:hAnsi="Arial"/>
          <w:sz w:val="24"/>
          <w:szCs w:val="24"/>
        </w:rPr>
        <w:t xml:space="preserve">622. В строку 080 «Кредиты, ссуды и займы» включаются остатки по следующим счетам: 32141 «Ссуды другим уровням государственного управления», 32142 «Ссуды предприятиям, финансовым учреждениям и населению».</w:t>
      </w:r>
    </w:p>
    <w:p>
      <w:pPr>
        <w:spacing w:after="120"/>
        <w:jc w:val="both"/>
      </w:pPr>
      <w:r>
        <w:rPr>
          <w:rFonts w:ascii="Arial" w:cs="Arial" w:eastAsia="Arial" w:hAnsi="Arial"/>
          <w:sz w:val="24"/>
          <w:szCs w:val="24"/>
        </w:rPr>
        <w:t xml:space="preserve">623. В строку 090 «Акции и другие формы участия в капитале» включается остаток по счету 32151 «Акции и другие формы участия в капитале».</w:t>
      </w:r>
    </w:p>
    <w:p>
      <w:pPr>
        <w:spacing w:after="120"/>
        <w:jc w:val="both"/>
      </w:pPr>
      <w:r>
        <w:rPr>
          <w:rFonts w:ascii="Arial" w:cs="Arial" w:eastAsia="Arial" w:hAnsi="Arial"/>
          <w:sz w:val="24"/>
          <w:szCs w:val="24"/>
        </w:rPr>
        <w:t xml:space="preserve">624. В строку 100 «Прочая внутренняя дебиторская задолженность» включается остаток по счету 32171 «Прочая внутренняя дебиторская задолженность», 32172 «Права требования по уплате налогов», 32173 «Проценты и дивиденды к получению», 32174 «Внутренние авансы, полученные».</w:t>
      </w:r>
    </w:p>
    <w:p>
      <w:pPr>
        <w:spacing w:after="120"/>
        <w:jc w:val="both"/>
      </w:pPr>
      <w:r>
        <w:rPr>
          <w:rFonts w:ascii="Arial" w:cs="Arial" w:eastAsia="Arial" w:hAnsi="Arial"/>
          <w:sz w:val="24"/>
          <w:szCs w:val="24"/>
        </w:rPr>
        <w:t xml:space="preserve">625. В строку 110 «Резерв на безнадежные долги» включаются остаток по счету 32191 «Резерв на безнадежные долги». Внешние финансовые активы агрегируются по подгруппам (т.е. по 4-му уровню).</w:t>
      </w:r>
    </w:p>
    <w:p>
      <w:pPr>
        <w:spacing w:after="120"/>
        <w:jc w:val="both"/>
      </w:pPr>
      <w:r>
        <w:rPr>
          <w:rFonts w:ascii="Arial" w:cs="Arial" w:eastAsia="Arial" w:hAnsi="Arial"/>
          <w:sz w:val="24"/>
          <w:szCs w:val="24"/>
        </w:rPr>
        <w:t xml:space="preserve">626. В строку 120 «Валюта и депозиты» включаются остаток по счету 32221 «Депозиты Правительства Кыргызской Республики за рубежом».</w:t>
      </w:r>
    </w:p>
    <w:p>
      <w:pPr>
        <w:spacing w:after="120"/>
        <w:jc w:val="both"/>
      </w:pPr>
      <w:r>
        <w:rPr>
          <w:rFonts w:ascii="Arial" w:cs="Arial" w:eastAsia="Arial" w:hAnsi="Arial"/>
          <w:sz w:val="24"/>
          <w:szCs w:val="24"/>
        </w:rPr>
        <w:t xml:space="preserve">627. В строку 130 «Ценные бумаги, кроме акций» включаются остатки по следующим счетам: 32231 «Краткосрочные ценные бумаги, кроме акций», 32232 «Долгосрочные ценные бумаги, кроме акций».</w:t>
      </w:r>
    </w:p>
    <w:p>
      <w:pPr>
        <w:spacing w:after="120"/>
        <w:jc w:val="both"/>
      </w:pPr>
      <w:r>
        <w:rPr>
          <w:rFonts w:ascii="Arial" w:cs="Arial" w:eastAsia="Arial" w:hAnsi="Arial"/>
          <w:sz w:val="24"/>
          <w:szCs w:val="24"/>
        </w:rPr>
        <w:t xml:space="preserve">628. В строку 140 «Кредиты и займы» включается остаток по счету 32241 «Кредиты правительствам других государств».</w:t>
      </w:r>
    </w:p>
    <w:p>
      <w:pPr>
        <w:spacing w:after="120"/>
        <w:jc w:val="both"/>
      </w:pPr>
      <w:r>
        <w:rPr>
          <w:rFonts w:ascii="Arial" w:cs="Arial" w:eastAsia="Arial" w:hAnsi="Arial"/>
          <w:sz w:val="24"/>
          <w:szCs w:val="24"/>
        </w:rPr>
        <w:t xml:space="preserve">629. В строку 150 «Акции и другие формы участия в капитале» включается остаток по счету 32251 «Акции и другие формы участия в капитале».</w:t>
      </w:r>
    </w:p>
    <w:p>
      <w:pPr>
        <w:spacing w:after="120"/>
        <w:jc w:val="both"/>
      </w:pPr>
      <w:r>
        <w:rPr>
          <w:rFonts w:ascii="Arial" w:cs="Arial" w:eastAsia="Arial" w:hAnsi="Arial"/>
          <w:sz w:val="24"/>
          <w:szCs w:val="24"/>
        </w:rPr>
        <w:t xml:space="preserve">630. В строку 160 «Прочая внешняя дебиторская задолженность» включаются остатки по следующим счетам: 32271 «Прочая внешняя дебиторская задолженность», 32272 «Внешние авансы, уплаченные».</w:t>
      </w:r>
    </w:p>
    <w:p>
      <w:pPr>
        <w:spacing w:after="120"/>
        <w:jc w:val="both"/>
      </w:pPr>
      <w:r>
        <w:rPr>
          <w:rFonts w:ascii="Arial" w:cs="Arial" w:eastAsia="Arial" w:hAnsi="Arial"/>
          <w:sz w:val="24"/>
          <w:szCs w:val="24"/>
        </w:rPr>
        <w:t xml:space="preserve">631. В строке 170 «Итого: финансовые активы» отражается арифметическая сумма строк 060, 070, 080, 090, 100, 110, 120, 130, 140, 150, 160.</w:t>
      </w:r>
    </w:p>
    <w:p>
      <w:pPr>
        <w:spacing w:after="120"/>
        <w:jc w:val="both"/>
      </w:pPr>
      <w:r>
        <w:rPr>
          <w:rFonts w:ascii="Arial" w:cs="Arial" w:eastAsia="Arial" w:hAnsi="Arial"/>
          <w:sz w:val="24"/>
          <w:szCs w:val="24"/>
        </w:rPr>
        <w:t xml:space="preserve">632. В строке 180 «Итого: активы» отражается арифметическая сумма строк 050 и 170.</w:t>
      </w:r>
    </w:p>
    <w:p>
      <w:pPr>
        <w:spacing w:after="120"/>
        <w:jc w:val="both"/>
      </w:pPr>
      <w:r>
        <w:rPr>
          <w:rFonts w:ascii="Arial" w:cs="Arial" w:eastAsia="Arial" w:hAnsi="Arial"/>
          <w:sz w:val="24"/>
          <w:szCs w:val="24"/>
        </w:rPr>
        <w:t xml:space="preserve">В обязательства включены внутренние и внешние обязательства. Внутренние обязательства агрегируются по подгруппам (т.е. по 4-му уровню).</w:t>
      </w:r>
    </w:p>
    <w:p>
      <w:pPr>
        <w:spacing w:after="120"/>
        <w:jc w:val="both"/>
      </w:pPr>
      <w:r>
        <w:rPr>
          <w:rFonts w:ascii="Arial" w:cs="Arial" w:eastAsia="Arial" w:hAnsi="Arial"/>
          <w:sz w:val="24"/>
          <w:szCs w:val="24"/>
        </w:rPr>
        <w:t xml:space="preserve">633. В строку 190 «Ценные бумаги, кроме акций» включаются остатки по следующим счетам: 33131 «Краткосрочные внутренние ценные бумаги, кроме акций», 33132 «Долгосрочные внутренние ценные бумаги, кроме акций».</w:t>
      </w:r>
    </w:p>
    <w:p>
      <w:pPr>
        <w:spacing w:after="120"/>
        <w:jc w:val="both"/>
      </w:pPr>
      <w:r>
        <w:rPr>
          <w:rFonts w:ascii="Arial" w:cs="Arial" w:eastAsia="Arial" w:hAnsi="Arial"/>
          <w:sz w:val="24"/>
          <w:szCs w:val="24"/>
        </w:rPr>
        <w:t xml:space="preserve">634. В строку 200 «Внутренние заимствования» включаются остатки по следующим счетам: 33141 «Заимствования от других единиц государственного управления», 33142 «Заимствования от предприятий, организаций, финансовых учреждений».</w:t>
      </w:r>
    </w:p>
    <w:p>
      <w:pPr>
        <w:spacing w:after="120"/>
        <w:jc w:val="both"/>
      </w:pPr>
      <w:r>
        <w:rPr>
          <w:rFonts w:ascii="Arial" w:cs="Arial" w:eastAsia="Arial" w:hAnsi="Arial"/>
          <w:sz w:val="24"/>
          <w:szCs w:val="24"/>
        </w:rPr>
        <w:t xml:space="preserve">635. В строку 210 «Прочие внутренние обязательства» включаются остатки по следующим счетам: 33171 «Прочая внутренняя кредиторская задолженность», 33172 «Обязательства по оплате труда», 33173 «Проценты к оплате», 33174 «Счета к оплате», 33175 «Обязательства по социальным пособиям», 33176 «Внутренние авансы, полученные», 33177 «Расчеты с бюджетом».</w:t>
      </w:r>
    </w:p>
    <w:p>
      <w:pPr>
        <w:spacing w:after="120"/>
        <w:jc w:val="both"/>
      </w:pPr>
      <w:r>
        <w:rPr>
          <w:rFonts w:ascii="Arial" w:cs="Arial" w:eastAsia="Arial" w:hAnsi="Arial"/>
          <w:sz w:val="24"/>
          <w:szCs w:val="24"/>
        </w:rPr>
        <w:t xml:space="preserve">Внешние обязательства агрегируются по подгруппам (т.е. по 4-му уровню).</w:t>
      </w:r>
    </w:p>
    <w:p>
      <w:pPr>
        <w:spacing w:after="120"/>
        <w:jc w:val="both"/>
      </w:pPr>
      <w:r>
        <w:rPr>
          <w:rFonts w:ascii="Arial" w:cs="Arial" w:eastAsia="Arial" w:hAnsi="Arial"/>
          <w:sz w:val="24"/>
          <w:szCs w:val="24"/>
        </w:rPr>
        <w:t xml:space="preserve">636. В строку 220 «Внешние заимствования» включаются остатки по следующим счетам: 33241 «Двусторонние долговые соглашения», 33242 «Многосторонние долговые соглашения», 33243 «Иностранные финансовые институты», 33249 «Прочий внешний долг».</w:t>
      </w:r>
    </w:p>
    <w:p>
      <w:pPr>
        <w:spacing w:after="120"/>
        <w:jc w:val="both"/>
      </w:pPr>
      <w:r>
        <w:rPr>
          <w:rFonts w:ascii="Arial" w:cs="Arial" w:eastAsia="Arial" w:hAnsi="Arial"/>
          <w:sz w:val="24"/>
          <w:szCs w:val="24"/>
        </w:rPr>
        <w:t xml:space="preserve">637. В строку 230 «Прочие внешние обязательства» включаются остатки по следующим счетам: 33251 «Проценты к оплате», 33252 «Счета к оплате», 33253 «Прочие внешние обязательства», 33253 «Взносы в международные организации и объединения в рамках СНГ».</w:t>
      </w:r>
    </w:p>
    <w:p>
      <w:pPr>
        <w:spacing w:after="120"/>
        <w:jc w:val="both"/>
      </w:pPr>
      <w:r>
        <w:rPr>
          <w:rFonts w:ascii="Arial" w:cs="Arial" w:eastAsia="Arial" w:hAnsi="Arial"/>
          <w:sz w:val="24"/>
          <w:szCs w:val="24"/>
        </w:rPr>
        <w:t xml:space="preserve">638. В строке 240 «Итого: обязательства» отражается арифметическая сумма строк 190, 200, 210, 220, 230.</w:t>
      </w:r>
    </w:p>
    <w:p>
      <w:pPr>
        <w:spacing w:after="120"/>
        <w:jc w:val="both"/>
      </w:pPr>
      <w:r>
        <w:rPr>
          <w:rFonts w:ascii="Arial" w:cs="Arial" w:eastAsia="Arial" w:hAnsi="Arial"/>
          <w:sz w:val="24"/>
          <w:szCs w:val="24"/>
        </w:rPr>
        <w:t xml:space="preserve">В чистые активы включена чистая стоимость активов. При составлении баланса чистая стоимость активов агрегируется по счету (т.е. по 5-му уровню).</w:t>
      </w:r>
    </w:p>
    <w:p>
      <w:pPr>
        <w:spacing w:after="120"/>
        <w:jc w:val="both"/>
      </w:pPr>
      <w:r>
        <w:rPr>
          <w:rFonts w:ascii="Arial" w:cs="Arial" w:eastAsia="Arial" w:hAnsi="Arial"/>
          <w:sz w:val="24"/>
          <w:szCs w:val="24"/>
        </w:rPr>
        <w:t xml:space="preserve">639. В строку 250 «Чистая стоимость активов». включаются остатки по следующим счетам: 41111 «Финансовый результат», 41112 «Резервы», 41113 «Капитал, внесенный </w:t>
      </w:r>
      <w:r>
        <w:rPr>
          <w:rFonts w:ascii="Arial" w:cs="Arial" w:eastAsia="Arial" w:hAnsi="Arial"/>
          <w:sz w:val="24"/>
          <w:szCs w:val="24"/>
        </w:rPr>
        <w:t xml:space="preserve">другими субъектами сектора государственного управления».</w:t>
      </w:r>
    </w:p>
    <w:p>
      <w:pPr>
        <w:spacing w:after="120"/>
        <w:jc w:val="both"/>
      </w:pPr>
      <w:r>
        <w:rPr>
          <w:rFonts w:ascii="Arial" w:cs="Arial" w:eastAsia="Arial" w:hAnsi="Arial"/>
          <w:sz w:val="24"/>
          <w:szCs w:val="24"/>
        </w:rPr>
        <w:t xml:space="preserve">640. В строке 260 «Итого: чистые активы» отражаются данные строки 250.</w:t>
      </w:r>
    </w:p>
    <w:p>
      <w:pPr>
        <w:spacing w:after="120"/>
        <w:jc w:val="both"/>
      </w:pPr>
      <w:r>
        <w:rPr>
          <w:rFonts w:ascii="Arial" w:cs="Arial" w:eastAsia="Arial" w:hAnsi="Arial"/>
          <w:sz w:val="24"/>
          <w:szCs w:val="24"/>
        </w:rPr>
        <w:t xml:space="preserve">641. В строке 270 «Итого: обязательства и чистые активы» отражается арифметическая сумма строк 240, 260. Данные, отраженные по строке 270, должны быть равны показателям, отраженным по строке 180.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 Приложения к балансу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642. Цель приложений - расшифровать изменение балансовой стоимости активов и обязательств за отчетный период. Отдельно раскрывается информация по увеличению (поступлению) активов и обязательств и отдельно - по их уменьшению (выбытию). Балансовая стоимость активов и обязательств на начало и на конец отчетного периода в приложениях должны совпадать с данными баланса.</w:t>
      </w:r>
    </w:p>
    <w:p>
      <w:pPr>
        <w:spacing w:after="120"/>
        <w:jc w:val="both"/>
      </w:pPr>
      <w:r>
        <w:rPr>
          <w:rFonts w:ascii="Arial" w:cs="Arial" w:eastAsia="Arial" w:hAnsi="Arial"/>
          <w:sz w:val="24"/>
          <w:szCs w:val="24"/>
        </w:rPr>
        <w:t xml:space="preserve">643. В каждом приложении указываются полное наименование учреждения, дата, на которую представляются баланс и приложения к нему (отчетная дата), период, за который подготовлены формы отчетности - полугодие, 9 месяцев, год (отчетный период), единица измерения, соответствующие коды ведомственной и функциональной классификации.</w:t>
      </w:r>
    </w:p>
    <w:p>
      <w:pPr>
        <w:spacing w:after="120"/>
        <w:jc w:val="both"/>
      </w:pPr>
      <w:r>
        <w:rPr>
          <w:rFonts w:ascii="Arial" w:cs="Arial" w:eastAsia="Arial" w:hAnsi="Arial"/>
          <w:sz w:val="24"/>
          <w:szCs w:val="24"/>
        </w:rPr>
        <w:t xml:space="preserve">644. Все приложения к балансу составляются в разрезе по бюджетным и специальным средствам. Единицей измерения является - сом без указания тыйынов. Подписываются руководителем учреждения и главным бухгалтером.</w:t>
      </w:r>
    </w:p>
    <w:p>
      <w:pPr>
        <w:spacing w:after="120"/>
        <w:jc w:val="both"/>
      </w:pPr>
      <w:r>
        <w:rPr>
          <w:rFonts w:ascii="Arial" w:cs="Arial" w:eastAsia="Arial" w:hAnsi="Arial"/>
          <w:sz w:val="24"/>
          <w:szCs w:val="24"/>
        </w:rPr>
        <w:t xml:space="preserve">645. В приложениях выбытие активов указывается по первоначальной стоимости, а ТМЗ - по первоначальной стоимости, с учетом метода списания ТМЗ.</w:t>
      </w:r>
    </w:p>
    <w:p>
      <w:pPr>
        <w:spacing w:after="120"/>
        <w:jc w:val="both"/>
      </w:pPr>
      <w:r>
        <w:rPr>
          <w:rFonts w:ascii="Arial" w:cs="Arial" w:eastAsia="Arial" w:hAnsi="Arial"/>
          <w:sz w:val="24"/>
          <w:szCs w:val="24"/>
        </w:rPr>
        <w:t xml:space="preserve">646. Единица сектора государственного управления, составляющая консолидированный баланс, также готовит консолидированные приложения к нему, из которых исключает взаимные операции между подведомственными учреждениями. При подготовке консолидированного баланса Правительства Кыргызской Республики исключаются взаимные операции между министерствами и ведомствами, а также взаимные операции или дублирующие бухгалтерские записи между подразделениями внутри одного министерства или ведомства.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31. Приложение 1 «Основные фонды»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647. Информация в Приложении 1 «Основные фонды» (далее - Приложение 1) содержит обобщенные за отчетный период данные о движении основных фондов. В графе 1 указываются код и наименование показателей, в графе 2 - коды строк Приложения 1. В графе 3 указываются итоговые данные по основным фондам, в графах 4 и 5 - соответствующие данные в разрезе бюджетных и специальных средств.</w:t>
      </w:r>
    </w:p>
    <w:p>
      <w:pPr>
        <w:spacing w:after="120"/>
        <w:jc w:val="both"/>
      </w:pPr>
      <w:r>
        <w:rPr>
          <w:rFonts w:ascii="Arial" w:cs="Arial" w:eastAsia="Arial" w:hAnsi="Arial"/>
          <w:sz w:val="24"/>
          <w:szCs w:val="24"/>
        </w:rPr>
        <w:t xml:space="preserve">648. Данные для Приложения 1 формируются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2"/>
        <w:gridCol w:w="3074"/>
        <w:gridCol w:w="6762"/>
      </w:tblGrid>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3111. Здания и сооружения</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Первоначальная стоимость на начало периода</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сальдо на начало отчетного года всех элементов группы 3111 «Здания и сооружения» (за исключением элементов, на которых учитывается накопленная амортизация), а именно: 31111 110, 31111 120, 31111 190, 31112 110, 31112 120, 31112 130, 31112 190, 31113 110, 31113 120, 31113 130, 31113 190</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020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Накопленная амортизация на начало периода</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сальдо на начало отчетного года всех элементов группы 3111 «Здания и сооружения», на которых учитывается накопленная амортизация, а именно: 31111 910, 31111 920, 31111 990, 31112 910, 31112 920, 31112 930, 31112 990, 31113 910, 31113 920, 31113 930, 31113 990</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030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Балансовая стоимость на начало периода (010-020)</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вычитания следующих строк: 010-020</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040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Приобретение</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здания или сооружения и первоначальная стоимость которых отражена по элементу, входящему в подгруппу 3111 «Здания и сооружения». Авансовые платежи, по которым на отчетную дату не было фактической поставки, в данную строку не включаются</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050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зданий и сооружений, переданных (без оплаты) другими бюджетными учреждениями в адрес отчитывающегося учреждения</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060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зданий и сооружений, переданных (без оплаты) любыми лицами (кроме других бюджетных учреждений) в адрес отчитывающегося учреждения</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070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Продажи</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зданий и сооружений, реализованных в течение отчетного периода, вне зависимости, получены или нет денежные средства (или иное вознаграждение) за такую поставку</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080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Передача другой единице госсектора</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зданий и сооружений, переданных (без оплаты) в течение отчетного периода другому учреждению</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090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зданий и сооружений, переданных (без оплаты) в течение отчетного периода любым лицам (кроме бюджетных учреждений)</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Капитальный ремонт</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затрат по ремонту зданий и сооружений, произведенному в течение отчетного периода, затраты по которому капитализируются (добавляются) к стоимости самих зданий и сооружений</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111</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Начисленная амортизация</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начисленной за отчетной период амортизации, а также амортизации, принятой на учет по зданиям и сооружениям, полученным от других бюджетных учреждений</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112</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Списанная амортизация</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накопленной амортизации на момент реализации или иного списания зданий и сооружений в течение отчетного периода</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120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Обесценение</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зданий и сооружений, по которым справедливая (рыночная) стоимость на отчетную дату стала ниже их балансовой стоимости. Признаками обесценения, в частности, могут выступать факты, подтверждающие непригодность (полную или частичную) использования зданий и сооружений по их прямому назначению</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Списание</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первоначальная сумма зданий и сооружений, списанных в установленном порядке</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141</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зданий и сооружений, по которым в результате инвентаризации выявлены излишки. Если первоначальная стоимость таких зданий и сооружений неизвестна, необходимо проведение процедур определения справедливой (рыночной) стоимости активов</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142</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зданий и сооружений, по которым в результате инвентаризации выявлена недостача</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150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Первоначальная стоимость на конец периода (010+040+050+060-070-080-090+100-120-130+140+141-142)</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010+040+050+060-070-080-090+100-120-130+140+141-142. Полученное значение должно совпадать с сальдо на конец отчетного периода всех элементов группы 3111 «Здания и сооружения» (за исключением элементов, на которых учитывается накопленная амортизация), а именно: 31111 110, 31111 120, 31111 190, 31112 110, 31112 120, 31112 130, 31112 190, 31113 110, 31113 120, 31113 130, 31113 190</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160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Накопленная амортизация на конец периода (020+111-112)</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020+111-112. Полученное значение должно совпадать с сальдо на конец отчетного периода всех элементов группы 3111 «Здания и сооружения», на которых учитывается накопленная амортизация, а именно: 31111 910, 31111 920, 31111 990, 31112 910, 31112 920, 31112 930, 31112 990, 31113 910, 31113 920, 31113 930, 31113 990</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170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Балансовая стоимость на конец периода (150-160)</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вычитания следующих строк: 150-160</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3112. Машины и оборудование</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180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Первоначальная стоимость на начало периода</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сальдо на начало отчетного года всех элементов группы 3112 «Машины и оборудование» (за исключением элементов, на которых учитывается накопленная амортизация), а именно: 31121 110, 31121 120, 31121 130, 31121 140, 31121 150, 31121 160, 31121 190, 31122 110, 31122 120, 31122 190, 31123 110, 31123 120, 31123 130, 31123 190, 31124 110</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190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Накопленная амортизация на начало периода</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сальдо на начало отчетного года всех элементов группы 3112 «Здания и сооружения», на которых учитывается накопленная амортизация, а именно: 31121 910, 31121 920, 31121 930, 31121 940, 31121 950, 31121 960, 31121 990, 31122 910, 31122 920, 31122 990, 31123 910, 31123 920, 31123 930, 31123 990, 31124 990</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Балансовая стоимость на начало периода (180-190)</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вычитания следующих строк: 180-190</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210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Приобретение</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машины и оборудование, а первоначальная стоимость которых отражена по элементу, входящему в подгруппу 3112 «Машины и оборудование». Авансовые платежи, по которым на отчетную дату не было фактической поставки, в данную строку не включаются</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220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машин и оборудования, переданных (без оплаты) другими бюджетными учреждениями в адрес отчитывающегося учреждения</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машин и оборудования, переданных (без оплаты) любыми лицами (кроме других бюджетных учреждений) в адрес отчитывающегося учреждения</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240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Продажи</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машин и оборудования, реализованных в течение отчетного периода, вне зависимости, получены или нет денежные средства (или иное вознаграждение) за такую поставку</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250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машин и оборудования, переданных (без оплаты) в течение отчетного периода другому учреждению</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260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машин и оборудования, переданных (без оплаты) в течение отчетного периода любым лицам (кроме бюджетных учреждений).</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270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Капитальный ремонт</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затрат по ремонту машин и оборудования, произведенному в течение отчетного периода, затраты по которому капитализируются (добавляются) к стоимости самих машин и оборудования</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281</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Начисленная амортизация</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начисленной за отчетной период амортизации, а также амортизации принятой на учет по машинам и оборудованию, полученным от других бюджетных учреждений</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282</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Списанная амортизация</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накопленной амортизации на момент реализации или иного списания машин и оборудования в течение отчетного периода</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290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Обесценение</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машин и оборудования, по которым справедливая (рыночная) стоимость на отчетную дату стала ниже их балансовой стоимости. Признаками обесценения, в частности, могут выступать факты, подтверждающие непригодность (полную или частичную) использования машин и оборудования по их прямому назначению</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300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Списание</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первоначальная сумма машин и оборудования, списанных в установленном порядке</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311</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6762"/>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машин и оборудования, по которым в результате инвентаризации выявлены излишки. Если первоначальная стоимость таких машин и оборудования неизвестна, необходимо проведение процедур определения справедливой (рыночной) стоимости активов.</w:t>
            </w:r>
          </w:p>
          <w:p>
            <w:pPr>
              <w:jc w:val="left"/>
            </w:pPr>
            <w:r>
              <w:rPr>
                <w:rFonts w:ascii="Arial" w:cs="Arial" w:eastAsia="Arial" w:hAnsi="Arial"/>
                <w:sz w:val="24"/>
                <w:szCs w:val="24"/>
              </w:rPr>
              <w:t xml:space="preserve">В строку включаются суммы первоначальной стоимости машин и оборудования, по которым в результате инвентаризации выявлена недостача</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312</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vMerge w:val="continue"/>
            <w:tcBorders>
              <w:top w:val="none" w:color="auto" w:sz="0"/>
              <w:left w:val="none" w:color="auto" w:sz="0"/>
              <w:bottom w:val="none" w:color="auto" w:sz="0"/>
              <w:right w:val="single" w:color="CBBF9E" w:sz="4"/>
            </w:tcBorders>
          </w:tcP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320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Первоначальная стоимость на конец периода (180+210+220+230-240-250-260+270-290-300+311-312)</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180+210+220+230-240-250-260+270-290-300+311-312. Полученное значение должно совпадать с сальдо на конец отчетного периода всех элементов группы 3112 «Машины и оборудование» (за исключением элементов, на которых учитывается накопленная амортизация), а именно: 31121 110, 31121 120, 31121 130, 31121 140, 31121 150, 31121 160, 31121 190, 31122 110, 31122 120, 31122 190, 31123 110, 31123 120, 31123 130, 31123 190, 31124 110</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330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Накопленная амортизация на конец периода (190+281-282)</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190+281-282. Полученное значение должно совпадать с сальдо на конец отчетного периода всех элементов группы 3112 «Машины и оборудование», на которых учитывается накопленная амортизация, а именно: 31121 910, 31121 920, 31121 930, 31121 940, 31121 950, 31121 960, 31121 990, 31122 910, 31122 920, 31122 990, 31123 910, 31123 920, 31123 930, 31123 990, 31124 990</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340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Балансовая стоимость на конец периода (320-330)</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вычитания следующих строк: 320-330</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3113. Другие основные фонды</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350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Первоначальная стоимость на начало периода</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сальдо на начало отчетного года всех элементов группы 3113 «Другие основные фонды» (за исключением элементов, на которых учитывается накопленная амортизация), а именно: 31131 110, 31131 120, 31131 130, 31131 140, 31131 150, 31131 190, 31132 110, 31132 120, 31132 130, 31132 190, 31133 110</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360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Накопленная амортизация на начало периода</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сальдо на начало отчетного года всех элементов группы 3113 «Другие основные фонды», на которых учитывается накопленная амортизация, а именно: 31132 910, 31132 920, 31132 930, 31132 990</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370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Балансовая стоимость на начало периода (350-360)</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вычитания следующих строк: 350-360</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380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Приобретение</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другие основные фонды и первоначальная стоимость которых отражена по элементу, входящему в подгруппу 3113 «Другие основные фонды». Авансовые платежи, по которым на отчетную дату не было фактической поставки, в данную строку не включаются</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390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других основных фондов, переданных (без оплаты) другими бюджетными учреждениями в адрес отчитывающегося учреждения</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400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других основных фондов, переданных (без оплаты) любыми лицами (кроме других бюджетных учреждений) в адрес отчитывающегося учреждения</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410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Продажи</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других основных фондов, реализованных в течение отчетного периода, вне зависимости, получены или нет денежные средства (или иное вознаграждение) за такую поставку</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420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других основных фондов, переданных (без оплаты) в течение отчетного периода другому учреждению</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430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других основных фондов, переданных (без оплаты) в течение отчетного периода любым лицам (кроме бюджетных учреждений)</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440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Капитальный ремонт</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затрат по ремонту других основных фондов, произведенному в течение отчетного периода, затраты по которому капитализируются (добавляются) к стоимости этих активов</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451</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Начисленная амортизация</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начисленной за отчетной период амортизации, а также амортизации, принятой на учет по другим основным фондам, полученным от других бюджетных учреждений</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452</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Списанная амортизация</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накопленной амортизации на момент реализации или иного списания других основных фондов в течение отчетного периода</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Обесценение</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других основных фондов, по которым справедливая (рыночная) стоимость на отчетную дату стала ниже их балансовой стоимости. Признаками обесценения, в частности, могут выступать факты, подтверждающие непригодность (полную или частичную) использования данных активов по их прямому назначению</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Списание</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первоначальная сумма других основных фондов, списанных в установленном порядке</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481</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других основных фондов, по которым в результате инвентаризации выявлены излишки. Если первоначальная стоимость таких активов неизвестна, необходимо проведение процедур определения их справедливой (рыночной) стоимости</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482</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первоначальной стоимости других основных фондов, по которым в результате инвентаризации выявлена недостача</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490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Первоначальная стоимость на конец периода (350+380+390+400-410-420-430+440-460-470+481-482)</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350+380+390+400-410-420-430+440-460-470+481-482. Полученное значение должно совпадать с сальдо на конец отчетного периода всех элементов подгруппы 3113 «Другие основные фонды» (за исключением элементов, на которых учитывается накопленная амортизация), а именно: 31131 110, 31131 120, 31131 130, 31131 140, 31131 150, 31131 190, 31132 110, 31132 120, 31132 130, 31132 190, 31133 110</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500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Накопленная амортизация на конец периода (360+451-452)</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360+451-452. Полученное значение должно совпадать с сальдо на конец отчетного периода всех элементов подгруппы 3113 «Другие основные фонды», на которых учитывается накопленная амортизация, а именно: 31132 910, 31132 920, 31132 930, 31132 990.</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510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Балансовая стоимость на конец периода (490-500)</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вычитания следующих строк: 490-500</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3114. Незавершенное строительство зданий и сооружений</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520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Незавершенное строительство на начало периода</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сальдо на начало отчетного года всех элементов подгруппы 3114 «Незавершенное строительство зданий и сооружений», а именно: 31141 110, 31141 120, 31141 130</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530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Затраты, отнесенные на стоимость незавершенного строительства</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затраты по строительству зданий и сооружений, первоначально отнесенные в отчетном периоде на стоимость элементов подгруппы 3114 «Незавершенное строительство зданий и сооружений». Для определения суммы по данной строке необходимо проанализировать дебетовые обороты за период по элементам подгруппы 3114 «Незавершенное строительство зданий и сооружений», а именно: 31141 110, 31141 120, 31141 130</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540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Признание незавершенного строительства основными фондами</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в отношении зданий и сооружений, признанных таковыми в отчетном периоде и перенесенных с элементов подгруппы 3114 «Незавершенное строительство зданий и сооружений» на соответствующие элементы подгруппы 3111 «Здания и сооружения»</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550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Незавершенное строительство на конец периода (520+530-540)</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550+560-570</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560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Всего: первоначальная стоимость на начало периода (010+180+350+520)</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010+180+350+520</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570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Всего: накопленная амортизация на начало периода (020+190+360)</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020+190+360.</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580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Всего: основных фондов на начало периода (030+200+370+520)/(560-570)</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вычитания следующих строк: 560-570</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590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Всего: первоначальная стоимость на конец периода (150+320+490+550)</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150+320+490+550</w:t>
            </w:r>
          </w:p>
        </w:tc>
      </w:tr>
      <w:tr>
        <w:tc>
          <w:tcPr>
            <w:tcW w:type="dxa" w:w="3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600</w:t>
            </w:r>
          </w:p>
        </w:tc>
        <w:tc>
          <w:tcPr>
            <w:tcW w:type="dxa" w:w="30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Всего: накопленная амортизация на конец периода (160+330+500)</w:t>
            </w:r>
          </w:p>
        </w:tc>
        <w:tc>
          <w:tcPr>
            <w:tcW w:type="dxa" w:w="67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160+330+500</w:t>
            </w:r>
          </w:p>
        </w:tc>
      </w:tr>
      <w:tr>
        <w:tc>
          <w:tcPr>
            <w:tcW w:type="dxa" w:w="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610</w:t>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основных фондов на конец периода (170+340+510+550)/(590-610)</w:t>
            </w:r>
          </w:p>
        </w:tc>
        <w:tc>
          <w:tcPr>
            <w:tcW w:type="dxa" w:w="6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вычитания следующих строк: 590-610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32. Приложение 2 «Запасы»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649. Информация в Приложении 2 «Запасы» (далее - Приложение 2) содержит обобщенные за отчетный период данные о движении запасов. В графе 1 указывается код и наименование показателей, в графе 2 - коды строк Приложения 2. В графе 3 указываются итоговые данные по запасам, в графах 4 и 5 соответствующие данные в разрезе бюджетных и специальных средств.</w:t>
      </w:r>
    </w:p>
    <w:p>
      <w:pPr>
        <w:spacing w:after="120"/>
        <w:jc w:val="both"/>
      </w:pPr>
      <w:r>
        <w:rPr>
          <w:rFonts w:ascii="Arial" w:cs="Arial" w:eastAsia="Arial" w:hAnsi="Arial"/>
          <w:sz w:val="24"/>
          <w:szCs w:val="24"/>
        </w:rPr>
        <w:t xml:space="preserve">650. Данные для Приложения 2 формируются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8"/>
        <w:gridCol w:w="2624"/>
        <w:gridCol w:w="7206"/>
      </w:tblGrid>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3121. Стратегические запасы</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31211. Запасы Фонда государственного материального резерва</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31211 «Запасы фонда государственного материального резерва», а именно: 31211 110, 31211 120, 31211 130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020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Приобретение</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запасы Фонда государственного материального резерва (далее - запасы Фонда) и стоимость которых отражена по элементам, входящим в счет 31211 «Запасы Фонда государственного материального резерва». Авансовые платежи, по которым на отчетную дату не было фактической поставки, в данную строку не включаются</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030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запасов Фонда, переданных (без оплаты) другими бюджетными учреждениями в адрес отчитывающегося учреждения</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040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запасов Фонда, переданных (без оплаты) любыми лицами (кроме других бюджетных учреждений) в адрес отчитывающегося учреждения</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050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Продажи</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себестоимости запасов Фонда, реализованных в течение отчетного периода, вне зависимости получены или нет денежные средства (или иное вознаграждение) за такую поставку. При расчете себестоимости выбранный метод списания должен применяться последовательно из периода в период. Для определения суммы по данной строке необходимо проанализировать кредитовые обороты за период по элементам счета 31211 «Запасы фонда государственного материального резерва», а именно: 31211 110, 31211 120, 31211 190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060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запасов Фонда, переданных (без оплаты) в течение отчетного периода другому учреждению</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070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запасов Фонда переданных (без оплаты) в течение отчетного периода любым лицам (кроме бюджетных учреждений)</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080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Обесценение</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запасов Фонда, по которым справедливая (рыночная) стоимость на отчетную дату стала ниже их балансовой стоимости. Признаками обесценения, в частности, могут выступать факты, подтверждающие непригодность (полную или частичную) использования таких запасов по их прямому назначению</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090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запасов Фонда, по которым в результате инвентаризации выявлены излишки. Если стоимость вновь выявленных запасов Фонда неизвестна, необходимо проведение процедур определения справедливой (рыночной) стоимости данных активов</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запасов Фонда, по которым в результате инвентаризации выявлена недостача</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110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(010+020+030+040-050-060-070-080+090-100)</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010+020+030+040-050-060-070-080+090-100. Полученное значение должно совпадать с сальдо на конец отчетного периода всех элементов счета 31211 «Запасы Фонда государственного материального резерва», а именно: 31211 110, 31211 120, 31211 130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31221. Сырье и материалы</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120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31221 «Сырье и материалы», а именно: 31221 110, 31221 120, 31221 130, 31221 140, 31221 150, 31221 160, 31221 170, 31221 190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Приобретение</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сырье и материалы и стоимость которых отражена по элементам, входящим в счет 31221 «Сырье и материалы». Авансовые платежи, по которым на отчетную дату не было фактической поставки, в данную строку не включаются</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140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сырья и материалов, переданных (без оплаты) другими бюджетными учреждениями в адрес отчитывающегося учреждении</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150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сырья и материалов, переданных (без оплаты) любыми лицами (кроме других бюджетных учреждений) в адрес отчитывающегося учреждения</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160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Продажи</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себестоимости сырья и материалов, реализованных в течение отчетного периода, вне зависимости получены или нет денежные средства (или иное вознаграждение) за такую поставку. При расчете себестоимости выбранный метод списания должен применяться последовательно из периода в период. Для определения суммы по данной строке необходимо проанализировать кредитовые обороты за период по элементам счета 31221 «Сырье и материалы», а именно: 31221 110, 31221 120, 31221 130, 31221 140, 31221 150, 31221 160, 31221 170, 31221 190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170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сырья и материалов, переданных (без оплаты) в течение отчетного периода другому учреждению</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180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сырья и материалов переданных (без оплаты) в течение отчетного периода любым лицам (кроме бюджетных учреждений)</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190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Обесценение</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запасов сырья и материалов, по которым справедливая (рыночная) стоимость на отчетную дату стала ниже их балансовой стоимости. Признаками обесценения, в частности, могут выступать факты, подтверждающие непригодность (полную или частичную) использования таких запасов по их прямому назначению</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Списание</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первоначальная сумма других основных фондов, списанных в установленном порядке</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запасов сырья и материалов, по которым в результате инвентаризации выявлены излишки. Если стоимость вновь выявленных запасов неизвестна, необходимо проведение процедур определения справедливой (рыночной) стоимости данных активов</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210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запасов сырья и материалов, по которым в результате инвентаризации выявлена недостача</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220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(120+130+140+150-160-170-180-190+200-210)</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120+130+140+150-160-170-180-190+200-210. Полученное значение должно совпадать с сальдо на конец отчетного периода всех элементов счета 31221 «Сырье и материалы», а именно: 31221 110, 31221 120, 31221 130, 31221 140, 31221 150, 31221 160, 31221 170, 31221 190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62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31222. Незавершенное производство</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Незавершенное производство на начало периода</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элементов счета 31222 «Незавершенное производство», а именно: 31222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240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Отнесение затрат на незавершенное производство</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затраты по производству готовой продукции, понесенные в отчетном периоде. Для определения суммы по данной строке необходимо проанализировать дебетовые обороты за период по элементам счета 31222 «Незавершенное производство», а именно: 31222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250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Признание незавершенного производства готовой продукцией</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в отношении незавершенного производства, признанного в отчетном периоде готовой продукцией. Для определения суммы по данной строке необходимо проанализировать кредитовые обороты за период по элементам счета 31222 «Незавершенное производство», а именно: 31222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260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Незавершенное производство на конец периода (230+240-250)</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230+240-250. Полученное значение должно совпадать с сальдо на конец отчетного периода всех элементов счета 31222 «Незавершенное производство», а именно: 31222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31223. Готовая продукция</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270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Готовая продукция на начало периода</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элементов счета 31223 «Готовая продукция», а именно: 31223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280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Изготовленная готовая продукция</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в отношении готовой продукции, произведенной в отчетном периоде. Для определения суммы по данной строке необходимо проанализировать дебетовые обороты за период по элементам счета 31223 «Готовая продукция», а именно: 31223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290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Реализованная (списанная) готовая продукция</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себестоимость готовой продукции, реализованная в отчетном периоде. При расчете себестоимости выбранный метод списания должен применяться последовательно из периода в период. Для определения суммы по данной строке необходимо проанализировать кредитовые обороты за период по элементам счета 31223 «Готовая продукция», а именно: 31223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300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запасов готовой продукции, по которым в результате инвентаризации выявлены излишки</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310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запасов готовой продукции, по которым в результате инвентаризации выявлена недостача</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320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Готовая продукция на конец периода (270+280-290+300-310)</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270+280-290+300-310. Полученное значение должно совпадать с сальдо на конец отчетного периода всех элементов счета 31223 «Готовая продукция», а именно: 31223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31224. Товары для перепродажи</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330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Товары для перепродажи на начало периода</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элементов счета 31224 «Товары для перепродажи», а именно: 31224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340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Приобретенные (поступившие) товары</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товары для перепродажи и стоимость которых отражена по элементам, входящим в счет 31224 «Товары для перепродажи». Авансовые платежи, по которым на отчетную дату не было фактической поставки, в данную строку не включаются</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350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Реализованные (списанные) товары</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себестоимости товаров для перепродажи, реализованных в течение отчетного периода, вне зависимости получены или нет денежные средства (или иное вознаграждение) за такую поставку. При расчете себестоимости выбранный метод списания должен применяться последовательно из периода в период. Для определения суммы по данной строке необходимо проанализировать кредитовые обороты за период по элементам счета 31224 «Товары для перепродажи», а именно: 31224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360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товаров для перепродажи, по которым в результате инвентаризации выявлены излишки</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370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товаров для перепродажи, по которым в результате инвентаризации выявлена недостача</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380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Товары для перепродажи на конец периода (330+340-350+360-370)</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330+340-350+360-370. Полученное значение должно совпадать с сальдо на конец отчетного периода всех элементов счета 31224 «Товары для перепродажи», а именно: 31224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31225. МБП</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390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элементов счета 31225 «МБП», а именно: 31225 100, 31225 200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400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Приобретение</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МБП и стоимость которых отражена по элементам, входящим в счет 31225 «МБП». Авансовые платежи, по которым на отчетную дату не было фактической поставки, в данную строку не включаются</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410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МБП, переданных (без оплаты) другими бюджетными учреждениями в адрес отчитывающегося учреждения</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420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МБП, переданных (без оплаты) любыми лицами (кроме других бюджетных учреждений) в адрес отчитывающегося учреждения</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430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Продажи</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себестоимости МБП, реализованных в течение отчетного периода, вне зависимости получены или нет денежные средства (или иное вознаграждение) за такую поставку. При расчете себестоимости выбранный метод списания должен применяться последовательно из периода в период. Для определения суммы по данной строке необходимо проанализировать кредитовые обороты за период по элементам счета 31225 «МБП», а именно: 31225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440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МБП, переданных (без оплаты) в течение отчетного периода другому учреждению</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450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МБП, переданных (без оплаты) в течение отчетного периода любым лицам (кроме бюджетных учреждений)</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Обесценение</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запасов МБП, по которым справедливая (рыночная) стоимость на отчетную дату стала ниже их балансовой стоимости. Признаками обесценения, в частности, могут выступать факты, подтверждающие непригодность (полную или частичную) использования таких запасов по их прямому назначению</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МБП, по которым в результате инвентаризации выявлены излишки</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480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МБП, по которым в результате инвентаризации выявлена недостача</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490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(390+400+410+420-430-440-450-460+470-480)</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390+400+410+420-430-440-450-460+470-480. Полученное значение должно совпадать с сальдо на конец отчетного периода всех элементов счета 31225 «МБП», а именно: 31225 100, 31225 200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500</w:t>
            </w:r>
          </w:p>
        </w:tc>
        <w:tc>
          <w:tcPr>
            <w:tcW w:type="dxa" w:w="26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Всего запасов на начало периода (010+120+230+270+330+390)</w:t>
            </w:r>
          </w:p>
        </w:tc>
        <w:tc>
          <w:tcPr>
            <w:tcW w:type="dxa" w:w="72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010+120+230+270+330+390</w:t>
            </w:r>
          </w:p>
        </w:tc>
      </w:tr>
      <w:tr>
        <w:tc>
          <w:tcPr>
            <w:tcW w:type="dxa" w:w="3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510</w:t>
            </w:r>
          </w:p>
        </w:tc>
        <w:tc>
          <w:tcPr>
            <w:tcW w:type="dxa" w:w="2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запасов на конец периода (110+220+260+320+380+490)</w:t>
            </w:r>
          </w:p>
        </w:tc>
        <w:tc>
          <w:tcPr>
            <w:tcW w:type="dxa" w:w="7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110+220+260+320+380+490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33. Приложение 3 «Ценности» к Балансу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651. Информация в Приложении 3 «Ценности» (далее - Приложение 3) содержит обобщенные за отчетный период данные о движении ценностей. В графе 1 указывается код и наименование показателей, в графе 2 - коды строк Приложения 3. В графе 3 указываются итоговые данные по ценностям, в графах 4 и 5 - соответствующие данные в разрезе бюджетных и специальных средств.</w:t>
      </w:r>
    </w:p>
    <w:p>
      <w:pPr>
        <w:spacing w:after="120"/>
        <w:jc w:val="both"/>
      </w:pPr>
      <w:r>
        <w:rPr>
          <w:rFonts w:ascii="Arial" w:cs="Arial" w:eastAsia="Arial" w:hAnsi="Arial"/>
          <w:sz w:val="24"/>
          <w:szCs w:val="24"/>
        </w:rPr>
        <w:t xml:space="preserve">652. Данные для Приложения 3 формируются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8"/>
        <w:gridCol w:w="2384"/>
        <w:gridCol w:w="7446"/>
      </w:tblGrid>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3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3131. Драгоценные металлы и камни</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3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31311. Драгоценные металлы и камни</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010</w:t>
            </w:r>
          </w:p>
        </w:tc>
        <w:tc>
          <w:tcPr>
            <w:tcW w:type="dxa" w:w="23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элементов счета 31311 «Драгоценные металлы и камни», а именно: 31311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020</w:t>
            </w:r>
          </w:p>
        </w:tc>
        <w:tc>
          <w:tcPr>
            <w:tcW w:type="dxa" w:w="23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Приобретение</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драгоценные металлы и камни и стоимость которых отражена по элементам, входящим в счет 31311 «Драгоценные металлы и камни». Авансовые платежи, по которым на отчетную дату не было фактической поставки, в данную строку не включаются</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030</w:t>
            </w:r>
          </w:p>
        </w:tc>
        <w:tc>
          <w:tcPr>
            <w:tcW w:type="dxa" w:w="23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драгоценных металлов и камней, переданных (без оплаты) другими бюджетными учреждениями в адрес отчитывающегося учреждения</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040</w:t>
            </w:r>
          </w:p>
        </w:tc>
        <w:tc>
          <w:tcPr>
            <w:tcW w:type="dxa" w:w="23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драгоценных металлов и камней, переданных (без оплаты) любыми лицами (кроме других бюджетных учреждений) в адрес отчитывающегося учреждения</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050</w:t>
            </w:r>
          </w:p>
        </w:tc>
        <w:tc>
          <w:tcPr>
            <w:tcW w:type="dxa" w:w="23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Продажи</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себестоимости драгоценных металлов и камней, реализованных в течение отчетного периода, вне зависимости получены или нет денежные средства (или иное вознаграждение) за такую поставку. При расчете себестоимости выбранный метод списания должен применяться последовательно из периода в период. Для определения суммы по данной строке необходимо проанализировать кредитовые обороты за период по элементам счета 31311 «Драгоценные металлы и камни», а именно: 31311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060</w:t>
            </w:r>
          </w:p>
        </w:tc>
        <w:tc>
          <w:tcPr>
            <w:tcW w:type="dxa" w:w="23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драгоценных металлов и камней, переданных (без оплаты) в течение отчетного периода другому учреждению</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070</w:t>
            </w:r>
          </w:p>
        </w:tc>
        <w:tc>
          <w:tcPr>
            <w:tcW w:type="dxa" w:w="23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драгоценных металлов и камней переданных (без оплаты) в течение отчетного периода любым лицам (кроме бюджетных учреждений)</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080</w:t>
            </w:r>
          </w:p>
        </w:tc>
        <w:tc>
          <w:tcPr>
            <w:tcW w:type="dxa" w:w="23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Обесценение</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драгоценных металлов и камней, по которым справедливая (рыночная) стоимость на отчетную дату стала ниже их балансовой стоимости</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090</w:t>
            </w:r>
          </w:p>
        </w:tc>
        <w:tc>
          <w:tcPr>
            <w:tcW w:type="dxa" w:w="23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драгоценных металлов и камней, по которым в результате инвентаризации выявлены излишки. Если стоимость вновь выявленных драгоценных металлов и камней неизвестна, необходимо проведение процедур определения справедливой (рыночной) стоимости данных активов</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100</w:t>
            </w:r>
          </w:p>
        </w:tc>
        <w:tc>
          <w:tcPr>
            <w:tcW w:type="dxa" w:w="23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драгоценных металлов и камней, по которым в результате инвентаризации выявлена недостача</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110</w:t>
            </w:r>
          </w:p>
        </w:tc>
        <w:tc>
          <w:tcPr>
            <w:tcW w:type="dxa" w:w="23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(010+020+030+040-050-060-070-080+090-100)</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010+020+030+040-050-060-070-080+090-100. Полученное значение должно совпадать с сальдо на конец отчетного периода элементов счета 31311 «Драгоценные металлы и камни», а именно: 31311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3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3132. Активы культурного наследия</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3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31321. Активы культурного наследия</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120</w:t>
            </w:r>
          </w:p>
        </w:tc>
        <w:tc>
          <w:tcPr>
            <w:tcW w:type="dxa" w:w="23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элементов счета 31321 «Активы культурного наследия», а именно: 31321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130</w:t>
            </w:r>
          </w:p>
        </w:tc>
        <w:tc>
          <w:tcPr>
            <w:tcW w:type="dxa" w:w="23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Приобретение</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активы культурного наследия и стоимость которых отражена по элементам, входящим в счет 31321 «Активы культурного наследия». Авансовые платежи, по которым на отчетную дату не было фактической поставки, в данную строку не включаются</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140</w:t>
            </w:r>
          </w:p>
        </w:tc>
        <w:tc>
          <w:tcPr>
            <w:tcW w:type="dxa" w:w="23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активов культурного наследия, переданных (без оплаты) другими бюджетными учреждениями в адрес отчитывающегося учреждения</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150</w:t>
            </w:r>
          </w:p>
        </w:tc>
        <w:tc>
          <w:tcPr>
            <w:tcW w:type="dxa" w:w="23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активов культурного наследия, переданных (без оплаты) любыми лицами (кроме других бюджетных учреждений) в адрес отчитывающегося учреждения</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160</w:t>
            </w:r>
          </w:p>
        </w:tc>
        <w:tc>
          <w:tcPr>
            <w:tcW w:type="dxa" w:w="23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Продажи</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активов культурного наследия, реализованных в течение отчетного периода, вне зависимости получены или нет денежные средства (или иное вознаграждение) за такую поставку. При расчете стоимости выбранный метод списания должен применяться последовательно из периода в период. Для определения суммы по данной строке необходимо проанализировать кредитовые обороты за период по элементам счета 31321 «Активы культурного наследия», а именно: 31321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170</w:t>
            </w:r>
          </w:p>
        </w:tc>
        <w:tc>
          <w:tcPr>
            <w:tcW w:type="dxa" w:w="23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активов культурного наследия, переданных (без оплаты) в течение отчетного периода другому учреждению</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180</w:t>
            </w:r>
          </w:p>
        </w:tc>
        <w:tc>
          <w:tcPr>
            <w:tcW w:type="dxa" w:w="23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активов культурного наследия переданных (без оплаты) в течение отчетного периода любым лицам (кроме бюджетных учреждений)</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190</w:t>
            </w:r>
          </w:p>
        </w:tc>
        <w:tc>
          <w:tcPr>
            <w:tcW w:type="dxa" w:w="23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Обесценение</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активов культурного наследия, по которым справедливая (рыночная) стоимость на отчетную дату стала ниже их балансовой стоимости</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200</w:t>
            </w:r>
          </w:p>
        </w:tc>
        <w:tc>
          <w:tcPr>
            <w:tcW w:type="dxa" w:w="23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активов культурного наследия, по которым в результате инвентаризации выявлены излишки. Если стоимость вновь выявленных активов неизвестна, необходимо проведение процедур определения справедливой (рыночной) стоимости данных активов</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210</w:t>
            </w:r>
          </w:p>
        </w:tc>
        <w:tc>
          <w:tcPr>
            <w:tcW w:type="dxa" w:w="23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активов культурного наследия, по которым в результате инвентаризации выявлена недостача</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220</w:t>
            </w:r>
          </w:p>
        </w:tc>
        <w:tc>
          <w:tcPr>
            <w:tcW w:type="dxa" w:w="23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(120+130+140+150-160-170-180-190+200-210)</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120+130+140+150-160-170-180-190+200-210. Полученное значение должно совпадать с сальдо на конец отчетного периода элементов счета 31321 «Активы культурного наследия», а именно: 31321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3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3133. Ювелирные изделия</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3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31331. Ювелирные изделия</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230</w:t>
            </w:r>
          </w:p>
        </w:tc>
        <w:tc>
          <w:tcPr>
            <w:tcW w:type="dxa" w:w="23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элементов счета 31331 «Ювелирные изделия», а именно: 31331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240</w:t>
            </w:r>
          </w:p>
        </w:tc>
        <w:tc>
          <w:tcPr>
            <w:tcW w:type="dxa" w:w="23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Приобретение</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ювелирные изделия и стоимость которых отражена по элементам, входящим в счет 31331 «Ювелирные изделия». Авансовые платежи, по которым на отчетную дату не было фактической поставки, в данную строку не включаются</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250</w:t>
            </w:r>
          </w:p>
        </w:tc>
        <w:tc>
          <w:tcPr>
            <w:tcW w:type="dxa" w:w="23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ювелирных изделий, переданных (без оплаты) другими бюджетными учреждениями в адрес отчитывающегося учреждения</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260</w:t>
            </w:r>
          </w:p>
        </w:tc>
        <w:tc>
          <w:tcPr>
            <w:tcW w:type="dxa" w:w="23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ювелирных изделий, переданных (без оплаты) любыми лицами (кроме других бюджетных учреждений) в адрес отчитывающегося учреждения</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270</w:t>
            </w:r>
          </w:p>
        </w:tc>
        <w:tc>
          <w:tcPr>
            <w:tcW w:type="dxa" w:w="23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Продажи</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себестоимости ювелирных изделий, реализованных в течение отчетного периода, вне зависимости получены или нет денежные средства (или иное вознаграждение) за такую поставку. При расчете себестоимости выбранный метод списания должен применяться последовательно из периода в период. Для определения суммы по данной строке необходимо проанализировать кредитовые обороты за период по элементам счета 31331 «Ювелирные изделия», а именно: 31331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280</w:t>
            </w:r>
          </w:p>
        </w:tc>
        <w:tc>
          <w:tcPr>
            <w:tcW w:type="dxa" w:w="23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ювелирных изделий, переданных (без оплаты) в течение отчетного периода другому учреждению</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290</w:t>
            </w:r>
          </w:p>
        </w:tc>
        <w:tc>
          <w:tcPr>
            <w:tcW w:type="dxa" w:w="23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ювелирных изделий, переданных (без оплаты) в течение отчетного периода любым лицам (кроме бюджетных учреждений)</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300</w:t>
            </w:r>
          </w:p>
        </w:tc>
        <w:tc>
          <w:tcPr>
            <w:tcW w:type="dxa" w:w="23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Обесценение</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запасов сырья и материалов, по которым справедливая (рыночная) стоимость на отчетную дату стала ниже их балансовой стоимости</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310</w:t>
            </w:r>
          </w:p>
        </w:tc>
        <w:tc>
          <w:tcPr>
            <w:tcW w:type="dxa" w:w="23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ювелирных изделий, по которым в результате инвентаризации выявлены излишки. Если стоимость вновь выявленных активов неизвестна, необходимо проведение процедур определения справедливой (рыночной) стоимости данных активов</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320</w:t>
            </w:r>
          </w:p>
        </w:tc>
        <w:tc>
          <w:tcPr>
            <w:tcW w:type="dxa" w:w="23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ювелирных изделий, по которым в результате инвентаризации выявлена недостача</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330</w:t>
            </w:r>
          </w:p>
        </w:tc>
        <w:tc>
          <w:tcPr>
            <w:tcW w:type="dxa" w:w="23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(230+240+250+260-270-280-290-300+310-320)</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230+240+250+260-270-280-290-300+310-320. Полученное значение должно совпадать с сальдо на конец отчетного периода элементов счета 31331 «Ювелирные изделия», а именно: 31331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340</w:t>
            </w:r>
          </w:p>
        </w:tc>
        <w:tc>
          <w:tcPr>
            <w:tcW w:type="dxa" w:w="23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Всего ценностей на начало периода (010+120+230)</w:t>
            </w:r>
          </w:p>
        </w:tc>
        <w:tc>
          <w:tcPr>
            <w:tcW w:type="dxa" w:w="74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010+120+230</w:t>
            </w:r>
          </w:p>
        </w:tc>
      </w:tr>
      <w:tr>
        <w:tc>
          <w:tcPr>
            <w:tcW w:type="dxa" w:w="3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2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ценностей на конец периода (110+220+330)</w:t>
            </w:r>
          </w:p>
        </w:tc>
        <w:tc>
          <w:tcPr>
            <w:tcW w:type="dxa" w:w="7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110+220+330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34. Приложение 4 «Непроизведенные активы»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653. Информация в Приложении 4 «Непроизведенные активы» (далее - Приложение 4) содержит обобщенные за отчетный период данные о движении земельных участков и других непроизведенных активов. В графе 1 указывается код и наименование показателей, в графе 2 - коды строк Приложения 4. В графе 3 указываются итоговые данные по ценностям, в графах 4 и 5 - соответствующие данные в разрезе бюджетных и специальных средств.</w:t>
      </w:r>
    </w:p>
    <w:p>
      <w:pPr>
        <w:spacing w:after="120"/>
        <w:jc w:val="both"/>
      </w:pPr>
      <w:r>
        <w:rPr>
          <w:rFonts w:ascii="Arial" w:cs="Arial" w:eastAsia="Arial" w:hAnsi="Arial"/>
          <w:sz w:val="24"/>
          <w:szCs w:val="24"/>
        </w:rPr>
        <w:t xml:space="preserve">654. Данные для Приложения 4 формируются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8"/>
        <w:gridCol w:w="2577"/>
        <w:gridCol w:w="7253"/>
      </w:tblGrid>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3141. Земля</w:t>
            </w:r>
          </w:p>
        </w:tc>
        <w:tc>
          <w:tcPr>
            <w:tcW w:type="dxa" w:w="72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31411. Сельскохозяйственные земли</w:t>
            </w:r>
          </w:p>
        </w:tc>
        <w:tc>
          <w:tcPr>
            <w:tcW w:type="dxa" w:w="72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010</w:t>
            </w:r>
          </w:p>
        </w:tc>
        <w:tc>
          <w:tcPr>
            <w:tcW w:type="dxa" w:w="2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2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элементов счета 31411 «Сельскохозяйственные земли», а именно: 31411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020</w:t>
            </w:r>
          </w:p>
        </w:tc>
        <w:tc>
          <w:tcPr>
            <w:tcW w:type="dxa" w:w="2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Приобретение</w:t>
            </w:r>
          </w:p>
        </w:tc>
        <w:tc>
          <w:tcPr>
            <w:tcW w:type="dxa" w:w="72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сельскохозяйственные земли и стоимость которых отражена по элементам, входящим в счет 31411 «Сельскохозяйственные земли». Авансовые платежи, по которым на отчетную дату не было фактической поставки, в данную строку не включаются</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030</w:t>
            </w:r>
          </w:p>
        </w:tc>
        <w:tc>
          <w:tcPr>
            <w:tcW w:type="dxa" w:w="2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72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сельскохозяйственных земель, переданных (без оплаты) другими бюджетными учреждениями в адрес отчитывающегося учреждения</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040</w:t>
            </w:r>
          </w:p>
        </w:tc>
        <w:tc>
          <w:tcPr>
            <w:tcW w:type="dxa" w:w="2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72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сельскохозяйственных земель, переданных (без оплаты) любыми лицами (кроме других бюджетных учреждений) в адрес отчитывающегося учреждения</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050</w:t>
            </w:r>
          </w:p>
        </w:tc>
        <w:tc>
          <w:tcPr>
            <w:tcW w:type="dxa" w:w="2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Продажи</w:t>
            </w:r>
          </w:p>
        </w:tc>
        <w:tc>
          <w:tcPr>
            <w:tcW w:type="dxa" w:w="72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себестоимости сельскохозяйственных земель, реализованных в течение отчетного периода, вне зависимости получены или нет денежные средства (или иное вознаграждение) за такую поставку. Для определения суммы по данной строке необходимо проанализировать кредитовые обороты за период по элементам счета 31411 «Сельскохозяйственные земли», а именно: 31411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060</w:t>
            </w:r>
          </w:p>
        </w:tc>
        <w:tc>
          <w:tcPr>
            <w:tcW w:type="dxa" w:w="2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72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сельскохозяйственных земель, переданных (без оплаты) в течение отчетного периода другому учреждению</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070</w:t>
            </w:r>
          </w:p>
        </w:tc>
        <w:tc>
          <w:tcPr>
            <w:tcW w:type="dxa" w:w="2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72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сельскохозяйственных земель, переданных (без оплаты) в течение отчетного периода любым лицам (кроме бюджетных учреждений)</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080</w:t>
            </w:r>
          </w:p>
        </w:tc>
        <w:tc>
          <w:tcPr>
            <w:tcW w:type="dxa" w:w="2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Обесценение</w:t>
            </w:r>
          </w:p>
        </w:tc>
        <w:tc>
          <w:tcPr>
            <w:tcW w:type="dxa" w:w="72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сельскохозяйственных земель, по которым справедливая (рыночная) стоимость на отчетную дату стала ниже их балансовой стоимости</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090</w:t>
            </w:r>
          </w:p>
        </w:tc>
        <w:tc>
          <w:tcPr>
            <w:tcW w:type="dxa" w:w="2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72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сельскохозяйственных земель, по которым в результате инвентаризации выявлены излишки. Если стоимость вновь выявленных активов неизвестна, необходимо проведение процедур определения справедливой (рыночной) стоимости данных активов</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100</w:t>
            </w:r>
          </w:p>
        </w:tc>
        <w:tc>
          <w:tcPr>
            <w:tcW w:type="dxa" w:w="2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72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сельскохозяйственных земель, по которым в результате инвентаризации выявлена недостача</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110</w:t>
            </w:r>
          </w:p>
        </w:tc>
        <w:tc>
          <w:tcPr>
            <w:tcW w:type="dxa" w:w="2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(010+020+030+040-050-060-070-080+090-100)</w:t>
            </w:r>
          </w:p>
        </w:tc>
        <w:tc>
          <w:tcPr>
            <w:tcW w:type="dxa" w:w="72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010+020+030+040-050-060-070-080+090-100. Полученное значение должно совпадать с сальдо на конец отчетного периода элементов счета 31411 «Сельскохозяйственные земли», а именно: 31411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31412. Несельскохозяйственные земли</w:t>
            </w:r>
          </w:p>
        </w:tc>
        <w:tc>
          <w:tcPr>
            <w:tcW w:type="dxa" w:w="72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120</w:t>
            </w:r>
          </w:p>
        </w:tc>
        <w:tc>
          <w:tcPr>
            <w:tcW w:type="dxa" w:w="2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2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элементов счета 31412 «Несельскохозяйственные земли», а именно: 31412 110, 31412 120, 31412 130, 31412 140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130</w:t>
            </w:r>
          </w:p>
        </w:tc>
        <w:tc>
          <w:tcPr>
            <w:tcW w:type="dxa" w:w="2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Приобретение</w:t>
            </w:r>
          </w:p>
        </w:tc>
        <w:tc>
          <w:tcPr>
            <w:tcW w:type="dxa" w:w="72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поставку активов, которые подпадают под определение и классифицируются как несельскохозяйственные земли и стоимость которых отражена по элементам, входящим в счет 31412 «Несельскохозяйственные земли». Авансовые платежи, по которым на отчетную дату не было фактической поставки, в данную строку не включаются</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140</w:t>
            </w:r>
          </w:p>
        </w:tc>
        <w:tc>
          <w:tcPr>
            <w:tcW w:type="dxa" w:w="2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Получение от другой единицы сектора госуправления</w:t>
            </w:r>
          </w:p>
        </w:tc>
        <w:tc>
          <w:tcPr>
            <w:tcW w:type="dxa" w:w="72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несельскохозяйственных земель, переданных (без оплаты) другими бюджетными учреждениями в адрес отчитывающегося учреждения</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150</w:t>
            </w:r>
          </w:p>
        </w:tc>
        <w:tc>
          <w:tcPr>
            <w:tcW w:type="dxa" w:w="2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Иное безвозмездное поступление</w:t>
            </w:r>
          </w:p>
        </w:tc>
        <w:tc>
          <w:tcPr>
            <w:tcW w:type="dxa" w:w="72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несельскохозяйственных земель, переданных (без оплаты) любыми лицами (кроме других бюджетных учреждений) в адрес отчитывающегося учреждения</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160</w:t>
            </w:r>
          </w:p>
        </w:tc>
        <w:tc>
          <w:tcPr>
            <w:tcW w:type="dxa" w:w="2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Продажи</w:t>
            </w:r>
          </w:p>
        </w:tc>
        <w:tc>
          <w:tcPr>
            <w:tcW w:type="dxa" w:w="72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себестоимости несельскохозяйственных земель, реализованных в течение отчетного периода, вне зависимости получены или нет денежные средства (или иное вознаграждение) за такую поставку. Для определения суммы по данной строке необходимо проанализировать кредитовые обороты за период по элементам счета 31412 «Несельскохозяйственные земли», а именно: 31412 110, 31412 120, 31412 130, 31412 140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170</w:t>
            </w:r>
          </w:p>
        </w:tc>
        <w:tc>
          <w:tcPr>
            <w:tcW w:type="dxa" w:w="2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Передача другой единице сектора госуправления</w:t>
            </w:r>
          </w:p>
        </w:tc>
        <w:tc>
          <w:tcPr>
            <w:tcW w:type="dxa" w:w="72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несельскохозяйственных земель, переданных (без оплаты) в течение отчетного периода другому учреждению</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180</w:t>
            </w:r>
          </w:p>
        </w:tc>
        <w:tc>
          <w:tcPr>
            <w:tcW w:type="dxa" w:w="2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Иная безвозмездная передача</w:t>
            </w:r>
          </w:p>
        </w:tc>
        <w:tc>
          <w:tcPr>
            <w:tcW w:type="dxa" w:w="72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несельскохозяйственных земель, переданных (без оплаты) в течение отчетного периода любым лицам (кроме бюджетных учреждений)</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190</w:t>
            </w:r>
          </w:p>
        </w:tc>
        <w:tc>
          <w:tcPr>
            <w:tcW w:type="dxa" w:w="2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Обесценение</w:t>
            </w:r>
          </w:p>
        </w:tc>
        <w:tc>
          <w:tcPr>
            <w:tcW w:type="dxa" w:w="72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тех несельскохозяйственных земель, по которым справедливая (рыночная) стоимость на отчетную дату стала ниже их балансовой стоимости</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200</w:t>
            </w:r>
          </w:p>
        </w:tc>
        <w:tc>
          <w:tcPr>
            <w:tcW w:type="dxa" w:w="2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Поступление по результатам инвентаризации</w:t>
            </w:r>
          </w:p>
        </w:tc>
        <w:tc>
          <w:tcPr>
            <w:tcW w:type="dxa" w:w="72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несельскохозяйственных земель, по которым в результате инвентаризации выявлены излишки. Если стоимость вновь выявленных активов неизвестна, необходимо проведение процедур определения справедливой (рыночной) стоимости данных активов</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210</w:t>
            </w:r>
          </w:p>
        </w:tc>
        <w:tc>
          <w:tcPr>
            <w:tcW w:type="dxa" w:w="2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Выбытие по результатам инвентаризации</w:t>
            </w:r>
          </w:p>
        </w:tc>
        <w:tc>
          <w:tcPr>
            <w:tcW w:type="dxa" w:w="72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стоимости несельскохозяйственных земель, по которым в результате инвентаризации выявлена недостача</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220</w:t>
            </w:r>
          </w:p>
        </w:tc>
        <w:tc>
          <w:tcPr>
            <w:tcW w:type="dxa" w:w="2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(120+130+140+150-160-170-180-190+200-210)</w:t>
            </w:r>
          </w:p>
        </w:tc>
        <w:tc>
          <w:tcPr>
            <w:tcW w:type="dxa" w:w="72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120+130+140+150-160-170-180-190+200-210. Полученное значение должно совпадать с сальдо на конец отчетного периода элементов счета 31412 «Несельскохозяйственные земли», а именно: 31412 110, 31412 120, 31412 130, 31412 140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230</w:t>
            </w:r>
          </w:p>
        </w:tc>
        <w:tc>
          <w:tcPr>
            <w:tcW w:type="dxa" w:w="25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Всего непроизведенных активов на начало (010+120)</w:t>
            </w:r>
          </w:p>
        </w:tc>
        <w:tc>
          <w:tcPr>
            <w:tcW w:type="dxa" w:w="72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010+120</w:t>
            </w:r>
          </w:p>
        </w:tc>
      </w:tr>
      <w:tr>
        <w:tc>
          <w:tcPr>
            <w:tcW w:type="dxa" w:w="3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2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непроизведенных активов на конец (110+220)</w:t>
            </w:r>
          </w:p>
        </w:tc>
        <w:tc>
          <w:tcPr>
            <w:tcW w:type="dxa" w:w="7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110+220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35. Приложение 5 «Валюта и депозиты»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655. Информация в Приложении 5 «Валюта и депозиты» (далее - Приложение 5) содержит обобщенные за отчетный период данные о движении денежных средств. В графе 1 указывается код и наименование показателей, в графе 2 - коды строк Приложения 5. В графе 3 указываются итоговые данные по денежным средствам, в графах 4 и 5 - соответствующие данные в разрезе бюджетных и специальных средств.</w:t>
      </w:r>
    </w:p>
    <w:p>
      <w:pPr>
        <w:spacing w:after="120"/>
        <w:jc w:val="both"/>
      </w:pPr>
      <w:r>
        <w:rPr>
          <w:rFonts w:ascii="Arial" w:cs="Arial" w:eastAsia="Arial" w:hAnsi="Arial"/>
          <w:sz w:val="24"/>
          <w:szCs w:val="24"/>
        </w:rPr>
        <w:t xml:space="preserve">656. Данные для Приложения 5 формируются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6"/>
        <w:gridCol w:w="2634"/>
        <w:gridCol w:w="7228"/>
      </w:tblGrid>
      <w:tr>
        <w:tc>
          <w:tcPr>
            <w:tcW w:type="dxa" w:w="31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63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3212. Валюта и депозиты (внутренние)</w:t>
            </w:r>
          </w:p>
        </w:tc>
        <w:tc>
          <w:tcPr>
            <w:tcW w:type="dxa" w:w="72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1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6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32121. Счета в системе Казначейства Кыргызской Республики</w:t>
            </w:r>
          </w:p>
        </w:tc>
        <w:tc>
          <w:tcPr>
            <w:tcW w:type="dxa" w:w="72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1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010</w:t>
            </w:r>
          </w:p>
        </w:tc>
        <w:tc>
          <w:tcPr>
            <w:tcW w:type="dxa" w:w="26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2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32121 «Счета в системе Казначейства Кыргызской Республики», а именно: 32121 110, 32121 120, 32121 130, 32121 140, 32121 150, 32121 160, 32121 170, 32121 180, 32121 190, 32121 210, 32121 220, 32121 230, 32121 240, 32121 250</w:t>
            </w:r>
          </w:p>
        </w:tc>
      </w:tr>
      <w:tr>
        <w:tc>
          <w:tcPr>
            <w:tcW w:type="dxa" w:w="31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020</w:t>
            </w:r>
          </w:p>
        </w:tc>
        <w:tc>
          <w:tcPr>
            <w:tcW w:type="dxa" w:w="26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Приток денежных средств</w:t>
            </w:r>
          </w:p>
        </w:tc>
        <w:tc>
          <w:tcPr>
            <w:tcW w:type="dxa" w:w="72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поступившие в отчетном периоде на счета, открытые в системе Казначейства. Для определения суммы по данной строке необходимо проанализировать дебетовые обороты за период по элементам счета 32121 «Счета в системе Казначейства Кыргызской Республики»</w:t>
            </w:r>
          </w:p>
        </w:tc>
      </w:tr>
      <w:tr>
        <w:tc>
          <w:tcPr>
            <w:tcW w:type="dxa" w:w="31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030</w:t>
            </w:r>
          </w:p>
        </w:tc>
        <w:tc>
          <w:tcPr>
            <w:tcW w:type="dxa" w:w="26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Отток денежных средств</w:t>
            </w:r>
          </w:p>
        </w:tc>
        <w:tc>
          <w:tcPr>
            <w:tcW w:type="dxa" w:w="72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списанные в отчетном периоде со счетов, открытых в системе Казначейства. Для определения суммы по данной строке необходимо проанализировать кредитовые обороты за период по элементам счета 32121 «Счета в системе Казначейства Кыргызской Республики»</w:t>
            </w:r>
          </w:p>
        </w:tc>
      </w:tr>
      <w:tr>
        <w:tc>
          <w:tcPr>
            <w:tcW w:type="dxa" w:w="31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040</w:t>
            </w:r>
          </w:p>
        </w:tc>
        <w:tc>
          <w:tcPr>
            <w:tcW w:type="dxa" w:w="26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(010+020-030)</w:t>
            </w:r>
          </w:p>
        </w:tc>
        <w:tc>
          <w:tcPr>
            <w:tcW w:type="dxa" w:w="72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 Полученное значение должно совпадать с сальдо на конец отчетного периода всех элементов счета 32121 «Счета в системе Казначейства Кыргызской Республики», а именно: 32121 110, 32121 120, 32121 130, 32121 140, 32121 150, 32121 160, 32121 170, 32121 180, 32121 190, 32121 210, 32121 220, 32121 230, 32121 240, 32121 250</w:t>
            </w:r>
          </w:p>
        </w:tc>
      </w:tr>
      <w:tr>
        <w:tc>
          <w:tcPr>
            <w:tcW w:type="dxa" w:w="31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6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32122. Счета в коммерческих банках Кыргызской Республики</w:t>
            </w:r>
          </w:p>
        </w:tc>
        <w:tc>
          <w:tcPr>
            <w:tcW w:type="dxa" w:w="72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1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050</w:t>
            </w:r>
          </w:p>
        </w:tc>
        <w:tc>
          <w:tcPr>
            <w:tcW w:type="dxa" w:w="26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2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32122 «Счета в коммерческих банках Кыргызской Республики», а именно: 32122 110, 32122 120</w:t>
            </w:r>
          </w:p>
        </w:tc>
      </w:tr>
      <w:tr>
        <w:tc>
          <w:tcPr>
            <w:tcW w:type="dxa" w:w="31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060</w:t>
            </w:r>
          </w:p>
        </w:tc>
        <w:tc>
          <w:tcPr>
            <w:tcW w:type="dxa" w:w="26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Приток денежных средств</w:t>
            </w:r>
          </w:p>
        </w:tc>
        <w:tc>
          <w:tcPr>
            <w:tcW w:type="dxa" w:w="72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поступившие в отчетном периоде на счета, открытые в коммерческих банках Кыргызской Республики. Для определения суммы по данной строке необходимо проанализировать дебетовые обороты за период по элементам счета 32122 «Счета в коммерческих банках Кыргызской Республики»</w:t>
            </w:r>
          </w:p>
        </w:tc>
      </w:tr>
      <w:tr>
        <w:tc>
          <w:tcPr>
            <w:tcW w:type="dxa" w:w="31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070</w:t>
            </w:r>
          </w:p>
        </w:tc>
        <w:tc>
          <w:tcPr>
            <w:tcW w:type="dxa" w:w="26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Отток денежных средств</w:t>
            </w:r>
          </w:p>
        </w:tc>
        <w:tc>
          <w:tcPr>
            <w:tcW w:type="dxa" w:w="72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списанные в отчетном периоде со счетов, открытых в в коммерческих банках Кыргызской Республики. Для определения суммы по данной строке необходимо проанализировать кредитовые обороты за период по элементам счета 32122 «Счета в коммерческих банках Кыргызской Республики»</w:t>
            </w:r>
          </w:p>
        </w:tc>
      </w:tr>
      <w:tr>
        <w:tc>
          <w:tcPr>
            <w:tcW w:type="dxa" w:w="31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080</w:t>
            </w:r>
          </w:p>
        </w:tc>
        <w:tc>
          <w:tcPr>
            <w:tcW w:type="dxa" w:w="26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72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все суммы, полученные в результате переоценки денежных средств на валютных счетах в коммерческих банках Кыргызской Республики</w:t>
            </w:r>
          </w:p>
        </w:tc>
      </w:tr>
      <w:tr>
        <w:tc>
          <w:tcPr>
            <w:tcW w:type="dxa" w:w="31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090</w:t>
            </w:r>
          </w:p>
        </w:tc>
        <w:tc>
          <w:tcPr>
            <w:tcW w:type="dxa" w:w="26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(050+060-070+080)</w:t>
            </w:r>
          </w:p>
        </w:tc>
        <w:tc>
          <w:tcPr>
            <w:tcW w:type="dxa" w:w="72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050+060-070+080. Полученное значение должно совпадать с сальдо на конец отчетного периода всех элементов счета 32121 «Счета в системе Казначейства Кыргызской Республики», а именно: 32122 110, 32122 120</w:t>
            </w:r>
          </w:p>
        </w:tc>
      </w:tr>
      <w:tr>
        <w:tc>
          <w:tcPr>
            <w:tcW w:type="dxa" w:w="31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6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32123. Наличные денежные средства в кассе учреждений</w:t>
            </w:r>
          </w:p>
        </w:tc>
        <w:tc>
          <w:tcPr>
            <w:tcW w:type="dxa" w:w="72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1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100</w:t>
            </w:r>
          </w:p>
        </w:tc>
        <w:tc>
          <w:tcPr>
            <w:tcW w:type="dxa" w:w="26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2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32123 «Наличные денежные средства в кассе учреждения», а именно: 32123 110, 32123 120, 32123 130, 32123 140</w:t>
            </w:r>
          </w:p>
        </w:tc>
      </w:tr>
      <w:tr>
        <w:tc>
          <w:tcPr>
            <w:tcW w:type="dxa" w:w="31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110</w:t>
            </w:r>
          </w:p>
        </w:tc>
        <w:tc>
          <w:tcPr>
            <w:tcW w:type="dxa" w:w="26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Приток денежных средств</w:t>
            </w:r>
          </w:p>
        </w:tc>
        <w:tc>
          <w:tcPr>
            <w:tcW w:type="dxa" w:w="72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поступившие в отчетном периоде в кассу учреждения. Для определения суммы по данной строке необходимо проанализировать дебетовые обороты за период по элементам счета 32123 «Наличные денежные средства в кассе учреждения»</w:t>
            </w:r>
          </w:p>
        </w:tc>
      </w:tr>
      <w:tr>
        <w:tc>
          <w:tcPr>
            <w:tcW w:type="dxa" w:w="31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120</w:t>
            </w:r>
          </w:p>
        </w:tc>
        <w:tc>
          <w:tcPr>
            <w:tcW w:type="dxa" w:w="26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Отток денежных средств</w:t>
            </w:r>
          </w:p>
        </w:tc>
        <w:tc>
          <w:tcPr>
            <w:tcW w:type="dxa" w:w="72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выданные в отчетном периоде из кассы учреждения. Для определения суммы по данной строке необходимо проанализировать кредитовые обороты за период по элементам счета 32123 «Наличные денежные средства в кассе учреждения»</w:t>
            </w:r>
          </w:p>
        </w:tc>
      </w:tr>
      <w:tr>
        <w:tc>
          <w:tcPr>
            <w:tcW w:type="dxa" w:w="31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130</w:t>
            </w:r>
          </w:p>
        </w:tc>
        <w:tc>
          <w:tcPr>
            <w:tcW w:type="dxa" w:w="26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72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все суммы, полученные в результате переоценки наличных денежных средств в иностранной валюте в кассе учреждения</w:t>
            </w:r>
          </w:p>
        </w:tc>
      </w:tr>
      <w:tr>
        <w:tc>
          <w:tcPr>
            <w:tcW w:type="dxa" w:w="31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140</w:t>
            </w:r>
          </w:p>
        </w:tc>
        <w:tc>
          <w:tcPr>
            <w:tcW w:type="dxa" w:w="26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(100+110-120+130)</w:t>
            </w:r>
          </w:p>
        </w:tc>
        <w:tc>
          <w:tcPr>
            <w:tcW w:type="dxa" w:w="72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100+110-120+130. Полученное значение должно совпадать с сальдо на конец отчетного периода всех элементов счета 32123 «Наличные денежные средства в кассе учреждения», а именно: 32123 110, 32123 120, 32123 130, 32123 140</w:t>
            </w:r>
          </w:p>
        </w:tc>
      </w:tr>
      <w:tr>
        <w:tc>
          <w:tcPr>
            <w:tcW w:type="dxa" w:w="31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150</w:t>
            </w:r>
          </w:p>
        </w:tc>
        <w:tc>
          <w:tcPr>
            <w:tcW w:type="dxa" w:w="26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Всего: валюта и депозиты (внутренние) на начало периода (010+050+100)</w:t>
            </w:r>
          </w:p>
        </w:tc>
        <w:tc>
          <w:tcPr>
            <w:tcW w:type="dxa" w:w="72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010+050+100</w:t>
            </w:r>
          </w:p>
        </w:tc>
      </w:tr>
      <w:tr>
        <w:tc>
          <w:tcPr>
            <w:tcW w:type="dxa" w:w="31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160</w:t>
            </w:r>
          </w:p>
        </w:tc>
        <w:tc>
          <w:tcPr>
            <w:tcW w:type="dxa" w:w="26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Всего: валюта и депозиты (внутренние) на конец периода (040+090+140)</w:t>
            </w:r>
          </w:p>
        </w:tc>
        <w:tc>
          <w:tcPr>
            <w:tcW w:type="dxa" w:w="72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040+090+140</w:t>
            </w:r>
          </w:p>
        </w:tc>
      </w:tr>
      <w:tr>
        <w:tc>
          <w:tcPr>
            <w:tcW w:type="dxa" w:w="31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6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3222. Депозиты Правительства Кыргызской Республики за рубежом</w:t>
            </w:r>
          </w:p>
        </w:tc>
        <w:tc>
          <w:tcPr>
            <w:tcW w:type="dxa" w:w="72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1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6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32221. Депозиты Правительства Кыргызской Республики за рубежом</w:t>
            </w:r>
          </w:p>
        </w:tc>
        <w:tc>
          <w:tcPr>
            <w:tcW w:type="dxa" w:w="72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1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170</w:t>
            </w:r>
          </w:p>
        </w:tc>
        <w:tc>
          <w:tcPr>
            <w:tcW w:type="dxa" w:w="26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2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32221 «Депозиты Правительства Кыргызской Республики за рубежом», а именно: 32221 110, 32221 210</w:t>
            </w:r>
          </w:p>
        </w:tc>
      </w:tr>
      <w:tr>
        <w:tc>
          <w:tcPr>
            <w:tcW w:type="dxa" w:w="31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180</w:t>
            </w:r>
          </w:p>
        </w:tc>
        <w:tc>
          <w:tcPr>
            <w:tcW w:type="dxa" w:w="26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Приток денежных средств</w:t>
            </w:r>
          </w:p>
        </w:tc>
        <w:tc>
          <w:tcPr>
            <w:tcW w:type="dxa" w:w="72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поступившие в отчетном периоде на счета депозитов Правительства, открытых за рубежом. Для определения суммы по данной строке необходимо проанализировать дебетовые обороты за период по элементам счета 32221 «Депозиты Правительства Кыргызской Республики за рубежом»</w:t>
            </w:r>
          </w:p>
        </w:tc>
      </w:tr>
      <w:tr>
        <w:tc>
          <w:tcPr>
            <w:tcW w:type="dxa" w:w="31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190</w:t>
            </w:r>
          </w:p>
        </w:tc>
        <w:tc>
          <w:tcPr>
            <w:tcW w:type="dxa" w:w="26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Отток денежных средств</w:t>
            </w:r>
          </w:p>
        </w:tc>
        <w:tc>
          <w:tcPr>
            <w:tcW w:type="dxa" w:w="72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списанные со счетов депозитов Правительства, открытых за рубежом. Для определения суммы по данной строке необходимо проанализировать кредитовые обороты за период по элементам счета 32221 «Депозиты Правительства Кыргызской Республики за рубежом»</w:t>
            </w:r>
          </w:p>
        </w:tc>
      </w:tr>
      <w:tr>
        <w:tc>
          <w:tcPr>
            <w:tcW w:type="dxa" w:w="31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200</w:t>
            </w:r>
          </w:p>
        </w:tc>
        <w:tc>
          <w:tcPr>
            <w:tcW w:type="dxa" w:w="26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72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все суммы, полученные в результате переоценки денежных средств в иностранной валюте на депозитах Правительства за рубежом</w:t>
            </w:r>
          </w:p>
        </w:tc>
      </w:tr>
      <w:tr>
        <w:tc>
          <w:tcPr>
            <w:tcW w:type="dxa" w:w="31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210</w:t>
            </w:r>
          </w:p>
        </w:tc>
        <w:tc>
          <w:tcPr>
            <w:tcW w:type="dxa" w:w="26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(170+180-190+200)</w:t>
            </w:r>
          </w:p>
        </w:tc>
        <w:tc>
          <w:tcPr>
            <w:tcW w:type="dxa" w:w="72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170+180-190+200 Полученное значение должно совпадать с сальдо на конец отчетного периода всех элементов счета 32221 «Депозиты Правительства Кыргызской Республики за рубежом», а именно: 32221 110, 32221 210</w:t>
            </w:r>
          </w:p>
        </w:tc>
      </w:tr>
      <w:tr>
        <w:tc>
          <w:tcPr>
            <w:tcW w:type="dxa" w:w="31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220</w:t>
            </w:r>
          </w:p>
        </w:tc>
        <w:tc>
          <w:tcPr>
            <w:tcW w:type="dxa" w:w="26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Всего валюта и депозиты на начало периода (150+170)</w:t>
            </w:r>
          </w:p>
        </w:tc>
        <w:tc>
          <w:tcPr>
            <w:tcW w:type="dxa" w:w="72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150+170</w:t>
            </w:r>
          </w:p>
        </w:tc>
      </w:tr>
      <w:tr>
        <w:tc>
          <w:tcPr>
            <w:tcW w:type="dxa" w:w="3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2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валюта и депозиты на конец периода (160+210)</w:t>
            </w:r>
          </w:p>
        </w:tc>
        <w:tc>
          <w:tcPr>
            <w:tcW w:type="dxa" w:w="7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160+210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36. Приложение 6 «Ценные бумаги, кроме акций (активы)»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657. Информация в Приложении 6 «Ценные бумаги, кроме акций (активы)» (далее - Приложение 6) содержит обобщенные за отчетный период данные о движении ценных бумаг (в активах), кроме акций. В графе 1 указывается код и наименование показателей, в графе 2 - коды строк Приложения 6. В графе 3 указываются итоговые данные по денежным средствам, в графах 4 и 5 - соответствующие данные в разрезе бюджетных и специальных средств.</w:t>
      </w:r>
    </w:p>
    <w:p>
      <w:pPr>
        <w:spacing w:after="120"/>
        <w:jc w:val="both"/>
      </w:pPr>
      <w:r>
        <w:rPr>
          <w:rFonts w:ascii="Arial" w:cs="Arial" w:eastAsia="Arial" w:hAnsi="Arial"/>
          <w:sz w:val="24"/>
          <w:szCs w:val="24"/>
        </w:rPr>
        <w:t xml:space="preserve">658. Данные для Приложения 6 формируются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8"/>
        <w:gridCol w:w="2485"/>
        <w:gridCol w:w="7344"/>
      </w:tblGrid>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485"/>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3213. Ценные бумаги, кроме акций (внутренние)</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485"/>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32131. Краткосрочные ценные бумаги, кроме акций (внутренние)</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010</w:t>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32131 «Краткосрочные ценные бумаги, кроме акций», а именно: 32131 110, 32131 210, 32131 910. Причем сальдо по элементу 32131 910 - кредитовое</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020</w:t>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Приобретение</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приобретенные внутренние финансовые активы, которые подпадают под определение и классифицируются как краткосрочные ценные бумаги (кроме акций) и стоимость которых отражена по элементам, входящим в счет 32131 «Краткосрочные ценные бумаги, кроме акций». Для определения суммы по данной строке необходимо проанализировать дебетовые обороты за период по элементам 32131 110 и 32131 210 и кредитовые обороты по элементу 32131 910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030</w:t>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Продажа</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балансовой стоимости реализованных внутренних финансовых активов, которые подпадают под определение и классифицируются как краткосрочные ценные бумаги (кроме акций) и стоимость которых отражена по элементам, входящим в счет 32131 «Краткосрочные ценные бумаги, кроме акций». Для определения суммы по данной строке необходимо проанализировать кредитовые обороты за период по элементам 32131 110 и 32131 210 и дебетовые обороты по элементу 32131 910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040</w:t>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Погашение</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балансовой стоимости погашенных эмитентами внутренних финансовых активов, которые подпадают под определение и классифицируются как краткосрочные ценные бумаги (кроме акций) и стоимость которых отражена по элементам, входящим в счет 32131 «Краткосрочные ценные бумаги, кроме акций». Для определения суммы по данной строке необходимо проанализировать кредитовые обороты за период по элементам 32131 110 и 32131 210 и дебетовые обороты по элементу 32131 910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050</w:t>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Амортизация премий</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начисленной за отчетный период амортизации премий на внутренние краткосрочные ценные бумаги. Для определения суммы по данной строке необходимо проанализировать кредитовые обороты за период по элементу 32131 210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060</w:t>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Амортизация дисконтов</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начисленной за отчетный период амортизации дисконта на внутренние краткосрочные ценные бумаги. Для определения суммы по данной строке необходимо проанализировать дебетовые обороты за период по элементу 32131 910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070</w:t>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Обесценение</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внутренних краткосрочных ценных бумаг (кроме акций), по которым справедливая (рыночная) стоимость на отчетную дату стала ниже их балансовой стоимости</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080</w:t>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(010+020-030-040-050+060-070)</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010+020-030-040-050+060-070. Полученное значение должно совпадать с сальдо на конец отчетного периода всех элементов счета 32131 «Краткосрочные ценные бумаги, кроме акций», а именно: 32131 110, 32131 210, 32131 910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485"/>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32132. Долгосрочные ценные бумаги, кроме акций (внутренние)</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090</w:t>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32132 «Долгосрочные ценные бумаги, кроме акций», а именно: 32132 110, 32132 210, 32132 910. Причем сальдо по элементу 32132 910 - кредитовое</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100</w:t>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Приобретение</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приобретенные внутренние финансовые активы, которые подпадают под определение и классифицируются как долгосрочные ценные бумаги (кроме акций) и стоимость которых отражена по элементам, входящим в счет 32132 «Долгосрочные ценные бумаги, кроме акций». Для определения суммы по данной строке необходимо проанализировать дебетовые обороты за период по элементам 32232 110 и 32232 210 и кредитовые обороты по элементу 32232 910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110</w:t>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Продажа</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балансовой стоимости реализованных внутренних финансовых активов, которые подпадают под определение и классифицируются как долгосрочные ценные бумаги (кроме акций) и стоимость которых отражена по элементам, входящим в счет 32132 «Долгосрочные ценные бумаги, кроме акций». Для определения суммы по данной строке необходимо проанализировать кредитовые обороты за период по элементам 32232 110 и 32232 210 и дебетовые обороты по элементу 32232 910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120</w:t>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Погашение</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балансовой стоимости погашенных эмитентами внутренних финансовых активов, которые подпадают под определение и классифицируются как долгосрочные ценные бумаги (кроме акций) и стоимость которых отражена по элементам, входящим в счет 32132 «Долгосрочные ценные бумаги, кроме акций». Для определения суммы по данной строке необходимо проанализировать кредитовые обороты за период по элементам 32232 110 и 32232 210 и дебетовые обороты по элементу 32232 910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130</w:t>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Амортизация премий</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начисленной за отчетный период амортизации премий на внутренние долгосрочные ценные бумаги. Для определения суммы по данной строке необходимо проанализировать кредитовые обороты за период по элементу 32232 210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140</w:t>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Амортизация дисконтов</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начисленной за отчетный период амортизации дисконта на внутренние долгосрочные ценные бумаги. Для определения суммы по данной строке необходимо проанализировать дебетовые обороты за период по элементу 32232 910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150</w:t>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Обесценение</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внутренних долгосрочных ценных бумаг (кроме акций), по которым справедливая (рыночная) стоимость на отчетную дату стала ниже их балансовой стоимости</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160</w:t>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(090+100-110-120-130+140-150)</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090+100-110-120-130+140-150. Полученное значение должно совпадать с сальдо на конец отчетного периода всех элементов счета 32132 «Долгосрочные ценные бумаги, кроме акций», а именно: 32132 110, 32132 210, 32132 910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170</w:t>
            </w:r>
          </w:p>
        </w:tc>
        <w:tc>
          <w:tcPr>
            <w:tcW w:type="dxa" w:w="2485"/>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Всего: ценные бумаги, кроме акций (внутренние) на начало периода (010+090)</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010+090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180</w:t>
            </w:r>
          </w:p>
        </w:tc>
        <w:tc>
          <w:tcPr>
            <w:tcW w:type="dxa" w:w="2485"/>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Всего: ценные бумаги, кроме акций (внутренние) на конец периода (080+160)</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080+160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485"/>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3223. Ценные бумаги, кроме акций (внешние)</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32231. Краткосрочные ценные бумаги, кроме акций (внешние)</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190</w:t>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32231 «Краткосрочные ценные бумаги, кроме акций», а именно: 32231 110, 32231 210, 32231 910. Причем сальдо по элементу 32231 910 - кредитовое</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200</w:t>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Приобретение</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приобретенные внешние финансовые активы, которые подпадают под определение и классифицируются как краткосрочные ценные бумаги (кроме акций) и стоимость которых отражена по элементам, входящим в счет 32231 «Краткосрочные ценные бумаги, кроме акций». Для определения суммы по данной строке необходимо проанализировать дебетовые обороты за период по элементам 32231 110 и 32231 210 и кредитовые обороты по элементу 32231 910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210</w:t>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Продажа</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балансовой стоимости реализованных внешних финансовых активов, которые подпадают под определение и классифицируются как краткосрочные ценные бумаги (кроме акций) и стоимость которых отражена по элементам, входящим в счет 32231 «Краткосрочные ценные бумаги, кроме акций». Для определения суммы по данной строке необходимо проанализировать кредитовые обороты за период по элементам 32231 110 и 32231 210 и дебетовые обороты по элементу 32231 910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220</w:t>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Погашение</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балансовой стоимости погашенных эмитентами внешних финансовых активов, которые подпадают под определение и классифицируются как краткосрочные ценные бумаги (кроме акций) и стоимость которых отражена по элементам, входящим в счет 32231 «Краткосрочные ценные бумаги, кроме акций». Для определения суммы по данной строке необходимо проанализировать кредитовые обороты за период по элементам 32231 110 и 32231 210 и дебетовые обороты по элементу 32231 910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230</w:t>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Амортизация премий</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начисленной за отчетный период амортизации премий на внешние краткосрочные ценные бумаги. Для определения суммы по данной строке необходимо проанализировать кредитовые обороты за период по элементу 32231 210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240</w:t>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Амортизация дисконтов</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начисленной за отчетный период амортизации дисконта на внешние краткосрочные ценные бумаги. Для определения суммы по данной строке необходимо проанализировать дебетовые обороты за период по элементу 32231 910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250</w:t>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Обесценение</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внешних краткосрочных ценных бумаг (кроме акций), по которым справедливая (рыночная) стоимость на отчетную дату стала ниже их балансовой стоимости</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260</w:t>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(190+200-210-220-230+240-250)</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190+200-210-220-230+240-250. Полученное значение должно совпадать с сальдо на конец отчетного периода всех элементов счета 32231 «Краткосрочные ценные бумаги, кроме акций», а именно: 32231 110, 32231 210, 32231 910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32232. Долгосрочные ценные бумаги, кроме акций (внешние)</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270</w:t>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32232 «Долгосрочные ценные бумаги, кроме акций», а именно: 32232 110, 32232 210, 32232 910. Причем сальдо по элементу 32232 910 - кредитовое</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280</w:t>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Приобретение</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приобретенные внешние финансовые активы, которые подпадают под определение и классифицируются как долгосрочные ценные бумаги (кроме акций) и стоимость которых отражена по элементам, входящим в счет 32232 «Долгосрочные ценные бумаги, кроме акций». Для определения суммы по данной строке необходимо проанализировать дебетовые обороты за период по элементам 32232 110 и 32232 210 и кредитовые обороты по элементу 32232 910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290</w:t>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Продажа</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балансовой стоимости реализованных внешних финансовых активов, которые подпадают под определение и классифицируются как долгосрочные ценные бумаги (кроме акций) и стоимость которых отражена по элементам, входящим в счет 32232 «Долгосрочные ценные бумаги, кроме акций». Для определения суммы по данной строке необходимо проанализировать кредитовые обороты за период по элементам 32232 110 и 32232 210 и дебетовые обороты по элементу 32232 910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300</w:t>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Погашение</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балансовой стоимости погашенных эмитентами внешних финансовых активов, которые подпадают под определение и классифицируются как долгосрочные ценные бумаги (кроме акций) и стоимость которых отражена по элементам, входящим в счет 32232 «Долгосрочные ценные бумаги, кроме акций». Для определения суммы по данной строке необходимо проанализировать кредитовые обороты за период по элементам 32232 110 и 32232 210 и дебетовые обороты по элементу 32232 910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310</w:t>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Амортизация премий</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начисленной за отчетный период амортизации премий на внешние долгосрочные ценные бумаги. Для определения суммы по данной строке необходимо проанализировать кредитовые обороты за период по элементу 32232 210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320</w:t>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Амортизация дисконтов</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начисленной за отчетный период амортизации дисконта на внешние долгосрочные ценные бумаги. Для определения суммы по данной строке необходимо проанализировать дебетовые обороты за период по элементу 32232 910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330</w:t>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Обесценение</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сумма, равная разнице между балансовой и справедливой (рыночной) стоимостью внешних долгосрочных ценных бумаг (кроме акций), по которым справедливая (рыночная) стоимость на отчетную дату стала ниже их балансовой стоимости</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340</w:t>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(270+280-290-300-310+320-330)</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270+280-290-300-310+320-330. Полученное значение должно совпадать с сальдо на конец отчетного периода всех элементов счета 32232 «Долгосрочные ценные бумаги, кроме акций», а именно: 32232 110, 32232 210, 32232 910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350</w:t>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Всего: ценные бумаги, кроме акций (внешние) на начало периода (190+270)</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190+270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360</w:t>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Всего: ценные бумаги, кроме акций (внешние) на конец периода (260+340)</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260+340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370</w:t>
            </w:r>
          </w:p>
        </w:tc>
        <w:tc>
          <w:tcPr>
            <w:tcW w:type="dxa" w:w="24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Всего: ценные бумаги, кроме акций на начало периода (170+350)</w:t>
            </w:r>
          </w:p>
        </w:tc>
        <w:tc>
          <w:tcPr>
            <w:tcW w:type="dxa" w:w="73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170+350</w:t>
            </w:r>
          </w:p>
        </w:tc>
      </w:tr>
      <w:tr>
        <w:tc>
          <w:tcPr>
            <w:tcW w:type="dxa" w:w="3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2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ценные бумаги, кроме акций на конец периода (180+360)</w:t>
            </w:r>
          </w:p>
        </w:tc>
        <w:tc>
          <w:tcPr>
            <w:tcW w:type="dxa" w:w="7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180+360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37. Приложение 7 «Кредиты, ссуды»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659. Информация в Приложении 7 «Кредиты, ссуды» (далее - Приложение 7) содержит обобщенные за отчетный период данные о движении выданных кредитов и ссуд. В графе 1 указывается код и наименование показателей, в графе 2 - коды строк Приложения 7. В графе 3 указываются итоговые данные по денежным средствам, в графах 4 и 5 - соответствующие данные в разрезе бюджетных и специальных средств.</w:t>
      </w:r>
    </w:p>
    <w:p>
      <w:pPr>
        <w:spacing w:after="120"/>
        <w:jc w:val="both"/>
      </w:pPr>
      <w:r>
        <w:rPr>
          <w:rFonts w:ascii="Arial" w:cs="Arial" w:eastAsia="Arial" w:hAnsi="Arial"/>
          <w:sz w:val="24"/>
          <w:szCs w:val="24"/>
        </w:rPr>
        <w:t xml:space="preserve">660. Данные для Приложения 7 формируются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8"/>
        <w:gridCol w:w="3226"/>
        <w:gridCol w:w="6603"/>
      </w:tblGrid>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322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3214. Внутренние кредиты, ссуды, займы</w:t>
            </w:r>
          </w:p>
        </w:tc>
        <w:tc>
          <w:tcPr>
            <w:tcW w:type="dxa" w:w="66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32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32141. Ссуды другим уровням государственного управления</w:t>
            </w:r>
          </w:p>
        </w:tc>
        <w:tc>
          <w:tcPr>
            <w:tcW w:type="dxa" w:w="66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010</w:t>
            </w:r>
          </w:p>
        </w:tc>
        <w:tc>
          <w:tcPr>
            <w:tcW w:type="dxa" w:w="32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6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32141 «Ссуды другим уровням государственного управления», а именно: 32141 110, 32141 190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020</w:t>
            </w:r>
          </w:p>
        </w:tc>
        <w:tc>
          <w:tcPr>
            <w:tcW w:type="dxa" w:w="32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Выданные кредиты, ссуды, займы</w:t>
            </w:r>
          </w:p>
        </w:tc>
        <w:tc>
          <w:tcPr>
            <w:tcW w:type="dxa" w:w="66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выданных (денежными средствами, прочими активами) в течение отчетного периода кредитов, ссуд и займов другим уровням государственного управления, в т.ч. местным органам управления и прочим органам государственного управления</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030</w:t>
            </w:r>
          </w:p>
        </w:tc>
        <w:tc>
          <w:tcPr>
            <w:tcW w:type="dxa" w:w="32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Погашенные кредиты, ссуды, займы</w:t>
            </w:r>
          </w:p>
        </w:tc>
        <w:tc>
          <w:tcPr>
            <w:tcW w:type="dxa" w:w="66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погашенных (денежными средствами, прочими активами, путем зачета взаимных требований) в течение отчетного периода кредитов, ссуд и займов другими уровнями государственного управления, в т.ч. местными органами управления и прочими органами государственного управления</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040</w:t>
            </w:r>
          </w:p>
        </w:tc>
        <w:tc>
          <w:tcPr>
            <w:tcW w:type="dxa" w:w="32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Списанные кредиты, ссуды, займы</w:t>
            </w:r>
          </w:p>
        </w:tc>
        <w:tc>
          <w:tcPr>
            <w:tcW w:type="dxa" w:w="66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списанные в течение отчетного периода с заемщиков, в т.ч. в результате реструктуризации кредитов</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041</w:t>
            </w:r>
          </w:p>
        </w:tc>
        <w:tc>
          <w:tcPr>
            <w:tcW w:type="dxa" w:w="32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6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все суммы, полученные в результате переоценки денежных средств, выданных другим уровням государственного управления</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050</w:t>
            </w:r>
          </w:p>
        </w:tc>
        <w:tc>
          <w:tcPr>
            <w:tcW w:type="dxa" w:w="32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(010+020-030-040+041)</w:t>
            </w:r>
          </w:p>
        </w:tc>
        <w:tc>
          <w:tcPr>
            <w:tcW w:type="dxa" w:w="66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010+020-030-040+041. Полученное значение должно совпадать с сальдо на конец отчетного периода всех элементов счета 32141 «Ссуды другим уровням государственного управления», а именно: 32141 110, 32141 190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32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32142. Ссуды предприятиям, финансовым учреждениям и населению</w:t>
            </w:r>
          </w:p>
        </w:tc>
        <w:tc>
          <w:tcPr>
            <w:tcW w:type="dxa" w:w="66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060</w:t>
            </w:r>
          </w:p>
        </w:tc>
        <w:tc>
          <w:tcPr>
            <w:tcW w:type="dxa" w:w="32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6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32142 «Ссуды предприятиям, финансовым учреждениям и населению», а именно: 32142 110, 32142 120, 32142 130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070</w:t>
            </w:r>
          </w:p>
        </w:tc>
        <w:tc>
          <w:tcPr>
            <w:tcW w:type="dxa" w:w="32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Выданные кредиты, ссуды, займы</w:t>
            </w:r>
          </w:p>
        </w:tc>
        <w:tc>
          <w:tcPr>
            <w:tcW w:type="dxa" w:w="66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выданных (денежными средствами, прочими активами) в течение отчетного периода кредитов, ссуд и займов предприятиям, финансовым учреждениям и населению</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071</w:t>
            </w:r>
          </w:p>
        </w:tc>
        <w:tc>
          <w:tcPr>
            <w:tcW w:type="dxa" w:w="32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6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все суммы, полученные в результате переоценки денежных средств, выданных предприятиям, финансовым учреждениям и населению</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080</w:t>
            </w:r>
          </w:p>
        </w:tc>
        <w:tc>
          <w:tcPr>
            <w:tcW w:type="dxa" w:w="32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Погашенные кредиты, ссуды, займы</w:t>
            </w:r>
          </w:p>
        </w:tc>
        <w:tc>
          <w:tcPr>
            <w:tcW w:type="dxa" w:w="66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погашенных (денежными средствами, прочими активами, путем зачета взаимных требований) в течение отчетного периода кредитов, ссуд и займов предприятиями, финансовыми учреждениями и населением</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090</w:t>
            </w:r>
          </w:p>
        </w:tc>
        <w:tc>
          <w:tcPr>
            <w:tcW w:type="dxa" w:w="32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Списанные кредиты, ссуды, займы</w:t>
            </w:r>
          </w:p>
        </w:tc>
        <w:tc>
          <w:tcPr>
            <w:tcW w:type="dxa" w:w="66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списанные в течение отчетного периода с заемщиков, в т.ч. в результате реструктуризации кредитов</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100</w:t>
            </w:r>
          </w:p>
        </w:tc>
        <w:tc>
          <w:tcPr>
            <w:tcW w:type="dxa" w:w="32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(060+070+071-080-090)</w:t>
            </w:r>
          </w:p>
        </w:tc>
        <w:tc>
          <w:tcPr>
            <w:tcW w:type="dxa" w:w="66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060+070+071-080-090. Полученное значение должно совпадать с сальдо на конец отчетного периода всех элементов счета 32142 «Ссуды предприятиям, финансовым учреждениям и населению», а именно: 32142 110, 32142 120, 32142 190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110</w:t>
            </w:r>
          </w:p>
        </w:tc>
        <w:tc>
          <w:tcPr>
            <w:tcW w:type="dxa" w:w="322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Всего: кредиты, ссуды, займы (внутренние) на начало периода (010+060)</w:t>
            </w:r>
          </w:p>
        </w:tc>
        <w:tc>
          <w:tcPr>
            <w:tcW w:type="dxa" w:w="66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010+060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120</w:t>
            </w:r>
          </w:p>
        </w:tc>
        <w:tc>
          <w:tcPr>
            <w:tcW w:type="dxa" w:w="322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Всего: кредиты, ссуды, займы (внутренние) на конец периода (050+100)</w:t>
            </w:r>
          </w:p>
        </w:tc>
        <w:tc>
          <w:tcPr>
            <w:tcW w:type="dxa" w:w="66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050+100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322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3224. Кредиты и займы (внешние)</w:t>
            </w:r>
          </w:p>
        </w:tc>
        <w:tc>
          <w:tcPr>
            <w:tcW w:type="dxa" w:w="66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130</w:t>
            </w:r>
          </w:p>
        </w:tc>
        <w:tc>
          <w:tcPr>
            <w:tcW w:type="dxa" w:w="32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6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подгруппы 3224 «Кредиты и займы», а именно: 32241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140</w:t>
            </w:r>
          </w:p>
        </w:tc>
        <w:tc>
          <w:tcPr>
            <w:tcW w:type="dxa" w:w="32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Выданные кредиты, ссуды, займы</w:t>
            </w:r>
          </w:p>
        </w:tc>
        <w:tc>
          <w:tcPr>
            <w:tcW w:type="dxa" w:w="66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выданных в течение отчетного периода кредитов и займов правительствам других государств</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141</w:t>
            </w:r>
          </w:p>
        </w:tc>
        <w:tc>
          <w:tcPr>
            <w:tcW w:type="dxa" w:w="32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6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все суммы, полученные в результате переоценки денежных средств, выданных правительствам других государств</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150</w:t>
            </w:r>
          </w:p>
        </w:tc>
        <w:tc>
          <w:tcPr>
            <w:tcW w:type="dxa" w:w="32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Погашенные кредиты, ссуды, займы</w:t>
            </w:r>
          </w:p>
        </w:tc>
        <w:tc>
          <w:tcPr>
            <w:tcW w:type="dxa" w:w="66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течение отчетного периода кредитов и займов правительствами других государств</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160</w:t>
            </w:r>
          </w:p>
        </w:tc>
        <w:tc>
          <w:tcPr>
            <w:tcW w:type="dxa" w:w="32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Списанные кредиты, ссуды, займы</w:t>
            </w:r>
          </w:p>
        </w:tc>
        <w:tc>
          <w:tcPr>
            <w:tcW w:type="dxa" w:w="66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списанные в течение отчетного периода с заемщиков, в т.ч. в результате реструктуризации кредитов</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170</w:t>
            </w:r>
          </w:p>
        </w:tc>
        <w:tc>
          <w:tcPr>
            <w:tcW w:type="dxa" w:w="32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(130+140+141-150-160)</w:t>
            </w:r>
          </w:p>
        </w:tc>
        <w:tc>
          <w:tcPr>
            <w:tcW w:type="dxa" w:w="66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130+140+141-150-160. Полученное значение должно совпадать с сальдо на конец отчетного периода всех элементов подгруппы 3224 «Кредиты и займы», а именно: 32241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180</w:t>
            </w:r>
          </w:p>
        </w:tc>
        <w:tc>
          <w:tcPr>
            <w:tcW w:type="dxa" w:w="32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Всего: кредитов, ссуд и займов на начало периода (110+130)</w:t>
            </w:r>
          </w:p>
        </w:tc>
        <w:tc>
          <w:tcPr>
            <w:tcW w:type="dxa" w:w="66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110+130</w:t>
            </w:r>
          </w:p>
        </w:tc>
      </w:tr>
      <w:tr>
        <w:tc>
          <w:tcPr>
            <w:tcW w:type="dxa" w:w="3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3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кредитов, ссуд и займов на конец периода (120+170)</w:t>
            </w:r>
          </w:p>
        </w:tc>
        <w:tc>
          <w:tcPr>
            <w:tcW w:type="dxa" w:w="6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120+170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38. Приложение 8 «Акции и другие формы участия в капитале»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661. Информация в Приложении 8 «Акции и другие формы участия в капитале» (далее - Приложение 8) содержит обобщенные за отчетный период данные о движении акций и других форм участия в капитале. В графе 1 указывается код и наименование показателей, в графе 2 - коды строк Приложения 8. В графе 3 указываются итоговые данные по денежным средствам, в графах 4 и 5 - соответствующие данные в разрезе бюджетных и специальных средств.</w:t>
      </w:r>
    </w:p>
    <w:p>
      <w:pPr>
        <w:spacing w:after="120"/>
        <w:jc w:val="both"/>
      </w:pPr>
      <w:r>
        <w:rPr>
          <w:rFonts w:ascii="Arial" w:cs="Arial" w:eastAsia="Arial" w:hAnsi="Arial"/>
          <w:sz w:val="24"/>
          <w:szCs w:val="24"/>
        </w:rPr>
        <w:t xml:space="preserve">662. Данные для Приложения 8 формируются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8"/>
        <w:gridCol w:w="2254"/>
        <w:gridCol w:w="7576"/>
      </w:tblGrid>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25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3215. Акции и другие формы участия в капитале (внутренние)</w:t>
            </w:r>
          </w:p>
        </w:tc>
        <w:tc>
          <w:tcPr>
            <w:tcW w:type="dxa" w:w="757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010</w:t>
            </w:r>
          </w:p>
        </w:tc>
        <w:tc>
          <w:tcPr>
            <w:tcW w:type="dxa" w:w="22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57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32151 «Акции и другие формы участия в капитале», а именно: 32151 110, 32151 190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020</w:t>
            </w:r>
          </w:p>
        </w:tc>
        <w:tc>
          <w:tcPr>
            <w:tcW w:type="dxa" w:w="22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Приобретение акций и других форм участия в капитале</w:t>
            </w:r>
          </w:p>
        </w:tc>
        <w:tc>
          <w:tcPr>
            <w:tcW w:type="dxa" w:w="757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приобретенные акции или доли участия в капитале местных компаний, стоимость которых отражена по элементам, входящим в счет 32151 «Акции и доли участия в капитале». Для определения суммы по данной строке необходимо проанализировать дебетовые обороты за период по элементам 32151 110 и 32151 190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030</w:t>
            </w:r>
          </w:p>
        </w:tc>
        <w:tc>
          <w:tcPr>
            <w:tcW w:type="dxa" w:w="22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Продажа акций и других форм участия в капитале</w:t>
            </w:r>
          </w:p>
        </w:tc>
        <w:tc>
          <w:tcPr>
            <w:tcW w:type="dxa" w:w="757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балансовой стоимости реализованных акций и долей участия в капитале местных компаний, стоимость которых отражена по элементам, входящим в счет 32151 «Акции и доли участия в капитале». Для определения суммы по данной строке необходимо проанализировать кредитовые обороты за период по элементам 32151 110 и 32151 190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040</w:t>
            </w:r>
          </w:p>
        </w:tc>
        <w:tc>
          <w:tcPr>
            <w:tcW w:type="dxa" w:w="22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(010+020-030)</w:t>
            </w:r>
          </w:p>
        </w:tc>
        <w:tc>
          <w:tcPr>
            <w:tcW w:type="dxa" w:w="757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 Полученное значение должно совпадать с сальдо на конец отчетного периода всех элементов счета 32151 «Акции и другие формы участия в капитале», а именно: 32151 110, 32151 190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25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3225. Акции и другие формы участия в капитале (внешние)</w:t>
            </w:r>
          </w:p>
        </w:tc>
        <w:tc>
          <w:tcPr>
            <w:tcW w:type="dxa" w:w="757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050</w:t>
            </w:r>
          </w:p>
        </w:tc>
        <w:tc>
          <w:tcPr>
            <w:tcW w:type="dxa" w:w="22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57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32251 «Акции и другие формы участия в капитале», а именно: 32251 110, 32251 190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060</w:t>
            </w:r>
          </w:p>
        </w:tc>
        <w:tc>
          <w:tcPr>
            <w:tcW w:type="dxa" w:w="22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Приобретение акций и других форм участия в капитале</w:t>
            </w:r>
          </w:p>
        </w:tc>
        <w:tc>
          <w:tcPr>
            <w:tcW w:type="dxa" w:w="757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уплаченные или подлежащие уплате в течение отчетного периода за приобретенные акции или доли участия в капитале иностранных компаний, стоимость которых отражена по элементам, входящим в счет 32251 «Акции и доли участия в капитале». Для определения суммы по данной строке необходимо проанализировать дебетовые обороты за период по элементам 32251 110 и 32251 190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070</w:t>
            </w:r>
          </w:p>
        </w:tc>
        <w:tc>
          <w:tcPr>
            <w:tcW w:type="dxa" w:w="22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Продажа акций и других форм участия в капитале</w:t>
            </w:r>
          </w:p>
        </w:tc>
        <w:tc>
          <w:tcPr>
            <w:tcW w:type="dxa" w:w="757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балансовой стоимости реализованных акций и долей участия в капитале иностранных компаний, стоимость которых отражена по элементам, входящим в счет 32251 «Акции и доли участия в капитале». Для определения суммы по данной строке необходимо проанализировать кредитовые обороты за период по элементам 32251 110 и 32251 190</w:t>
            </w:r>
          </w:p>
        </w:tc>
      </w:tr>
      <w:tr>
        <w:tc>
          <w:tcPr>
            <w:tcW w:type="dxa" w:w="348"/>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080</w:t>
            </w:r>
          </w:p>
        </w:tc>
        <w:tc>
          <w:tcPr>
            <w:tcW w:type="dxa" w:w="22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(050+060-070)</w:t>
            </w:r>
          </w:p>
        </w:tc>
        <w:tc>
          <w:tcPr>
            <w:tcW w:type="dxa" w:w="757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050+060-070. Полученное значение должно совпадать с сальдо на конец отчетного периода всех элементов счета 32251 «Акции и другие формы участия в капитале», а именно: 32251 110, 32251 190</w:t>
            </w:r>
          </w:p>
        </w:tc>
      </w:tr>
      <w:tr>
        <w:tc>
          <w:tcPr>
            <w:tcW w:type="dxa" w:w="348"/>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090</w:t>
            </w:r>
          </w:p>
        </w:tc>
        <w:tc>
          <w:tcPr>
            <w:tcW w:type="dxa" w:w="22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Всего акций и других форм участия в капитале на начало (010+050)</w:t>
            </w:r>
          </w:p>
        </w:tc>
        <w:tc>
          <w:tcPr>
            <w:tcW w:type="dxa" w:w="757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010+050</w:t>
            </w:r>
          </w:p>
        </w:tc>
      </w:tr>
      <w:tr>
        <w:tc>
          <w:tcPr>
            <w:tcW w:type="dxa" w:w="348"/>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100</w:t>
            </w:r>
          </w:p>
        </w:tc>
        <w:tc>
          <w:tcPr>
            <w:tcW w:type="dxa" w:w="2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акций и других форм участия в капитале на конец (040+080)</w:t>
            </w:r>
          </w:p>
        </w:tc>
        <w:tc>
          <w:tcPr>
            <w:tcW w:type="dxa" w:w="7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040+080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39. Приложение 9 «Прочая дебиторская задолженность»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663. Информация в Приложении 9 «Прочая дебиторская задолженность» (далее - Приложение 9) содержит обобщенные за отчетный период данные о движении прочей дебиторской задолженности. В графе 1 указывается код и наименование показателей, в графе 2 - коды строк Приложения 9. В графе 3 указываются итоговые данные по денежным средствам, в графах 4 и 5 - соответствующие данные в разрезе бюджетных и специальных средств.</w:t>
      </w:r>
    </w:p>
    <w:p>
      <w:pPr>
        <w:spacing w:after="120"/>
        <w:jc w:val="both"/>
      </w:pPr>
      <w:r>
        <w:rPr>
          <w:rFonts w:ascii="Arial" w:cs="Arial" w:eastAsia="Arial" w:hAnsi="Arial"/>
          <w:sz w:val="24"/>
          <w:szCs w:val="24"/>
        </w:rPr>
        <w:t xml:space="preserve">664. Данные для Приложения 9 формируются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8"/>
        <w:gridCol w:w="2984"/>
        <w:gridCol w:w="6846"/>
      </w:tblGrid>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3217. Внутренняя дебиторская задолженность</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32171. Прочая внутренняя дебиторская задолженность</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32171 «Прочая внутренняя дебиторская задолженность», а именно: 32171 110, 32151 190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020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Признанная дебиторская задолженность служащих</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выданные в отчетном периоде служащим и признанные в качестве их дебиторской задолженности. Для определения суммы по данной строке необходимо проанализировать дебетовые обороты за период по элементу 32171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030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Признанные недостачи, хищения, растраты</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недостач, хищений и растрат, обнаруженных в отчетном периоде. Для определения суммы по данной строке необходимо проанализировать дебетовые обороты за период по элементу 32171 120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040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Признанные внутриведомственные расчеты</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в отношении внутриведомственных расчетов, признанных в отчетном периоде. Для определения суммы по данной строке необходимо проанализировать дебетовые обороты за период по элементу 32171 130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050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Признанная прочая внутренняя дебиторская задолженность</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любой признанной в отчетном периоде внутренней дебиторской задолженности, отличной от дебиторской задолженности служащих и отличной от недостач, хищений и растрат. Для определения суммы по данной строке необходимо проанализировать дебетовые обороты за период по элементу 32171 190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060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Погашенная дебиторская задолженность служащих</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погашенной в отчетном периоде дебиторской задолженности служащих или по которым произведен зачет взаимных требований. Для определения суммы по данной строке необходимо проанализировать кредитовые обороты за период по элементу 32171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070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Погашенные недостачи, хищения, растраты</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в отношении недостач, хищений и растрат, погашенных в отчетном периоде или в отношении которых произведен зачет взаимных требований. Для определения суммы по данной строке необходимо проанализировать кредитовые обороты за период по элементу 32171 120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080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Зачет по внутриведомственным расчетам</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в отношении внутриведомственных расчетов, по которым произведен зачет взаимных требований в отчетном периоде. Для определения суммы по данной строке необходимо проанализировать кредитовые обороты за период по элементу 32171 130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090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Погашенная прочая внутренняя дебиторская задолженность</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любой погашенной в отчетном периоде внутренней дебиторской задолженности, отличной от дебиторской задолженности служащих и отличной от недостач, хищений и растрат или по которым произведен зачет взаимных требований. Для определения суммы по данной строке необходимо проанализировать кредитовые обороты за период по элементу 32171 190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(010+020+030+040+050-060-070-080-090)</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010+020+030+040+050-060-070-080-090. Полученное значение должно совпадать с сальдо на конец отчетного периода всех элементов счета 32171 «Прочая внутренняя дебиторская задолженность», а именно: 32171 110, 32171 120, 32171 130, 32171 190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32173. Проценты и дивиденды к получению</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110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32173 «Проценты и дивиденды к получению», а именно: 32173 100, 32173 200, 32173 300, 32173 400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120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Начисленные проценты к получению по ценным бумагам</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начисленных в отчетном периоде процентов по ценным бумагам. Для определения суммы по данной строке необходимо проанализировать дебетовые обороты за период по элементу 32173 100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Начисленные проценты к получению по кредитам и займам</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начисленных в отчетном периоде процентов по выданным кредитам и займам. Для определения суммы по данной строке необходимо проанализировать дебетовые обороты за период по элементу 32173 200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140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Начисленные дивиденды к получению</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начисленных в отчетном периоде дивидендов к получению. Для определения суммы по данной строке необходимо проанализировать дебетовые обороты за период по элементу 32173 300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150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Начисленная к получению доля прибыли НБКР</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начисленной доли прибыли НБКР к получению. Для определения суммы по данной строке необходимо проанализировать дебетовые обороты за период по элементу 32173 400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160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Погашенные проценты к получению по ценным бумагам</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процентов по ценным бумагам. Для определения суммы по данной строке необходимо проанализировать кредитовые обороты за период по элементу 32173 100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170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Погашенные проценты к получению по кредитам и займам</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процентов по выданным кредитам и займам. Для определения суммы по данной строке необходимо проанализировать кредитовые обороты за период по элементу 32173 200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180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Погашенные дивиденды к получению</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дивидендов к получению. Для определения суммы по данной строке необходимо проанализировать кредитовые обороты за период по элементу 32173 300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190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Погашенная доля прибыли Национального банка Кыргызской Республики</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погашенной доли прибыли Национального банка Кыргызской Республики к получению. Для определения суммы по данной строке необходимо проанализировать кредитовые обороты за период по элементу 32173 400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Списанные проценты к получению по кредитам и займам</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списанных в отчетном периоде процентов к получению по кредитам и займам, в т.ч. по причине реструктуризации кредитов и займов. Для определения суммы по данной строке необходимо проанализировать кредитовые обороты за период по элементу 32173 200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210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(110+120+130+140+150-160-170-180-190-200)</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110+120+130+140+150-160-170-180-190-200. Полученное значение должно совпадать с сальдо на конец отчетного периода всех элементов счета 32173 «Проценты и дивиденды к получению», а именно: 32173 100, 32173 200, 32173 300, 32173 400</w:t>
            </w:r>
          </w:p>
        </w:tc>
      </w:tr>
      <w:tr>
        <w:tc>
          <w:tcPr>
            <w:tcW w:type="dxa" w:w="348"/>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tcW w:type="dxa" w:w="29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32174. Внутренние авансы, уплаченные</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220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32174 «Внутренние авансы, уплаченные», а именно: 32174 100, 32174 200, 32174 300, 32174 400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Уплаченные авансы в отношении запасов</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уплаченных в отчетном периоде авансов в отношении запасов. Для определения суммы по данной строке необходимо проанализировать дебетовые обороты за период по элементу 32174 100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240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Уплаченные авансы в отношении услуг и работ</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уплаченных в отчетном периоде авансов в отношении услуг и работ. Для определения суммы по данной строке необходимо проанализировать дебетовые обороты за период по элементу 32174 200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250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Уплаченные авансы в отношении основных фондов</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уплаченных в отчетном периоде авансов в отношении основных фондов. Для определения суммы по данной строке необходимо проанализировать дебетовые обороты за период по элементу 32174 300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260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Прочие уплаченные авансы</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уплаченных в отчетном периоде прочих авансов. Для определения суммы по данной строке необходимо проанализировать дебетовые обороты за период по соответствующим элементам</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270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Признанные запасами авансы, уплаченные</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ранее уплаченных авансов, по которым в отчетном периоде произведена поставка запасов. Для определения суммы по данной строке необходимо проанализировать кредитовые обороты за период по элементу 32174 100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280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Признанные расходами уплаченные авансы в отношении работ и услуг</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ранее уплаченных авансов, по которым в отчетном периоде произведена поставка работ и услуг и признаны расходы. Для определения суммы по данной строке необходимо проанализировать кредитовые обороты за период по элементу 32174 200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290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Признанные основными фондами авансы, уплаченные</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ранее уплаченных авансов, по которым в отчетном периоде произведена поставка основных фондов. Для определения суммы по данной строке необходимо проанализировать кредитовые обороты за период по элементу 32174 300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300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Признанные прочие авансы</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ранее уплаченных авансов, по которым в отчетном периоде признаны расходы по соответствующим элементам. Для определения суммы по данной строке необходимо проанализировать кредитовые обороты за период по соответствующим элементам</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310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(220+230+240+250+260-270-280-290-300)</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220+230+240+250+260-270-280-290-300. Полученное значение должно совпадать с сальдо на конец отчетного периода всех элементов счета 32174 «Внутренние авансы, уплаченные», а именно: 32174 100, 32174 200, 32174 300, 32174 400</w:t>
            </w:r>
          </w:p>
        </w:tc>
      </w:tr>
      <w:tr>
        <w:tc>
          <w:tcPr>
            <w:tcW w:type="dxa" w:w="348"/>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320</w:t>
            </w:r>
          </w:p>
        </w:tc>
        <w:tc>
          <w:tcPr>
            <w:tcW w:type="dxa" w:w="29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Прочая внутренняя дебиторская задолженность на начало периода (010+110+220)</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010+110+220</w:t>
            </w:r>
          </w:p>
        </w:tc>
      </w:tr>
      <w:tr>
        <w:tc>
          <w:tcPr>
            <w:tcW w:type="dxa" w:w="348"/>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330</w:t>
            </w:r>
          </w:p>
        </w:tc>
        <w:tc>
          <w:tcPr>
            <w:tcW w:type="dxa" w:w="29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Прочая внутренняя дебиторская задолженность на конец периода (100+210+310)</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100+210+310</w:t>
            </w:r>
          </w:p>
        </w:tc>
      </w:tr>
      <w:tr>
        <w:tc>
          <w:tcPr>
            <w:tcW w:type="dxa" w:w="348"/>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tcW w:type="dxa" w:w="29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3227. Внешняя дебиторская задолженность</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32271. Прочая внешняя дебиторская задолженность</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340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элементов счета 32271 «Прочая внешняя дебиторская задолженность», а именно: 32271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350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Признанная дебиторская задолженность</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признанной в отчетном периоде внешней дебиторской задолженности. Для определения суммы по данной строке необходимо проанализировать дебетовые обороты за период по элементу 32271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360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Погашенная дебиторская задолженность</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погашенной в отчетном периоде внешней дебиторской задолженности. Для определения суммы по данной строке необходимо проанализировать кредитовые обороты за период по элементу 32271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361</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все суммы, полученные в результате переоценки внешней дебиторской задолженности</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370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(340+350-360+361)</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340+350-360+361. Полученное значение должно совпадать с сальдо на конец отчетного периода элементов счета 32271 «Прочая внешняя дебиторская задолженность», а именно: 32271 100</w:t>
            </w:r>
          </w:p>
        </w:tc>
      </w:tr>
      <w:tr>
        <w:tc>
          <w:tcPr>
            <w:tcW w:type="dxa" w:w="348"/>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32272. Внешние авансы, уплаченные</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380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элементов счета 32272 «Внешние авансы, уплаченные», а именно: 32272 100, 32272 200, 32272 300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390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Уплаченные авансы в отношении запасов</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уплаченных в отчетном периоде внешних авансов в отношении запасов. Для определения суммы по данной строке необходимо проанализировать дебетовые обороты за период по элементу 32272 100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400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Уплаченные авансы в отношении услуг и работ</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уплаченных в отчетном периоде внешних авансов в отношении услуг и работ. Для определения суммы по данной строке необходимо проанализировать дебетовые обороты за период по элементу 32272 200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410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Уплаченные авансы в отношении основных фондов</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уплаченных в отчетном периоде внешних авансов в отношении основных фондов. Для определения суммы по данной строке необходимо проанализировать дебетовые обороты за период по элементу 32272 300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420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Прочие уплаченные авансы</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уплаченных в отчетном периоде прочих авансов. Для определения суммы по данной строке необходимо проанализировать дебетовые обороты за период по соответствующим элементам</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430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Признанные запасами авансы, уплаченные</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ранее уплаченных внешних авансов, по которым в отчетном периоде произведена поставка запасов. Для определения суммы по данной строке необходимо проанализировать кредитовые обороты за период по элементу 32272 100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440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Признанные расходами авансы, уплаченные</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ранее уплаченных внешних авансов, по которым в отчетном периоде произведена поставка работ и услуг и признаны расходы. Для определения суммы по данной строке необходимо проанализировать кредитовые обороты за период по элементу 32272 200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450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Признанные основными фондами авансы, уплаченные</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ранее уплаченных внешних авансов, по которым в отчетном периоде произведена поставка основных фондов. Для определения суммы по данной строке необходимо проанализировать кредитовые обороты за период по элементу 32272 300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Признанные прочие авансы</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ранее уплаченных авансов, по которым в отчетном периоде признаны расходы по соответствующим элементам. Для определения суммы по данной строке необходимо проанализировать кредитовые обороты за период по соответствующим элементам</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461</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все суммы, полученные в результате переоценки внешних авансов, уплаченных</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(380+390+400+410+420-430-440-450-460+461)</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380+390+400+410+420-430-440-450-460+461. Полученное значение должно совпадать с сальдо на конец отчетного периода всех элементов счета 32272 «Внешние авансы, уплаченные», а именно: 32272 100, 32272 200, 32272 300</w:t>
            </w:r>
          </w:p>
        </w:tc>
      </w:tr>
      <w:tr>
        <w:tc>
          <w:tcPr>
            <w:tcW w:type="dxa" w:w="348"/>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480</w:t>
            </w:r>
          </w:p>
        </w:tc>
        <w:tc>
          <w:tcPr>
            <w:tcW w:type="dxa" w:w="29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Прочая внешняя дебиторская задолженность на начало периода (340+380)</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340+380</w:t>
            </w:r>
          </w:p>
        </w:tc>
      </w:tr>
      <w:tr>
        <w:tc>
          <w:tcPr>
            <w:tcW w:type="dxa" w:w="348"/>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490</w:t>
            </w:r>
          </w:p>
        </w:tc>
        <w:tc>
          <w:tcPr>
            <w:tcW w:type="dxa" w:w="29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Прочая внешняя дебиторская задолженность на конец периода (370+470)</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370+470</w:t>
            </w:r>
          </w:p>
        </w:tc>
      </w:tr>
      <w:tr>
        <w:tc>
          <w:tcPr>
            <w:tcW w:type="dxa" w:w="348"/>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500</w:t>
            </w:r>
          </w:p>
        </w:tc>
        <w:tc>
          <w:tcPr>
            <w:tcW w:type="dxa" w:w="29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Всего: прочая дебиторская задолженность на начало периода (320+480)</w:t>
            </w:r>
          </w:p>
        </w:tc>
        <w:tc>
          <w:tcPr>
            <w:tcW w:type="dxa" w:w="68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320+480</w:t>
            </w:r>
          </w:p>
        </w:tc>
      </w:tr>
      <w:tr>
        <w:tc>
          <w:tcPr>
            <w:tcW w:type="dxa" w:w="34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510</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прочая дебиторская задолженность на конец периода (330+490)</w:t>
            </w:r>
          </w:p>
        </w:tc>
        <w:tc>
          <w:tcPr>
            <w:tcW w:type="dxa" w:w="6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330+490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310. Приложение 10 «Ценные бумаги, кроме акций (обязательства)»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665. Информация в Приложении 10 «Ценные бумаги кроме акций» (далее - Приложение 10) содержит обобщенные за отчетный период данные о движении выпущенных ценных бумаг, кроме акций. В графе 1 указывается код и наименование показателей, в графе 2 - коды строк Приложения 10. В графе 3 указываются итоговые данные по денежным средствам, в графах 4 и 5 - соответствующие данные в разрезе бюджетных и специальных средств.</w:t>
      </w:r>
    </w:p>
    <w:p>
      <w:pPr>
        <w:spacing w:after="120"/>
        <w:jc w:val="both"/>
      </w:pPr>
      <w:r>
        <w:rPr>
          <w:rFonts w:ascii="Arial" w:cs="Arial" w:eastAsia="Arial" w:hAnsi="Arial"/>
          <w:sz w:val="24"/>
          <w:szCs w:val="24"/>
        </w:rPr>
        <w:t xml:space="preserve">666. Данные для Приложения 10 формируются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8"/>
        <w:gridCol w:w="2650"/>
        <w:gridCol w:w="7180"/>
      </w:tblGrid>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6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3313. Ценные бумаги, кроме акций</w:t>
            </w:r>
          </w:p>
        </w:tc>
        <w:tc>
          <w:tcPr>
            <w:tcW w:type="dxa" w:w="718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6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33131. Государственные краткосрочные внутренние ценные бумаги, кроме акций</w:t>
            </w:r>
          </w:p>
        </w:tc>
        <w:tc>
          <w:tcPr>
            <w:tcW w:type="dxa" w:w="718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010</w:t>
            </w:r>
          </w:p>
        </w:tc>
        <w:tc>
          <w:tcPr>
            <w:tcW w:type="dxa" w:w="26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18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33131 «Государственные краткосрочные внутренние ценные бумаги, кроме акций», а именно: 33131 110, 33131 190, 33131 210, 33131 910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020</w:t>
            </w:r>
          </w:p>
        </w:tc>
        <w:tc>
          <w:tcPr>
            <w:tcW w:type="dxa" w:w="26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Выпущенные ценные бумаги</w:t>
            </w:r>
          </w:p>
        </w:tc>
        <w:tc>
          <w:tcPr>
            <w:tcW w:type="dxa" w:w="718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выпущенных в отчетном периоде государственных краткосрочных ценных бумаг, в том числе государственные казначейские векселя. Для определения суммы по данной строке необходимо проанализировать кредитовые обороты за период по элементам 33131 110, 33131 190 и 33131 210 и дебетовые обороты - по элементу 33131 910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030</w:t>
            </w:r>
          </w:p>
        </w:tc>
        <w:tc>
          <w:tcPr>
            <w:tcW w:type="dxa" w:w="26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Погашенные ценные бумаги</w:t>
            </w:r>
          </w:p>
        </w:tc>
        <w:tc>
          <w:tcPr>
            <w:tcW w:type="dxa" w:w="718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государственных краткосрочных ценных бумаг, в том числе государственные казначейские векселя. Для определения суммы по данной строке необходимо проанализировать дебетовые обороты за период по элементам 33131 110, 33131 190 и 33131 210 и кредитовые обороты - по элементу 33131 910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040</w:t>
            </w:r>
          </w:p>
        </w:tc>
        <w:tc>
          <w:tcPr>
            <w:tcW w:type="dxa" w:w="26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Амортизация премий на ценные бумаги</w:t>
            </w:r>
          </w:p>
        </w:tc>
        <w:tc>
          <w:tcPr>
            <w:tcW w:type="dxa" w:w="718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сумма начисленной за период амортизации премий на государственные краткосрочные ценные бумаги, в том числе государственные казначейские векселя. Для определения суммы по данной строке необходимо проанализировать кредитовые обороты за период по элементу 33131 210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050</w:t>
            </w:r>
          </w:p>
        </w:tc>
        <w:tc>
          <w:tcPr>
            <w:tcW w:type="dxa" w:w="26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Амортизация дисконтов на ценные бумаги</w:t>
            </w:r>
          </w:p>
        </w:tc>
        <w:tc>
          <w:tcPr>
            <w:tcW w:type="dxa" w:w="718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сумма начисленной за период амортизации дисконтов на государственные краткосрочные ценные бумаги, в том числе государственные казначейские векселя. Для определения суммы по данной строке необходимо проанализировать кредитовые обороты за период по элементу 33131 910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060</w:t>
            </w:r>
          </w:p>
        </w:tc>
        <w:tc>
          <w:tcPr>
            <w:tcW w:type="dxa" w:w="26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(010+020-030+040-050)</w:t>
            </w:r>
          </w:p>
        </w:tc>
        <w:tc>
          <w:tcPr>
            <w:tcW w:type="dxa" w:w="718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030+040-050. Полученное значение должно совпадать с сальдо на конец отчетного периода всех элементов счета 33131 «Государственные краткосрочные внутренние ценные бумаги, кроме акций», а именно: 33131 110, 33131 190, 33131 210, 33131 910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6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33132. Государственные долгосрочные внутренние ценные бумаги, кроме акций</w:t>
            </w:r>
          </w:p>
        </w:tc>
        <w:tc>
          <w:tcPr>
            <w:tcW w:type="dxa" w:w="718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070</w:t>
            </w:r>
          </w:p>
        </w:tc>
        <w:tc>
          <w:tcPr>
            <w:tcW w:type="dxa" w:w="26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718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33132 «Государственные долгосрочные внутренние ценные бумаги, кроме акций», а именно: 33132 110, 33132 190, 33132 210, 33132 910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080</w:t>
            </w:r>
          </w:p>
        </w:tc>
        <w:tc>
          <w:tcPr>
            <w:tcW w:type="dxa" w:w="26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Выпущенные ценные бумаги</w:t>
            </w:r>
          </w:p>
        </w:tc>
        <w:tc>
          <w:tcPr>
            <w:tcW w:type="dxa" w:w="718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выпущенных в отчетном периоде государственных долгосрочных ценных бумаг, в том числе государственные казначейские векселя. Для определения суммы по данной строке необходимо проанализировать кредитовые обороты за период по элементам 33132 110, 33132 190 и 33132 210 и дебетовые обороты - по элементу 33132 910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090</w:t>
            </w:r>
          </w:p>
        </w:tc>
        <w:tc>
          <w:tcPr>
            <w:tcW w:type="dxa" w:w="26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Погашенные ценные бумаги</w:t>
            </w:r>
          </w:p>
        </w:tc>
        <w:tc>
          <w:tcPr>
            <w:tcW w:type="dxa" w:w="718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государственных долгосрочных ценных бумаг, в том числе государственные казначейские векселя. Для определения суммы по данной строке необходимо проанализировать дебетовые обороты за период по элементам 33132 110, 33132 190 и 33132 210 и кредитовые обороты - по элементу 33132 910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100</w:t>
            </w:r>
          </w:p>
        </w:tc>
        <w:tc>
          <w:tcPr>
            <w:tcW w:type="dxa" w:w="26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Амортизация премий на ценные бумаги</w:t>
            </w:r>
          </w:p>
        </w:tc>
        <w:tc>
          <w:tcPr>
            <w:tcW w:type="dxa" w:w="718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сумма начисленной за период амортизации премий на государственные долгосрочные ценные бумаги, в том числе государственные казначейские векселя. Для определения суммы по данной строке необходимо проанализировать кредитовые обороты за период по элементу 33132 210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110</w:t>
            </w:r>
          </w:p>
        </w:tc>
        <w:tc>
          <w:tcPr>
            <w:tcW w:type="dxa" w:w="26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Амортизация дисконтов на ценные бумаги</w:t>
            </w:r>
          </w:p>
        </w:tc>
        <w:tc>
          <w:tcPr>
            <w:tcW w:type="dxa" w:w="718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сумма начисленной за период амортизации дисконтов на государственные долгосрочные ценные бумаги, в том числе государственные казначейские векселя. Для определения суммы по данной строке необходимо проанализировать кредитовые обороты за период по элементу 33132 910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120</w:t>
            </w:r>
          </w:p>
        </w:tc>
        <w:tc>
          <w:tcPr>
            <w:tcW w:type="dxa" w:w="26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(070+080-090+100-110)</w:t>
            </w:r>
          </w:p>
        </w:tc>
        <w:tc>
          <w:tcPr>
            <w:tcW w:type="dxa" w:w="718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070+080-090+100-110. Полученное значение должно совпадать с сальдо на конец отчетного периода всех элементов счета 33132 «Государственные долгосрочные внутренние ценные бумаги, кроме акций», а именно: 33132 110, 33132 190, 33132 210, 33132 910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6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Всего государственных внутренних ценных бумаг, кроме акций на начало (010+070)</w:t>
            </w:r>
          </w:p>
        </w:tc>
        <w:tc>
          <w:tcPr>
            <w:tcW w:type="dxa" w:w="718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010+070</w:t>
            </w:r>
          </w:p>
        </w:tc>
      </w:tr>
      <w:tr>
        <w:tc>
          <w:tcPr>
            <w:tcW w:type="dxa" w:w="3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государственных внутренних ценных бумаг, кроме акций на начало (060+120)</w:t>
            </w:r>
          </w:p>
        </w:tc>
        <w:tc>
          <w:tcPr>
            <w:tcW w:type="dxa" w:w="7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060+120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311. Приложение 11 «Заимствования»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667. Информация в Приложении 11 «Заимствования» (далее - Приложение 11) содержит обобщенные за отчетный период данные о движении внутренних и внешних займов. В графе 1 указывается код и наименование показателей, в графе 2 - коды строк Приложения 11. В графе 3 указываются итоговые данные по денежным средствам, в графах 4 и 5 - соответствующие данные в разрезе бюджетных и специальных средств.</w:t>
      </w:r>
    </w:p>
    <w:p>
      <w:pPr>
        <w:spacing w:after="120"/>
        <w:jc w:val="both"/>
      </w:pPr>
      <w:r>
        <w:rPr>
          <w:rFonts w:ascii="Arial" w:cs="Arial" w:eastAsia="Arial" w:hAnsi="Arial"/>
          <w:sz w:val="24"/>
          <w:szCs w:val="24"/>
        </w:rPr>
        <w:t xml:space="preserve">668. Данные для Приложения 11 формируются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8"/>
        <w:gridCol w:w="3255"/>
        <w:gridCol w:w="6575"/>
      </w:tblGrid>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3314. Внутренние заимствования</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33141. Заимствования от других единиц государственного управления</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010</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элементов счета 33141 «Заимствования от других единиц государственного управления», а именно: 33141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020</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Получено заимствований от других единиц государственного управления</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полученных в отчетном периоде внутренних заимствований от других единиц государственного управления. Для определения суммы по данной строке необходимо проанализировать кредитовые обороты за период по элементу 33141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030</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Погашено заимствований от других единиц государственного управления</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суммы погашенных в отчетном периоде внутренних заимствований от других единиц государственного управления. Для определения суммы по данной строке необходимо проанализировать дебетовые обороты за период по элементу 33141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040</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Списано заимствований от других единиц государственного управления</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списанных в отчетном периоде внутренних заимствований от других единиц государственного управления (в т.ч. в результате реструктуризации займов). Для определения суммы по данной строке необходимо проанализировать дебетовые обороты за период по элементу 33141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041</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все суммы, полученные в результате переоценки внутренних заимствований от других единиц государственного управления</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050</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(010+020-030-040+041)</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010+020-030-040+041. Полученное значение должно совпадать с сальдо на конец отчетного периода элементов счета 33141 «Заимствования от других единиц государственного управления», а именно: 33141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33142. Заимствования от предприятий, организаций, финансовых учреждений</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060</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сальдо на начало отчетного года элементов счета 33142 «Заимствования от предприятий, организаций, финансовых учреждений», а именно: 33142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070</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Получено заимствований от предприятий, организаций, финансовых учреждений</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полученных в отчетном периоде внутренних заимствований от предприятий, организаций и финансовых учреждений. Для определения суммы по данной строке необходимо проанализировать кредитовые обороты за период по элементу 33142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080</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Погашено заимствований от предприятий, организаций, финансовых учреждений</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внутренних заимствований от предприятий, организаций и финансовых учреждений. Для определения суммы по данной строке необходимо проанализировать дебетовые обороты за период по элементу 33142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090</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Списано заимствований от предприятий, организаций, финансовых учреждений</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списанных в отчетном периоде внутренних заимствований от предприятий, организаций и финансовых учреждений (в т.ч. в результате реструктуризации займов). Для определения суммы по данной строке необходимо проанализировать дебетовые обороты за период по элементу 33142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091</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все суммы, полученные в результате переоценки внутренних заимствований от предприятий, организаций и финансовых учреждений</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100</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(060+070-080-090+091)</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060+070-080-090+091. Полученное значение должно совпадать с сальдо на конец отчетного периода элементов счета 33142 «Заимствования от предприятий, организаций, финансовых учреждений», а именно: 33142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110</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Всего: внутренние заимствования на начало периода (010+060)</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010+060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120</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Всего: внутренние заимствования на конец периода (050+100)</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050+100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3324. Внешние заимствования</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33241. Двусторонние долговые соглашения</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130</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элементов счета 33241 «Заимствования по двусторонним долговым соглашениям», а именно: 33241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140</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Получено заимствований по двусторонним долговым соглашениям</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полученных в отчетном периоде внешних заимствований от иностранных правительств, предприятий, организаций и финансовых учреждений по двусторонним долговым соглашениям. Для определения суммы по данной строке необходимо проанализировать кредитовые обороты за период по элементу 33241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150</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Погашено заимствований по двусторонним долговым соглашениям</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внешних заимствований от иностранных правительств, предприятий, организаций и финансовых учреждений по двусторонним долговым соглашениям. Для определения суммы по данной строке необходимо проанализировать дебетовые обороты за период по элементу 33241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160</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Списано заимствований по двусторонним долговым соглашениям</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списанных в отчетном периоде внешних заимствований от иностранных правительств, предприятий, организаций и финансовых учреждений по двусторонним долговым соглашениям (в т.ч. в результате реструктуризации займов). Для определения суммы по данной строке необходимо проанализировать дебетовые обороты за период по элементу 33241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170</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все суммы, полученные в результате переоценки сумм внешних заимствований от иностранных правительств, предприятий, организаций и финансовых учреждений по двусторонним долговым соглашениям</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180</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(130+140-150-160+170)</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130+140-150-160+170. Полученное значение должно совпадать с сальдо на конец отчетного периода элементов счета 33241 «Заимствования по двусторонним долговым соглашениям», а именно: 33241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33242. Многосторонние долговые соглашения</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190</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элементов счета 33242 «Заимствования по многосторонним долговым соглашениям», а именно: 33242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200</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Получено заимствований по многосторонним долговым соглашениям</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полученных в отчетном периоде внешних заимствований от иностранных правительств, предприятий, организаций и финансовых учреждений по многосторонним долговым соглашениям. Для определения суммы по данной строке необходимо проанализировать кредитовые обороты за период по элементу 33242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210</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Погашено заимствований по многосторонним долговым соглашениям</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внешних заимствований от иностранных правительств, предприятий, организаций и финансовых учреждений по многосторонним долговым соглашениям. Для определения суммы по данной строке необходимо проанализировать дебетовые обороты за период по элементу 33242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220</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Списано заимствований по многосторонним долговым соглашениям</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списанных в отчетном периоде внешних заимствований от иностранных правительств, предприятий, организаций и финансовых учреждений по многосторонним долговым соглашениям (в т.ч. в результате реструктуризации займов). Для определения суммы по данной строке необходимо проанализировать дебетовые обороты за период по элементу 33242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230</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все суммы, полученные в результате переоценки сумм внешних заимствований от иностранных правительств, предприятий, организаций и финансовых учреждений по многосторонним долговым соглашениям</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240</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(190+200-210-220+230)</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190+200-210-220+230. Полученное значение должно совпадать с сальдо на конец отчетного периода элементов счета 33242 «Заимствования по многосторонним долговым соглашениям», а именно: 33242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33243. Иностранные финансовые институты</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250</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элементов счета 33243 «Заимствования от иностранных финансовых институтов», а именно: 33243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260</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Получено заимствований от иностранных финансовых институтов</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полученных в отчетном периоде внешних заимствований от иностранных финансовых институтов. Для определения суммы по данной строке необходимо проанализировать кредитовые обороты за период по элементу 33243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270</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Погашено заимствований от иностранных финансовых институтов</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внешних заимствований от иностранных финансовых институтов. Для определения суммы по данной строке необходимо проанализировать дебетовые обороты за период по элементу 33243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280</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Списано заимствований от иностранных финансовых институтов</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списанных в отчетном периоде внешних заимствований от иностранных финансовых институтов (в т.ч. в результате реструктуризации займов). Для определения суммы по данной строке необходимо проанализировать дебетовые обороты за период по элементу 33243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290</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все суммы, полученные в результате переоценки сумм заимствований от иностранных финансовых институтов</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300</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(250+260-270-280+290)</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250+260-270-280+290. Полученное значение должно совпадать с сальдо на конец отчетного периода элементов счета 33243 «Заимствования от иностранных финансовых институтов», а именно: 33243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33249. Прочий внешний долг</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310</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элементов счета 33249 «Прочие внешние заимствования», а именно: 33249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320</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Получены прочие внешние заимствования</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полученных в отчетном периоде прочих внешних заимствований. Для определения суммы по данной строке необходимо проанализировать кредитовые обороты за период по элементу 33249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330</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Погашены прочие внешние заимствования</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прочих внешних заимствований. Для определения суммы по данной строке необходимо проанализировать дебетовые обороты за период по элементу 33249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340</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Списаны прочие внешние заимствования</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списанных в отчетном периоде прочих внешних заимствований (в т.ч. в результате реструктуризации займов). Для определения суммы по данной строке необходимо проанализировать дебетовые обороты за период по элементу 33249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350</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все суммы, полученные в результате переоценки сумм прочих внешних заимствований</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360</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(310+320-330-340+350)</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310+320-330-340+350. Полученное значение должно совпадать с сальдо на конец отчетного периода элементов счета 33249 «Прочие внешние заимствования», а именно: 33249 110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370</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Всего: внешние заимствования на начало периода (130+190+250+310)</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130+190+250+310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380</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Всего: внешние заимствования на конец периода (180+240+300+360)</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180+240+300+360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390</w:t>
            </w:r>
          </w:p>
        </w:tc>
        <w:tc>
          <w:tcPr>
            <w:tcW w:type="dxa" w:w="32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Всего: заимствований на начало периода (110+370)</w:t>
            </w:r>
          </w:p>
        </w:tc>
        <w:tc>
          <w:tcPr>
            <w:tcW w:type="dxa" w:w="65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110+370</w:t>
            </w:r>
          </w:p>
        </w:tc>
      </w:tr>
      <w:tr>
        <w:tc>
          <w:tcPr>
            <w:tcW w:type="dxa" w:w="3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3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заимствований на конец периода (120+380)</w:t>
            </w:r>
          </w:p>
        </w:tc>
        <w:tc>
          <w:tcPr>
            <w:tcW w:type="dxa" w:w="6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120+380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312. Приложение 12 «Прочие обязательства»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669. Информация в Приложении 12 «Прочие обязательства» (далее - Приложение 12) содержит обобщенные за отчетный период данные об изменениях в прочих обязательствах. В графе 1 указывается код и наименование показателей, в графе 2 - коды строк Приложения 12. В графе 3 указываются итоговые данные по денежным средствам, в графах 4 и 5 соответствующие данные в разрезе бюджетных и специальных средств.</w:t>
      </w:r>
    </w:p>
    <w:p>
      <w:pPr>
        <w:spacing w:after="120"/>
        <w:jc w:val="both"/>
      </w:pPr>
      <w:r>
        <w:rPr>
          <w:rFonts w:ascii="Arial" w:cs="Arial" w:eastAsia="Arial" w:hAnsi="Arial"/>
          <w:sz w:val="24"/>
          <w:szCs w:val="24"/>
        </w:rPr>
        <w:t xml:space="preserve">670. Данные для Приложения 12 формируются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5"/>
        <w:gridCol w:w="2968"/>
        <w:gridCol w:w="6565"/>
      </w:tblGrid>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968"/>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3317. Прочая внутренняя кредиторская задолженность</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33171. Прочая внутренняя кредиторская задолженность</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33171 «Прочая внутренняя кредиторская задолженность», а именно: 33171 110, 33171 120, 33171 130, 33171 140, 33171 150, 33171 190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020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Признанная кредиторская задолженность служащих</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признанной в отчетном периоде внутренней кредиторской задолженности перед служащими. Для определения суммы по данной строке необходимо проанализировать кредитовые обороты за период по элементу 33171 110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030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Признанные обязательства по стипендиям</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начисленных в отчетном периоде обязательств по стипендиям. Для определения суммы по данной строке необходимо проанализировать кредитовые обороты за период по элементу 33171 130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040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Признанные внутриведомственные расчеты</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в отношении внутриведомственных расчетов, признанных в отчетном периоде. Для определения суммы по данной строке необходимо проанализировать кредитовые обороты за период по элементу 33171 120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050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Признанные обязательства по средствам, полученным во временное пользование</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начисленных в отчетном периоде внутренней обязательств по средствам, полученным во временное пользование. Для определения суммы по данной строке необходимо проанализировать кредитовые обороты за период по элементу 33171 140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060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Признанные обязательства по компенсационным выплатам</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начисленных в отчетном периоде обязательств по компенсационным выплатам. Для определения суммы по данной строке необходимо проанализировать кредитовые обороты за период по элементу 33171 150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070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Признанные обязательства по субсидиям</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начисленных в отчетном периоде обязательств по субсидиям. Для определения суммы по данной строке необходимо проанализировать кредитовые обороты за период по элементу 33171 160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080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Признанные обязательства по грантам</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начисленных в отчетном периоде обязательств по грантам. Для определения суммы по данной строке необходимо проанализировать кредитовые обороты за период по элементу 33171 170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090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Признанная прочая внутренняя кредиторская задолженность</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начисленных в отчетном периоде обязательств по прочей внутренней кредиторской задолженности. Для определения суммы по данной строке необходимо проанализировать кредитовые обороты за период по элементу 33171 190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Погашенная кредиторская задолженность служащих</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или иным образом исполненных внутренних обязательств (в т.ч. путем зачета взаимных требований) в отношении кредиторской задолженности служащих. Для определения суммы по данной строке необходимо проанализировать дебетовые обороты за период по элементу 33171 110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110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Погашенные обязательства по стипендиям</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или иным образом исполненных обязательств (в т.ч. путем зачета взаимных требований) в отношении стипендий. Для определения суммы по данной строке необходимо проанализировать дебетовые обороты за период по элементу 33171 120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120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Зачет по внутриведомственным расчетам</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или иным образом исполненных обязательств (в т.ч. путем зачета взаимных требований) в отношении внутриведомственных расчетов. Для определения суммы по данной строке необходимо проанализировать дебетовые обороты за период по элементу 33171 130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Погашенные обязательства по средствам, полученным во временное пользование</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или иным образом исполненных внутренней обязательств (в т.ч. путем зачета взаимных требований) в отношении средств, полученных во временное пользование. Для определения суммы по данной строке необходимо проанализировать дебетовые обороты за период по элементу 33171 140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140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Погашенные обязательства по компенсационным выплатам</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или иным образом исполненных обязательств (в т.ч. путем зачета взаимных требований) в отношении компенсационных выплат. Для определения суммы по данной строке необходимо проанализировать дебетовые обороты за период по элементу 33171 150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150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Погашенные обязательства по субсидиям</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или иным образом исполненных обязательств (в т.ч. путем зачета взаимных требований) в отношении субсидий. Для определения суммы по данной строке необходимо проанализировать дебетовые обороты за период по элементу 33171 160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160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Погашенные обязательства по грантам</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или иным образом исполненных обязательств (в т.ч. путем зачета взаимных требований) в отношении грантов. Для определения суммы по данной строке необходимо проанализировать дебетовые обороты за период по элементу 33171 130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170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Погашенная прочая внутренняя кредиторская задолженность</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или иным образом исполненных обязательств (в т.ч. путем зачета взаимных требований) в отношении прочей внутренней кредиторской задолженности. Для определения суммы по данной строке необходимо проанализировать дебетовые обороты за период по элементу 33171 190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180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(010+020+030+040+050+060+070+080+090-100-110-120-130-140-150-160-170)</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(010+020+030+040+050+060+070+080+090-100-110-120-130-140-150-160-170) Полученное значение должно совпадать с сальдо на конец отчетного периода всех элементов счета 33171 «Прочая внутренняя кредиторская задолженность», а именно: 33171 110, 33171 120, 33171 130, 33171 140, 33171 150, 33171 190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33172. Обязательства по оплате труда</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190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33172 «Обязательства по оплате труда», а именно: 33172 100, 33172 200, 33172 300, 33172 400, 33172 500, 33172 600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Начисленные обязательства по оплате труда</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начисленных в отчетном периоде внутренних обязательств по оплате труда. Для определения суммы по данной строке необходимо проанализировать кредитовые обороты за период по счету 33172 «Обязательства по оплате труда», а именно: 33172 100, 33172 200, 33172 300, 33172 400, 33172 500, 33172 600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210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Погашенные обязательства по оплате труда</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или иным образом исполненных внутренних обязательств (в т.ч. путем зачета взаимных требований) по оплате труда. Для определения суммы по данной строке необходимо проанализировать дебетовые обороты за период по счету 33172 «Обязательства по оплате труда», а именно: 33172 100, 33172 200, 33172 300, 33172 400, 33172 500, 33172 600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220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(190+200-210)</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190+200-210. Полученное значение должно совпадать с сальдо на конец отчетного периода всех элементов счета 33172 «Обязательства по оплате труда», а именно: 33172 100, 33172 200, 33172 300, 33172 400, 33172 500, 33172 600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33173. Проценты к оплате</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сальдо на начало отчетного года всех элементов счета 33173 «Проценты к оплате», а именно: 33173 100, 33173 200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240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Начисленные проценты к оплате по ценным бумагам</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начисленных в отчетном периоде процентов по внутренним ценным бумагам. Для определения суммы по данной строке необходимо проанализировать кредитовые обороты за период по элементу 33173 100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250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Начисленные проценты к оплате по кредитам и займам</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начисленных в отчетном периоде процентов по внутренним кредитам и займам. Для определения суммы по данной строке необходимо проанализировать кредитовые обороты за период по элементу 33173 200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260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Погашенные проценты к оплате по ценным бумагам</w:t>
            </w:r>
          </w:p>
        </w:tc>
        <w:tc>
          <w:tcPr>
            <w:tcW w:type="dxa" w:w="656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строку включаются суммы погашенных в отчетном периоде процентов по внутренним ценным бумагам. Для определения суммы по данной строке необходимо проанализировать дебетовые обороты за период по элементу 33173 100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270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Погашенные проценты к оплате по кредитам и займам</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процентов по внутренним кредитам и займам. Для определения суммы по данной строке необходимо проанализировать дебетовые обороты за период по элементу 33173 200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280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Списанные проценты к оплате по кредитам и займам</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списанных в отчетном периоде процентов по внутренним кредитам и займам (в т.ч. в результате реструктуризации кредитов и займов). Для определения суммы по данной строке необходимо проанализировать дебетовые обороты за период по элементу 33173 200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281</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все суммы, полученные в результате переоценки процентов к оплате по кредитам и займам (внутренних)</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290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(230+240+250-260-270-280+281)</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230+240+250-260-270-280+281 Полученное значение должно совпадать с сальдо на конец отчетного периода всех элементов счета 33173 «Проценты к оплате», а именно: 33173 100, 33173 200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33174. Счета к оплате (внутренние)</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300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сальдо на начало отчетного года всех элементов счета 33174 «Счета к оплате», а именно: 33174 100, 33174 200, 33174 300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310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Признанные счета к оплате в отношении запасов</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признанных в отчетном периоде внутренних обязательств по оплате запасов. Для определения суммы по данной строке необходимо проанализировать кредитовые обороты за период по элементу 33174 100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320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Признанные счета к оплате в отношении услуг и работ</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признанных в отчетном периоде внутренних обязательств по оплате услуг и работ. Для определения суммы по данной строке необходимо проанализировать кредитовые обороты за период по элементу 33174 200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330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Признанные счета к оплате в отношении основных фондов</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признанных в отчетном периоде внутренних обязательств по оплате основных фондов. Для определения суммы по данной строке необходимо проанализировать кредитовые обороты за период по элементу 33174 300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340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Погашенные счета к оплате в отношении запасов</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или иным образом исполненных внутренних обязательств по оплате запасов. Для определения суммы по данной строке необходимо проанализировать дебетовые обороты за период по элементу 33174 100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350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Погашенные счета к оплате в отношении услуг и работ</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или иным образом исполненных внутренних обязательств по оплате услуг и работ. Для определения суммы по данной строке необходимо проанализировать дебетовые обороты за период по элементу 33174 200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360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Погашенные счета к оплате в отношении основных фондов</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или иным образом исполненных внутренних обязательств по оплате основных фондов. Для определения суммы по данной строке необходимо проанализировать дебетовые обороты за период по элементу 33174 300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370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(300+310+320+330-340-350-360)</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300+310+320+330-340-350-360. Полученное значение должно совпадать с сальдо на конец отчетного периода всех элементов счета 33174 «Счета к оплате», а именно: 33174 100, 33174 200, 33174 300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33175. Обязательства по социальным пособиям</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380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сальдо на начало отчетного года всех элементов счета 33175 «Обязательства по социальным пособиям», а именно: 33175 100, 33175 200, 33175 300, 33175 400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390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Начисленные обязательства по социальным пособиям</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суммы начисленных в отчетном периоде обязательств по социальным пособиям. Для определения суммы по данной строке необходимо проанализировать кредитовые обороты за период всех элементов счета 33175 «Обязательства по социальным пособиям», а именно: 33175 100, 33175 200, 33175 300, 33175 400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400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Погашенные обязательства по социальным пособиям</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или иным образом исполненных обязательств по социальным пособиям. Для определения суммы по данной строке необходимо проанализировать дебетовые обороты всех элементов счета 33175 «Обязательства по социальным пособиям», а именно: 33175 100, 33175 200, 33175 300, 33175 400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410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(380+390-400)</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380+390-400. Полученное значение должно совпадать с сальдо на конец отчетного периода всех элементов счета 33175 «Обязательства по социальным пособиям», а именно: 33175 100, 33175 200, 33175 300, 33175 400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33176. Внутренние авансы, полученные</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420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33176 «Внутренние авансы, полученные», а именно: 33176 100, 33176 200, 33176 300, 33176 400, 33176 500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430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Полученные авансы</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полученных в отчетном периоде авансов. Для определения суммы по данной строке необходимо проанализировать кредитовые обороты за период элементов счета 33176 «Внутренние авансы, полученные», а именно: 33176 100, 33176 200, 33176 300, 33176 400, 33176 500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440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Признанные доходами авансы полученные</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полученных в отчетном периоде в виде авансовых платежей и признанных доходами. Для определения суммы по данной строке необходимо проанализировать кредитовые обороты за период счета 33176 «Внутренние авансы, полученные», а именно: 33176 100, 33176 200, 33176 300, 33176 400, 33176 500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450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(420+430-440)</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430+440-450. Полученное значение должно совпадать с сальдо на конец отчетного периода всех элементов счета 33176 «Внутренние авансы, полученные», а именно: 33176 100, 33176 200, 33176 300, 33176 400, 33176 500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33177. Расчеты по платежам в бюджет</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сальдо на начало отчетного года всех элементов счета 33177 «Расчеты по платежам в бюджет», а именно: 33177 100, 33177 900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Признанные обязательства по платежам в бюджет</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начисленных за отчетный период обязательств по платежам в бюджет. Для определения суммы по данной строке необходимо проанализировать кредитовые обороты за период всех элементов счета 33177 «Расчеты по платежам в бюджет», а именно: 33177 100, 33177 900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480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Погашенные обязательства по платежам в бюджет</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погашенных за отчетный период обязательств по платежам в бюджет. Для определения суммы по данной строке необходимо проанализировать дебетовые обороты за период всех элементов счета 33177 «Расчеты по платежам в бюджет», а именно: 33177 100, 33177 900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490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(460+470-480)</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460+470-480. Полученное значение должно совпадать с сальдо на конец отчетного периода всех элементов счета 33177 «Расчеты по платежам в бюджет», а именно: 33177 100, 33177 900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500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Всего: внутренних обязательств на начало периода (010+190+230+300+380+420+ 460)</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010+190+230+300+380+420+460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510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Всего: внутренних обязательств на конец периода (180+220+290+370+410+450+ 490)</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180+220+290+370+410+450+490.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968"/>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3325. Прочая внешняя кредиторская задолженность</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33251. Проценты к оплате</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520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сальдо на начало отчетного года всех элементов счета 33251 «Проценты к оплате», а именно: 33251 100, 33251 200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530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Начисленные проценты к оплате по ценным бумагам</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начисленных в отчетном периоде процентов по внешним ценным бумагам. Для определения суммы по данной строке необходимо проанализировать кредитовые обороты за период по элементу 33251 100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540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Начисленные проценты к оплате по кредитам и займам</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начисленных в отчетном периоде процентов по внешним кредитам и займам. Для определения суммы по данной строке необходимо проанализировать кредитовые обороты за период по элементу 33251 200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550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Погашенные проценты к оплате по ценным бумагам</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процентов по внешним ценным бумагам. Для определения суммы по данной строке необходимо проанализировать дебетовые обороты за период по элементу 33251 100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560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Погашенные проценты к оплате по кредитам и займам</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процентов по внешним кредитам и займам. Для определения суммы по данной строке необходимо проанализировать дебетовые обороты за период по элементу 33251 200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570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Списанные проценты к оплате по кредитам и займам</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списанных в отчетном периоде процентов по внешним кредитам и займам (в т.ч. в результате реструктуризации кредитов и займов). Для определения суммы по данной строке необходимо проанализировать дебетовые обороты за период по элементу 33251 200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571</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все суммы, полученные в результате переоценки процентов к оплате (внешних)</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580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(520+530+540-550-560-570+571)</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520+530+540-550-560-570+571. Полученное значение должно совпадать с сальдо на конец отчетного периода всех элементов счета 33251 «Проценты к оплате», а именно: 33251 100, 33251 200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33252. Счета к оплате (внешние)</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590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сальдо на начало отчетного года всех элементов счета 33252 «Счета к оплате», а именно: 33252 100, 33252 200, 33252 300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600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Признанные счета к оплате в отношении запасов</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суммы признанных в отчетном периоде внешних обязательств по оплате запасов. Для определения суммы по данной строке необходимо проанализировать кредитовые обороты за период по элементу 33252 100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610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Признанные счета к оплате в отношении услуг и работ</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признанных в отчетном периоде внешних обязательств по оплате услуг и работ. Для определения суммы по данной строке необходимо проанализировать кредитовые обороты за период по элементу 33252 200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620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Признанные счета к оплате в отношении основных фондов</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признанных в отчетном периоде внешних обязательств по оплате основных фондов. Для определения суммы по данной строке необходимо проанализировать кредитовые обороты за период по элементу 33252 300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630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Погашенные счета к оплате в отношении запасов</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или иным образом исполненных внешних обязательств по оплате запасов. Для определения суммы по данной строке необходимо проанализировать дебетовые обороты за период по элементу 33252 100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640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Погашенные счета к оплате в отношении услуг и работ</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или иным образом исполненных внешних обязательств по оплате услуг и работ. Для определения суммы по данной строке необходимо проанализировать дебетовые обороты за период по элементу 33252 200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650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Погашенные счета к оплате в отношении основных фондов</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или иным образом исполненных внешних обязательств по оплате основных фондов. Для определения суммы по данной строке необходимо проанализировать дебетовые обороты за период по элементу 33252 300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651</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все суммы, полученные в результате переоценки счетов к оплате (внешних)</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660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(590+600+610+620-630-640-650+651)</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590+600+610+620-630-640-650+651. Полученное значение должно совпадать с сальдо на конец отчетного периода всех элементов счета 33252 «Счета к оплате», а именно: 33252 100, 33252 200, 33252 300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33253. Взносы в международные организации и объединения в рамках СНГ</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670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всех элементов счета 33253 «Взносы в международные организации и объединения в рамках СНГ», а именно: 33253 100, 33253 200, 33253 300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680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Признанные обязательства по взносам в международные организации</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начисленных в отчетном периоде обязательств по взносам в международные организации. Для определения суммы по данной строке необходимо проанализировать кредитовые обороты за период по элементу 33253 100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690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Признанные обязательства по взносам в интеграционные объединения в рамках СНГ</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начисленных в отчетном периоде обязательств по взносам в интеграционные объединения в рамках СНГ. Для определения суммы по данной строке необходимо проанализировать кредитовые обороты за период по элементу 33253 200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700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Признанные обязательства по прочим взносам</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начисленных в отчетном периоде обязательств по прочим безвозмездным перечислениям. Для определения суммы по данной строке необходимо проанализировать кредитовые обороты за период по элементу 33253 300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710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Погашенные обязательства по взносам в международные организации</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обязательств по взносам в международные организации. Для определения суммы по данной строке необходимо проанализировать дебетовые обороты за период по элементу 33253 100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720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Погашенные обязательства по взносам в интеграционные объединения в рамках СНГ</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обязательств по взносам в интеграционные объединения в рамках СНГ. Для определения суммы по данной строке необходимо проанализировать дебетовые обороты за период по элементу 33253 200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730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Погашенные обязательства по прочим взносам</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обязательств по прочим безвозмездным перечислениям. Для определения суммы по данной строке необходимо проанализировать дебетовые обороты за период по элементу 33253 300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731</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все суммы, полученные в результате переоценки обязательств по взносам в международные организации и объединения в рамках СНГ</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740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(670+680+690+700-710-720-730+731)</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670+680+690+700-710-720-730+731 Полученное значение должно совпадать с сальдо на конец отчетного периода всех элементов счета 33253 «Взносы в международные организации и объединения в рамках СНГ», а именно: 33253 100, 33253 200, 33253 300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33259. Прочие внешние обязательства</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750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периода</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сальдо на начало отчетного года элементов счета 33259 «Прочие внешние обязательства», а именно: 33259 100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760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Признанные прочие внешние обязательства</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начисленных в отчетном периоде прочих внешних обязательств. Для определения суммы по данной строке необходимо проанализировать кредитовые обороты за период по элементу 33259 100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770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Погашенные прочие внешние обязательства</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суммы погашенных в отчетном периоде прочих внешних обязательств. Для определения суммы по данной строке необходимо проанализировать дебетовые обороты за период по элементу 33259 100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771</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Результат пересчета денежных средств, выраженных в иностранной валюте в валюту отчетности (национальную валюту) (+/-)</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все суммы, полученные в результате переоценки прочих внешних обязательств</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780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периода (750+760-770+771)</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750+760-770+771. Полученное значение должно совпадать с сальдо на конец отчетного периода элементов счета 33259 «Прочие внешние обязательства», а именно: 33259 100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790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Всего: внешних обязательств на начало периода (520+590+670+750)</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520+590+670+750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800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Всего: внешних обязательств на конец периода (580+660+740+780)</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580+660+740+780</w:t>
            </w:r>
          </w:p>
        </w:tc>
      </w:tr>
      <w:tr>
        <w:tc>
          <w:tcPr>
            <w:tcW w:type="dxa" w:w="6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810</w:t>
            </w:r>
          </w:p>
        </w:tc>
        <w:tc>
          <w:tcPr>
            <w:tcW w:type="dxa" w:w="296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Всего: прочие обязательства на начало периода (500+790)</w:t>
            </w:r>
          </w:p>
        </w:tc>
        <w:tc>
          <w:tcPr>
            <w:tcW w:type="dxa" w:w="6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500+790</w:t>
            </w:r>
          </w:p>
        </w:tc>
      </w:tr>
      <w:tr>
        <w:tc>
          <w:tcPr>
            <w:tcW w:type="dxa" w:w="6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820</w:t>
            </w:r>
          </w:p>
        </w:tc>
        <w:tc>
          <w:tcPr>
            <w:tcW w:type="dxa" w:w="2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прочие обязательства на конец периода (510+800)</w:t>
            </w:r>
          </w:p>
        </w:tc>
        <w:tc>
          <w:tcPr>
            <w:tcW w:type="dxa" w:w="6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510+800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313. Приложение 13 «Чистые активы»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671. Информация в Приложении 13 «Чистые активы» (далее - Приложение 13) содержит обобщенные за отчетный период данные об изменениях в прочих обязательствах. В графе 1 указываются код и наименование показателей, в графе 2 - коды строк Приложения 13. В графе 3 указываются итоговые данные по денежным средствам, в графах 4 и 5 - соответствующие данные в разрезе бюджетных и специальных средств.</w:t>
      </w:r>
    </w:p>
    <w:p>
      <w:pPr>
        <w:spacing w:after="120"/>
        <w:jc w:val="both"/>
      </w:pPr>
      <w:r>
        <w:rPr>
          <w:rFonts w:ascii="Arial" w:cs="Arial" w:eastAsia="Arial" w:hAnsi="Arial"/>
          <w:sz w:val="24"/>
          <w:szCs w:val="24"/>
        </w:rPr>
        <w:t xml:space="preserve">672. Данные для Приложения 13 формируются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8"/>
        <w:gridCol w:w="2527"/>
        <w:gridCol w:w="7303"/>
      </w:tblGrid>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2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4111. Чистые активы</w:t>
            </w:r>
          </w:p>
        </w:tc>
        <w:tc>
          <w:tcPr>
            <w:tcW w:type="dxa" w:w="73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2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41111. Финансовый результат</w:t>
            </w:r>
          </w:p>
        </w:tc>
        <w:tc>
          <w:tcPr>
            <w:tcW w:type="dxa" w:w="73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010</w:t>
            </w:r>
          </w:p>
        </w:tc>
        <w:tc>
          <w:tcPr>
            <w:tcW w:type="dxa" w:w="25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отчетного периода</w:t>
            </w:r>
          </w:p>
        </w:tc>
        <w:tc>
          <w:tcPr>
            <w:tcW w:type="dxa" w:w="73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включаются сальдо на начало отчетного года элементов счета 41111 «Финансовый результат», а именно: 41111 100, 41111 200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020</w:t>
            </w:r>
          </w:p>
        </w:tc>
        <w:tc>
          <w:tcPr>
            <w:tcW w:type="dxa" w:w="25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Итого: расходы за период</w:t>
            </w:r>
          </w:p>
        </w:tc>
        <w:tc>
          <w:tcPr>
            <w:tcW w:type="dxa" w:w="73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вся сумма признанных в отчетном периоде расходов. Для определения суммы по данной строке необходимо проанализировать временные счета раздела 2 «Расходы»</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030</w:t>
            </w:r>
          </w:p>
        </w:tc>
        <w:tc>
          <w:tcPr>
            <w:tcW w:type="dxa" w:w="25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Итого: доходы за период</w:t>
            </w:r>
          </w:p>
        </w:tc>
        <w:tc>
          <w:tcPr>
            <w:tcW w:type="dxa" w:w="73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вся сумма признанных в отчетном периоде доходов. Для определения суммы по данной строке необходимо проанализировать временные счета раздела 1 «Доходы»</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040</w:t>
            </w:r>
          </w:p>
        </w:tc>
        <w:tc>
          <w:tcPr>
            <w:tcW w:type="dxa" w:w="25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отчетного периода (010-020+030)</w:t>
            </w:r>
          </w:p>
        </w:tc>
        <w:tc>
          <w:tcPr>
            <w:tcW w:type="dxa" w:w="73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010-020+030. Полученное значение должно совпадать с сальдо на конец отчетного периода всех элементов счета 41111 «Финансовый результат», а именно: 41111 100, 41111 200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2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41112. Резервы</w:t>
            </w:r>
          </w:p>
        </w:tc>
        <w:tc>
          <w:tcPr>
            <w:tcW w:type="dxa" w:w="73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050</w:t>
            </w:r>
          </w:p>
        </w:tc>
        <w:tc>
          <w:tcPr>
            <w:tcW w:type="dxa" w:w="25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отчетного периода</w:t>
            </w:r>
          </w:p>
        </w:tc>
        <w:tc>
          <w:tcPr>
            <w:tcW w:type="dxa" w:w="73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сальдо на начало отчетного года элементов счета 41112 «Резервы», а именно: 41112 100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060</w:t>
            </w:r>
          </w:p>
        </w:tc>
        <w:tc>
          <w:tcPr>
            <w:tcW w:type="dxa" w:w="25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Увеличение резерва переоценки</w:t>
            </w:r>
          </w:p>
        </w:tc>
        <w:tc>
          <w:tcPr>
            <w:tcW w:type="dxa" w:w="73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сумма, на которую в отчетном периоде произошло увеличение резерва переоценки. Для определения суммы по данной строке необходимо проанализировать кредитовые обороты за период по элементу 41112 100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070</w:t>
            </w:r>
          </w:p>
        </w:tc>
        <w:tc>
          <w:tcPr>
            <w:tcW w:type="dxa" w:w="25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Уменьшение резерва переоценки</w:t>
            </w:r>
          </w:p>
        </w:tc>
        <w:tc>
          <w:tcPr>
            <w:tcW w:type="dxa" w:w="73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сумма, на которую в отчетном периоде произошло уменьшение резерва переоценки. Для определения суммы по данной строке необходимо проанализировать дебетовые обороты за период по элементу 41112 100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080</w:t>
            </w:r>
          </w:p>
        </w:tc>
        <w:tc>
          <w:tcPr>
            <w:tcW w:type="dxa" w:w="25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отчетного периода (050+060-070)</w:t>
            </w:r>
          </w:p>
        </w:tc>
        <w:tc>
          <w:tcPr>
            <w:tcW w:type="dxa" w:w="73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050+060-070. Полученное значение должно совпадать с сальдо на конец отчетного периода всех элементов счета 41112 «Резервы»</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2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41113. Капитал, внесенный другими субъектами сектора госуправления</w:t>
            </w:r>
          </w:p>
        </w:tc>
        <w:tc>
          <w:tcPr>
            <w:tcW w:type="dxa" w:w="73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090</w:t>
            </w:r>
          </w:p>
        </w:tc>
        <w:tc>
          <w:tcPr>
            <w:tcW w:type="dxa" w:w="25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начало отчетного периода</w:t>
            </w:r>
          </w:p>
        </w:tc>
        <w:tc>
          <w:tcPr>
            <w:tcW w:type="dxa" w:w="73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сальдо на начало отчетного года элементов счета 41113 «Капитал, внесенный другими субъектами госсектора», а именно: 41113 100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100</w:t>
            </w:r>
          </w:p>
        </w:tc>
        <w:tc>
          <w:tcPr>
            <w:tcW w:type="dxa" w:w="25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Полученное финансирование из государственного бюджета</w:t>
            </w:r>
          </w:p>
        </w:tc>
        <w:tc>
          <w:tcPr>
            <w:tcW w:type="dxa" w:w="73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сумма фактически полученного в отчетном периоде финансирования из государственного бюджета. Для определения суммы по данной строке необходимо проанализировать кредитовые обороты за период по элементу 41113 100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110</w:t>
            </w:r>
          </w:p>
        </w:tc>
        <w:tc>
          <w:tcPr>
            <w:tcW w:type="dxa" w:w="25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Признание полученного из государственного бюджета финансирования доходами</w:t>
            </w:r>
          </w:p>
        </w:tc>
        <w:tc>
          <w:tcPr>
            <w:tcW w:type="dxa" w:w="73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сумма, профинансированная из государственного бюджета и признанная в отчетном периоде доходом. Для определения суммы по данной строке необходимо проанализировать дебетовые обороты за период по элементу 41113 100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120</w:t>
            </w:r>
          </w:p>
        </w:tc>
        <w:tc>
          <w:tcPr>
            <w:tcW w:type="dxa" w:w="25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Возврат финансирования в государственный бюджет</w:t>
            </w:r>
          </w:p>
        </w:tc>
        <w:tc>
          <w:tcPr>
            <w:tcW w:type="dxa" w:w="73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строку включается сумма, возвращенная в государственный бюджет в отчетном периоде</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130</w:t>
            </w:r>
          </w:p>
        </w:tc>
        <w:tc>
          <w:tcPr>
            <w:tcW w:type="dxa" w:w="25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Остаток на конец отчетного периода (090+100-110-120)</w:t>
            </w:r>
          </w:p>
        </w:tc>
        <w:tc>
          <w:tcPr>
            <w:tcW w:type="dxa" w:w="73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и вычитания следующих строк: 090+100-110-120. Полученное значение должно совпадать с сальдо на конец отчетного периода всех элементов счета 41113 «Капитал, внесенный другими субъектами госсектора», а именно: 41113 100</w:t>
            </w:r>
          </w:p>
        </w:tc>
      </w:tr>
      <w:tr>
        <w:tc>
          <w:tcPr>
            <w:tcW w:type="dxa" w:w="3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140</w:t>
            </w:r>
          </w:p>
        </w:tc>
        <w:tc>
          <w:tcPr>
            <w:tcW w:type="dxa" w:w="25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Чистые активы на начало отчетного периода (010+050+090)</w:t>
            </w:r>
          </w:p>
        </w:tc>
        <w:tc>
          <w:tcPr>
            <w:tcW w:type="dxa" w:w="73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010+050+090</w:t>
            </w:r>
          </w:p>
        </w:tc>
      </w:tr>
      <w:tr>
        <w:tc>
          <w:tcPr>
            <w:tcW w:type="dxa" w:w="3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2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Чистые активы на конец отчетного периода (040+080+130)</w:t>
            </w:r>
          </w:p>
        </w:tc>
        <w:tc>
          <w:tcPr>
            <w:tcW w:type="dxa" w:w="7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 строке рассчитывается как результат сложения следующих строк: 040+080+130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4. Пояснительная записка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673. Пояснительная записка включает:</w:t>
      </w:r>
    </w:p>
    <w:p>
      <w:pPr>
        <w:spacing w:after="120"/>
        <w:jc w:val="both"/>
      </w:pPr>
      <w:r>
        <w:rPr>
          <w:rFonts w:ascii="Arial" w:cs="Arial" w:eastAsia="Arial" w:hAnsi="Arial"/>
          <w:sz w:val="24"/>
          <w:szCs w:val="24"/>
        </w:rPr>
        <w:t xml:space="preserve">- сведения о количестве подведомственных учреждений (Приложение 1) и иную информацию, оказавшую существенное влияние на организационную структуру бюджетного учреждения в отчетном периоде, в том числе информацию о наличии подсобных хозяйств и изменениях в их количестве, произошедших за отчетный период;</w:t>
      </w:r>
    </w:p>
    <w:p>
      <w:pPr>
        <w:spacing w:after="120"/>
        <w:jc w:val="both"/>
      </w:pPr>
      <w:r>
        <w:rPr>
          <w:rFonts w:ascii="Arial" w:cs="Arial" w:eastAsia="Arial" w:hAnsi="Arial"/>
          <w:sz w:val="24"/>
          <w:szCs w:val="24"/>
        </w:rPr>
        <w:t xml:space="preserve">- сведения о проведении инвентаризации (Приложение 2);</w:t>
      </w:r>
    </w:p>
    <w:p>
      <w:pPr>
        <w:spacing w:after="120"/>
        <w:jc w:val="both"/>
      </w:pPr>
      <w:r>
        <w:rPr>
          <w:rFonts w:ascii="Arial" w:cs="Arial" w:eastAsia="Arial" w:hAnsi="Arial"/>
          <w:sz w:val="24"/>
          <w:szCs w:val="24"/>
        </w:rPr>
        <w:t xml:space="preserve">- сведения о запасах (Приложение 3);</w:t>
      </w:r>
    </w:p>
    <w:p>
      <w:pPr>
        <w:spacing w:after="120"/>
        <w:jc w:val="both"/>
      </w:pPr>
      <w:r>
        <w:rPr>
          <w:rFonts w:ascii="Arial" w:cs="Arial" w:eastAsia="Arial" w:hAnsi="Arial"/>
          <w:sz w:val="24"/>
          <w:szCs w:val="24"/>
        </w:rPr>
        <w:t xml:space="preserve">- сведения об остатках и движении денежных средств на счетах в системе Казначейства Кыргызской Республики (Приложение 4);</w:t>
      </w:r>
    </w:p>
    <w:p>
      <w:pPr>
        <w:spacing w:after="120"/>
        <w:jc w:val="both"/>
      </w:pPr>
      <w:r>
        <w:rPr>
          <w:rFonts w:ascii="Arial" w:cs="Arial" w:eastAsia="Arial" w:hAnsi="Arial"/>
          <w:sz w:val="24"/>
          <w:szCs w:val="24"/>
        </w:rPr>
        <w:t xml:space="preserve">- сведения о восстановленных кассовых расходах (Приложение 4.1);</w:t>
      </w:r>
    </w:p>
    <w:p>
      <w:pPr>
        <w:spacing w:after="120"/>
        <w:jc w:val="both"/>
      </w:pPr>
      <w:r>
        <w:rPr>
          <w:rFonts w:ascii="Arial" w:cs="Arial" w:eastAsia="Arial" w:hAnsi="Arial"/>
          <w:sz w:val="24"/>
          <w:szCs w:val="24"/>
        </w:rPr>
        <w:t xml:space="preserve">- сведения об остатках наличных денежных средств в кассе учреждения (Приложение 4.2);</w:t>
      </w:r>
    </w:p>
    <w:p>
      <w:pPr>
        <w:spacing w:after="120"/>
        <w:jc w:val="both"/>
      </w:pPr>
      <w:r>
        <w:rPr>
          <w:rFonts w:ascii="Arial" w:cs="Arial" w:eastAsia="Arial" w:hAnsi="Arial"/>
          <w:sz w:val="24"/>
          <w:szCs w:val="24"/>
        </w:rPr>
        <w:t xml:space="preserve">- сведения о недостачах и хищениях денежных средств и материальных ценностей (Приложение 5);</w:t>
      </w:r>
    </w:p>
    <w:p>
      <w:pPr>
        <w:spacing w:after="120"/>
        <w:jc w:val="both"/>
      </w:pPr>
      <w:r>
        <w:rPr>
          <w:rFonts w:ascii="Arial" w:cs="Arial" w:eastAsia="Arial" w:hAnsi="Arial"/>
          <w:sz w:val="24"/>
          <w:szCs w:val="24"/>
        </w:rPr>
        <w:t xml:space="preserve">- сведения по дебиторской и кредиторской задолженности (Приложение 6);</w:t>
      </w:r>
    </w:p>
    <w:p>
      <w:pPr>
        <w:spacing w:after="120"/>
        <w:jc w:val="both"/>
      </w:pPr>
      <w:r>
        <w:rPr>
          <w:rFonts w:ascii="Arial" w:cs="Arial" w:eastAsia="Arial" w:hAnsi="Arial"/>
          <w:sz w:val="24"/>
          <w:szCs w:val="24"/>
        </w:rPr>
        <w:t xml:space="preserve">- сведения о прочей дебиторской и кредиторской задолженности служащих (Приложение 6.1);</w:t>
      </w:r>
    </w:p>
    <w:p>
      <w:pPr>
        <w:spacing w:after="120"/>
        <w:jc w:val="both"/>
      </w:pPr>
      <w:r>
        <w:rPr>
          <w:rFonts w:ascii="Arial" w:cs="Arial" w:eastAsia="Arial" w:hAnsi="Arial"/>
          <w:sz w:val="24"/>
          <w:szCs w:val="24"/>
        </w:rPr>
        <w:t xml:space="preserve">- справка по закрытию счетов по завершении отчетного периода (Приложение 7);</w:t>
      </w:r>
    </w:p>
    <w:p>
      <w:pPr>
        <w:spacing w:after="120"/>
        <w:jc w:val="both"/>
      </w:pPr>
      <w:r>
        <w:rPr>
          <w:rFonts w:ascii="Arial" w:cs="Arial" w:eastAsia="Arial" w:hAnsi="Arial"/>
          <w:sz w:val="24"/>
          <w:szCs w:val="24"/>
        </w:rPr>
        <w:t xml:space="preserve">- Справка о полученных и переданных активах и обязательствах другой единице сектора государственного управления (Приложение 8.1);</w:t>
      </w:r>
    </w:p>
    <w:p>
      <w:pPr>
        <w:spacing w:after="120"/>
        <w:jc w:val="both"/>
      </w:pPr>
      <w:r>
        <w:rPr>
          <w:rFonts w:ascii="Arial" w:cs="Arial" w:eastAsia="Arial" w:hAnsi="Arial"/>
          <w:sz w:val="24"/>
          <w:szCs w:val="24"/>
        </w:rPr>
        <w:t xml:space="preserve">- Справка о полученных и переданных активах и обязательствах внебюджетной организации (Приложение 8.2);</w:t>
      </w:r>
    </w:p>
    <w:p>
      <w:pPr>
        <w:spacing w:after="120"/>
        <w:jc w:val="both"/>
      </w:pPr>
      <w:r>
        <w:rPr>
          <w:rFonts w:ascii="Arial" w:cs="Arial" w:eastAsia="Arial" w:hAnsi="Arial"/>
          <w:sz w:val="24"/>
          <w:szCs w:val="24"/>
        </w:rPr>
        <w:t xml:space="preserve">- сведения об открытых кредитах из республиканского бюджета по ведомственной классификации (Приложение 9);</w:t>
      </w:r>
    </w:p>
    <w:p>
      <w:pPr>
        <w:spacing w:after="120"/>
        <w:jc w:val="both"/>
      </w:pPr>
      <w:r>
        <w:rPr>
          <w:rFonts w:ascii="Arial" w:cs="Arial" w:eastAsia="Arial" w:hAnsi="Arial"/>
          <w:sz w:val="24"/>
          <w:szCs w:val="24"/>
        </w:rPr>
        <w:t xml:space="preserve">- справка о прямых расходных операциях, произведенных Центральным казначейством (Приложение 10)</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иную информацию, оказавшую существенное влияние и характеризующую показатели бухгалтерской отчетности, не нашедшую отражения в приложениях.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41. Приложение 1 «Сведения о количестве подведомственных учреждений»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674. Приложение 1 содержит обобщенные данные о количественном составе получателей бюджетных средств, подведомственных бюджетному учреждению.</w:t>
      </w:r>
    </w:p>
    <w:p>
      <w:pPr>
        <w:spacing w:after="120"/>
        <w:jc w:val="both"/>
      </w:pPr>
      <w:r>
        <w:rPr>
          <w:rFonts w:ascii="Arial" w:cs="Arial" w:eastAsia="Arial" w:hAnsi="Arial"/>
          <w:sz w:val="24"/>
          <w:szCs w:val="24"/>
        </w:rPr>
        <w:t xml:space="preserve">675. В графе 1, 2 указываются коды ведомственной и функциональной классификаций, присвоенные получателю бюджетных средств.</w:t>
      </w:r>
    </w:p>
    <w:p>
      <w:pPr>
        <w:spacing w:after="120"/>
        <w:jc w:val="both"/>
      </w:pPr>
      <w:r>
        <w:rPr>
          <w:rFonts w:ascii="Arial" w:cs="Arial" w:eastAsia="Arial" w:hAnsi="Arial"/>
          <w:sz w:val="24"/>
          <w:szCs w:val="24"/>
        </w:rPr>
        <w:t xml:space="preserve">676. В графах 3, 4 указывается количество получателей бюджетных средств на начало и конец отчетного периода.</w:t>
      </w:r>
    </w:p>
    <w:p>
      <w:pPr>
        <w:spacing w:after="120"/>
        <w:jc w:val="both"/>
      </w:pPr>
      <w:r>
        <w:rPr>
          <w:rFonts w:ascii="Arial" w:cs="Arial" w:eastAsia="Arial" w:hAnsi="Arial"/>
          <w:sz w:val="24"/>
          <w:szCs w:val="24"/>
        </w:rPr>
        <w:t xml:space="preserve">677. В графе 5 указываются причины, приведшие к изменению количества получателей бюджетных средств на конец отчетного периода (ликвидация, реорганизация и т.п.).</w:t>
      </w:r>
    </w:p>
    <w:p>
      <w:pPr>
        <w:spacing w:after="120"/>
        <w:jc w:val="both"/>
      </w:pPr>
      <w:r>
        <w:rPr>
          <w:rFonts w:ascii="Arial" w:cs="Arial" w:eastAsia="Arial" w:hAnsi="Arial"/>
          <w:sz w:val="24"/>
          <w:szCs w:val="24"/>
        </w:rPr>
        <w:t xml:space="preserve">678. По строке «Всего» отражается общее количество подведомственных получателей бюджетных средств на начало и конец отчетного периода.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42. Приложение 2 «Сведения о проведении инвентаризации»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679. Приложение 2 характеризует результаты проведенных в отчетном периоде инвентаризаций имущества и обязательств в части выявленных расхождений.</w:t>
      </w:r>
    </w:p>
    <w:p>
      <w:pPr>
        <w:spacing w:after="120"/>
        <w:jc w:val="both"/>
      </w:pPr>
      <w:r>
        <w:rPr>
          <w:rFonts w:ascii="Arial" w:cs="Arial" w:eastAsia="Arial" w:hAnsi="Arial"/>
          <w:sz w:val="24"/>
          <w:szCs w:val="24"/>
        </w:rPr>
        <w:t xml:space="preserve">680. В графах 1-4 указываются причины проведения инвентаризации (составление годовой бухгалтерской отчетности, смена материально ответственных лиц, выявление фактов хищения, злоупотребления или порчи имущества, чрезвычайные ситуации, требующие проведения инвентаризации, реорганизация или ликвидация бюджетного учреждения и другие случаи, предусмотренные законодательством Кыргызской Республики), дата проведения инвентаризации и реквизиты приказа о проведении инвентаризации.</w:t>
      </w:r>
    </w:p>
    <w:p>
      <w:pPr>
        <w:spacing w:after="120"/>
        <w:jc w:val="both"/>
      </w:pPr>
      <w:r>
        <w:rPr>
          <w:rFonts w:ascii="Arial" w:cs="Arial" w:eastAsia="Arial" w:hAnsi="Arial"/>
          <w:sz w:val="24"/>
          <w:szCs w:val="24"/>
        </w:rPr>
        <w:t xml:space="preserve">681. В графах 5, 6 указываются выявленные при проведении инвентаризации расхождения с данными бухгалтерского учета с указанием суммы расхождений и кода элемента бухгалтерского учета с данными, по которому выявлены расхождения.</w:t>
      </w:r>
    </w:p>
    <w:p>
      <w:pPr>
        <w:spacing w:after="120"/>
        <w:jc w:val="both"/>
      </w:pPr>
      <w:r>
        <w:rPr>
          <w:rFonts w:ascii="Arial" w:cs="Arial" w:eastAsia="Arial" w:hAnsi="Arial"/>
          <w:sz w:val="24"/>
          <w:szCs w:val="24"/>
        </w:rPr>
        <w:t xml:space="preserve">682. В графе 7 указываются суммы недостачи, отраженные на элементе 32171120 «Недостача, хищение, растрата».</w:t>
      </w:r>
    </w:p>
    <w:p>
      <w:pPr>
        <w:spacing w:after="120"/>
        <w:jc w:val="both"/>
      </w:pPr>
      <w:r>
        <w:rPr>
          <w:rFonts w:ascii="Arial" w:cs="Arial" w:eastAsia="Arial" w:hAnsi="Arial"/>
          <w:sz w:val="24"/>
          <w:szCs w:val="24"/>
        </w:rPr>
        <w:t xml:space="preserve">683. В графе 8 указываются уточненные суммы, отнесенные на соответствующий элемент.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43. Приложение 3 « Сведения о запасах»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684. Приложение 3 содержит данные об остатках, поступлении и расходовании запасов в виде сырья и материалов.</w:t>
      </w:r>
    </w:p>
    <w:p>
      <w:pPr>
        <w:spacing w:after="120"/>
        <w:jc w:val="both"/>
      </w:pPr>
      <w:r>
        <w:rPr>
          <w:rFonts w:ascii="Arial" w:cs="Arial" w:eastAsia="Arial" w:hAnsi="Arial"/>
          <w:sz w:val="24"/>
          <w:szCs w:val="24"/>
        </w:rPr>
        <w:t xml:space="preserve">685. В графах 1,2 указываются код и наименование соответствующих элементов счета 31221 «Сырье и материалы», по которым на отчетную дату отражены остатки запасов.</w:t>
      </w:r>
    </w:p>
    <w:p>
      <w:pPr>
        <w:spacing w:after="120"/>
        <w:jc w:val="both"/>
      </w:pPr>
      <w:r>
        <w:rPr>
          <w:rFonts w:ascii="Arial" w:cs="Arial" w:eastAsia="Arial" w:hAnsi="Arial"/>
          <w:sz w:val="24"/>
          <w:szCs w:val="24"/>
        </w:rPr>
        <w:t xml:space="preserve">686. В графах 3, 6 указываются итоговые суммы остатков запасов на начало отчетного периода и на конец отчетного периода) с подведением итогов (строка «Всего»).</w:t>
      </w:r>
    </w:p>
    <w:p>
      <w:pPr>
        <w:spacing w:after="120"/>
        <w:jc w:val="both"/>
      </w:pPr>
      <w:r>
        <w:rPr>
          <w:rFonts w:ascii="Arial" w:cs="Arial" w:eastAsia="Arial" w:hAnsi="Arial"/>
          <w:sz w:val="24"/>
          <w:szCs w:val="24"/>
        </w:rPr>
        <w:t xml:space="preserve">687. В графах 4, 5 указываются соответственно итоговые суммы поступления и расходования запасов в отчетном периоде с подведением итогов (строка «Всего»).</w:t>
      </w:r>
    </w:p>
    <w:p>
      <w:pPr>
        <w:spacing w:after="120"/>
        <w:jc w:val="both"/>
      </w:pPr>
      <w:r>
        <w:rPr>
          <w:rFonts w:ascii="Arial" w:cs="Arial" w:eastAsia="Arial" w:hAnsi="Arial"/>
          <w:sz w:val="24"/>
          <w:szCs w:val="24"/>
        </w:rPr>
        <w:t xml:space="preserve">688. В графах 7, 10, 11, 14 указываются остатки запасов на начало отчетного периода и на конец отчетного периода в разрезе бюджетных (графы 7, 10) и специальных (графы 11, 14) средств с подведением итогов (строка «Всего»).</w:t>
      </w:r>
    </w:p>
    <w:p>
      <w:pPr>
        <w:spacing w:after="120"/>
        <w:jc w:val="both"/>
      </w:pPr>
      <w:r>
        <w:rPr>
          <w:rFonts w:ascii="Arial" w:cs="Arial" w:eastAsia="Arial" w:hAnsi="Arial"/>
          <w:sz w:val="24"/>
          <w:szCs w:val="24"/>
        </w:rPr>
        <w:t xml:space="preserve">689. В графах 8, 9, 12, 13 соответственно указываются поступления и расходования запасов в отчетном периоде в разрезе бюджетных (графы 8, 9) и специальных (графы 12, 13) средств с подведением итогов (строка «Всего»).</w:t>
      </w:r>
    </w:p>
    <w:p>
      <w:pPr>
        <w:spacing w:after="120"/>
        <w:jc w:val="both"/>
      </w:pPr>
      <w:r>
        <w:rPr>
          <w:rFonts w:ascii="Arial" w:cs="Arial" w:eastAsia="Arial" w:hAnsi="Arial"/>
          <w:sz w:val="24"/>
          <w:szCs w:val="24"/>
        </w:rPr>
        <w:t xml:space="preserve">690. Данные, отраженные по строке «Всего» в графах 3, 7, 11 Сведения о запасах должны соответствовать показателям, отраженным соответственно по строке 120 в графах 3, 4, 5 Приложения 2 « Запасы».</w:t>
      </w:r>
    </w:p>
    <w:p>
      <w:pPr>
        <w:spacing w:after="120"/>
        <w:jc w:val="both"/>
      </w:pPr>
      <w:r>
        <w:rPr>
          <w:rFonts w:ascii="Arial" w:cs="Arial" w:eastAsia="Arial" w:hAnsi="Arial"/>
          <w:sz w:val="24"/>
          <w:szCs w:val="24"/>
        </w:rPr>
        <w:t xml:space="preserve">691. Данные, отраженные по строке «Всего» в графах 4, 8, 12 «Сведения о запасах», должны соответствовать суммарному итогу строк 130, 140, 150, 211 в графах 3, 4, 5 Приложения 2 «Запасы».</w:t>
      </w:r>
    </w:p>
    <w:p>
      <w:pPr>
        <w:spacing w:after="120"/>
        <w:jc w:val="both"/>
      </w:pPr>
      <w:r>
        <w:rPr>
          <w:rFonts w:ascii="Arial" w:cs="Arial" w:eastAsia="Arial" w:hAnsi="Arial"/>
          <w:sz w:val="24"/>
          <w:szCs w:val="24"/>
        </w:rPr>
        <w:t xml:space="preserve">692. Данные, отраженные по строке «Всего» в графах 5, 9, 13 «Сведения о запасах», должны соответствовать суммарному итогу строк 160, 170, 180, 200, 212 в графах 3, 4, 5 Приложения 2 «Запасы».</w:t>
      </w:r>
    </w:p>
    <w:p>
      <w:pPr>
        <w:spacing w:after="120"/>
        <w:jc w:val="both"/>
      </w:pPr>
      <w:r>
        <w:rPr>
          <w:rFonts w:ascii="Arial" w:cs="Arial" w:eastAsia="Arial" w:hAnsi="Arial"/>
          <w:sz w:val="24"/>
          <w:szCs w:val="24"/>
        </w:rPr>
        <w:t xml:space="preserve">693. Данные, отраженные по строке «Всего» в графах 6, 10, 14 «Сведения о запасах», должны соответствовать показателям, отраженным соответственно по строке 220 в графах 3, 4, 5 Приложения 2 «Запасы».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44. Приложение 4 «Сведения об остатках и движении денежных средств на счетах в системе Казначейства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694. Приложение 4 содержит данные об остатках, поступлении и расходовании денежных средств через казначейские счета, открытые в системе Казначейства Кыргызской Республики.</w:t>
      </w:r>
    </w:p>
    <w:p>
      <w:pPr>
        <w:spacing w:after="120"/>
        <w:jc w:val="both"/>
      </w:pPr>
      <w:r>
        <w:rPr>
          <w:rFonts w:ascii="Arial" w:cs="Arial" w:eastAsia="Arial" w:hAnsi="Arial"/>
          <w:sz w:val="24"/>
          <w:szCs w:val="24"/>
        </w:rPr>
        <w:t xml:space="preserve">695. Данные об остатках, поступлении и расходовании денежных средств в иностранной валюте отражаются в сомовом эквиваленте по курсу, установленному Национальным банком Кыргызской Республики на отчетную дату.</w:t>
      </w:r>
    </w:p>
    <w:p>
      <w:pPr>
        <w:spacing w:after="120"/>
        <w:jc w:val="both"/>
      </w:pPr>
      <w:r>
        <w:rPr>
          <w:rFonts w:ascii="Arial" w:cs="Arial" w:eastAsia="Arial" w:hAnsi="Arial"/>
          <w:sz w:val="24"/>
          <w:szCs w:val="24"/>
        </w:rPr>
        <w:t xml:space="preserve">696. Показатели, отраженные в Сведениях о движении денежных средств на счетах в системе Казначейства Кыргызской Республики, предоставляемых министерствами, ведомствами и финансовыми органами, должны быть сверены и заверены региональными отделениями казначейства.</w:t>
      </w:r>
    </w:p>
    <w:p>
      <w:pPr>
        <w:spacing w:after="120"/>
        <w:jc w:val="both"/>
      </w:pPr>
      <w:r>
        <w:rPr>
          <w:rFonts w:ascii="Arial" w:cs="Arial" w:eastAsia="Arial" w:hAnsi="Arial"/>
          <w:sz w:val="24"/>
          <w:szCs w:val="24"/>
        </w:rPr>
        <w:t xml:space="preserve">697. В графах 1,2 указываются наименование и код соответствующих элементов счета 32121 «Счета в системе Казначейства Кыргызской Республики».</w:t>
      </w:r>
    </w:p>
    <w:p>
      <w:pPr>
        <w:spacing w:after="120"/>
        <w:jc w:val="both"/>
      </w:pPr>
      <w:r>
        <w:rPr>
          <w:rFonts w:ascii="Arial" w:cs="Arial" w:eastAsia="Arial" w:hAnsi="Arial"/>
          <w:sz w:val="24"/>
          <w:szCs w:val="24"/>
        </w:rPr>
        <w:t xml:space="preserve">698. В графе 3 указываются итоговые суммы денежных средств. В графах 4-5 указываются соответствующие показатели в разрезе бюджетных и специальных средств. Обороты по депозитным и учетным счетам показываются в развернутом виде в разрезе поступления и расходования денежных средств.</w:t>
      </w:r>
    </w:p>
    <w:p>
      <w:pPr>
        <w:spacing w:after="120"/>
        <w:jc w:val="both"/>
      </w:pPr>
      <w:r>
        <w:rPr>
          <w:rFonts w:ascii="Arial" w:cs="Arial" w:eastAsia="Arial" w:hAnsi="Arial"/>
          <w:sz w:val="24"/>
          <w:szCs w:val="24"/>
        </w:rPr>
        <w:t xml:space="preserve">699. Справочно показывается информация о внесенной в доход бюджета сумме в разрезе специальных средств, учетных сумм.</w:t>
      </w:r>
    </w:p>
    <w:p>
      <w:pPr>
        <w:spacing w:after="120"/>
        <w:jc w:val="both"/>
      </w:pPr>
      <w:r>
        <w:rPr>
          <w:rFonts w:ascii="Arial" w:cs="Arial" w:eastAsia="Arial" w:hAnsi="Arial"/>
          <w:sz w:val="24"/>
          <w:szCs w:val="24"/>
        </w:rPr>
        <w:t xml:space="preserve">700. Данные, отраженные по строке 490 в графах 3, 4, 5 «Сведения об остатках денежных средств на счетах в системе Казначейства Кыргызской Республики», должны соответствовать показателям, отраженным соответственно по строке 010 в графах 3, 4, 5 Приложения 5 «Валюта и депозиты».</w:t>
      </w:r>
    </w:p>
    <w:p>
      <w:pPr>
        <w:spacing w:after="120"/>
        <w:jc w:val="both"/>
      </w:pPr>
      <w:r>
        <w:rPr>
          <w:rFonts w:ascii="Arial" w:cs="Arial" w:eastAsia="Arial" w:hAnsi="Arial"/>
          <w:sz w:val="24"/>
          <w:szCs w:val="24"/>
        </w:rPr>
        <w:t xml:space="preserve">701. Данные, отраженные по строке 520 в графах 3, 4, 5 «Сведения об остатках денежных средств на счетах в системе Казначейства Кыргызской Республики», должны соответствовать показателям, отраженным соответственно по строке 040 в графах 3, 4, 5 Приложения 5 «Валюта и депозиты».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45. Приложение 4.1 «Сведения о восстановленных кассовых расходах»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702. Приложение 4.1. содержит данные о восстановленных кассовых расходах на казначейских счетах в развернутом виде: поступление и расходование денежных средств.</w:t>
      </w:r>
    </w:p>
    <w:p>
      <w:pPr>
        <w:spacing w:after="120"/>
        <w:jc w:val="both"/>
      </w:pPr>
      <w:r>
        <w:rPr>
          <w:rFonts w:ascii="Arial" w:cs="Arial" w:eastAsia="Arial" w:hAnsi="Arial"/>
          <w:sz w:val="24"/>
          <w:szCs w:val="24"/>
        </w:rPr>
        <w:t xml:space="preserve">703. В графах 1,2 указываются наименование и код соответствующих элементов расходов Бюджетной классификации, по которым восстановлены кассовые расходы.</w:t>
      </w:r>
    </w:p>
    <w:p>
      <w:pPr>
        <w:spacing w:after="120"/>
        <w:jc w:val="both"/>
      </w:pPr>
      <w:r>
        <w:rPr>
          <w:rFonts w:ascii="Arial" w:cs="Arial" w:eastAsia="Arial" w:hAnsi="Arial"/>
          <w:sz w:val="24"/>
          <w:szCs w:val="24"/>
        </w:rPr>
        <w:t xml:space="preserve">704. В графах 3, 4, 5 указываются итоговые суммы восстановленных кассовых расходов: поступление, расходование и остаток.</w:t>
      </w:r>
    </w:p>
    <w:p>
      <w:pPr>
        <w:spacing w:after="120"/>
        <w:jc w:val="both"/>
      </w:pPr>
      <w:r>
        <w:rPr>
          <w:rFonts w:ascii="Arial" w:cs="Arial" w:eastAsia="Arial" w:hAnsi="Arial"/>
          <w:sz w:val="24"/>
          <w:szCs w:val="24"/>
        </w:rPr>
        <w:t xml:space="preserve">705. В графах 6-11 указываются суммы восстановленных кассовых расходов в разрезе бюджетных (графы 6 - 8) и специальных средств (графы 9-11): поступление, расходование и остаток, с подведением итогов (строка «Всего»).</w:t>
      </w:r>
    </w:p>
    <w:p>
      <w:pPr>
        <w:spacing w:after="120"/>
        <w:jc w:val="both"/>
      </w:pPr>
      <w:r>
        <w:rPr>
          <w:rFonts w:ascii="Arial" w:cs="Arial" w:eastAsia="Arial" w:hAnsi="Arial"/>
          <w:sz w:val="24"/>
          <w:szCs w:val="24"/>
        </w:rPr>
        <w:t xml:space="preserve">706. Суммарные итоги строк 500, 570 в графах 3, 4, 5 «Сведения о движении денежных средств на счетах в системе Казначейства Кыргызской Республики» и строки «Всего» в графах 3, 6, 9 «Сведения о восстановленных кассовых расходах» должны соответствовать показателям, отраженным соответственно по строке 020 в графах 3, 4, 5 Приложения 5 «Валюта и депозиты».</w:t>
      </w:r>
    </w:p>
    <w:p>
      <w:pPr>
        <w:spacing w:after="120"/>
        <w:jc w:val="both"/>
      </w:pPr>
      <w:r>
        <w:rPr>
          <w:rFonts w:ascii="Arial" w:cs="Arial" w:eastAsia="Arial" w:hAnsi="Arial"/>
          <w:sz w:val="24"/>
          <w:szCs w:val="24"/>
        </w:rPr>
        <w:t xml:space="preserve">707. Суммарные итоги строк 510, 570 в графах 3, 4, 5 «Сведения о движении денежных средств на счетах в системе Казначейства Кыргызской Республики» и строки «Всего» в графах 4, 7, 10 «Сведения о восстановленных кассовых расходах» должны соответствовать показателям, отраженным соответственно по строке 030 в графах 3, 4, 5 Приложения 5 «Валюта и депозиты».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46. Приложение 4.2 «Сведения об остатках наличных денежных средств в кассе учреждения»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708. Приложение 4.2 содержит данные об остатках наличных денежных средств в кассе учреждений.</w:t>
      </w:r>
    </w:p>
    <w:p>
      <w:pPr>
        <w:spacing w:after="120"/>
        <w:jc w:val="both"/>
      </w:pPr>
      <w:r>
        <w:rPr>
          <w:rFonts w:ascii="Arial" w:cs="Arial" w:eastAsia="Arial" w:hAnsi="Arial"/>
          <w:sz w:val="24"/>
          <w:szCs w:val="24"/>
        </w:rPr>
        <w:t xml:space="preserve">709. Данные об остатках денежных средств в иностранной валюте отражаются в сомовом эквиваленте по курсу, установленному Национальным банком Кыргызкой Республики на отчетную дату.</w:t>
      </w:r>
    </w:p>
    <w:p>
      <w:pPr>
        <w:spacing w:after="120"/>
        <w:jc w:val="both"/>
      </w:pPr>
      <w:r>
        <w:rPr>
          <w:rFonts w:ascii="Arial" w:cs="Arial" w:eastAsia="Arial" w:hAnsi="Arial"/>
          <w:sz w:val="24"/>
          <w:szCs w:val="24"/>
        </w:rPr>
        <w:t xml:space="preserve">710. В графах 1,2 указываются наименование и код соответствующих элементов Бюджетной классификации, по которым на отчетную дату отражены остатки денежных средств.</w:t>
      </w:r>
    </w:p>
    <w:p>
      <w:pPr>
        <w:spacing w:after="120"/>
        <w:jc w:val="both"/>
      </w:pPr>
      <w:r>
        <w:rPr>
          <w:rFonts w:ascii="Arial" w:cs="Arial" w:eastAsia="Arial" w:hAnsi="Arial"/>
          <w:sz w:val="24"/>
          <w:szCs w:val="24"/>
        </w:rPr>
        <w:t xml:space="preserve">711. Данные, отраженные по строке «Всего» в графах 3, 5, 7 «Сведения об остатках наличных денежных средств в кассе учреждений», должны соответствовать показателям, отраженным соответственно по строке 100 Приложения 5 «Валюта и депозиты».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47. Приложение 5 «Сведения о недостачах и хищениях денежных средств и материальных ценностей»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712. Приложение 5 содержит обобщенные за отчетный период аналитические данные об объемах недостач и хищений имущества на основании записей по элементу 32171120 «Недостачи, хищения, растраты».</w:t>
      </w:r>
    </w:p>
    <w:p>
      <w:pPr>
        <w:spacing w:after="120"/>
        <w:jc w:val="both"/>
      </w:pPr>
      <w:r>
        <w:rPr>
          <w:rFonts w:ascii="Arial" w:cs="Arial" w:eastAsia="Arial" w:hAnsi="Arial"/>
          <w:sz w:val="24"/>
          <w:szCs w:val="24"/>
        </w:rPr>
        <w:t xml:space="preserve">713. В графах 1, 2 указываются наименования показателей и коды строк приложения.</w:t>
      </w:r>
    </w:p>
    <w:p>
      <w:pPr>
        <w:spacing w:after="120"/>
        <w:jc w:val="both"/>
      </w:pPr>
      <w:r>
        <w:rPr>
          <w:rFonts w:ascii="Arial" w:cs="Arial" w:eastAsia="Arial" w:hAnsi="Arial"/>
          <w:sz w:val="24"/>
          <w:szCs w:val="24"/>
        </w:rPr>
        <w:t xml:space="preserve">714. В графе 3 указываются итоговые данные (суммы в графе 4 и графе 5) по недостачам, хищениям, растратам в разрезе остатка дебиторской задолженности на начало года (строка 010), увеличения дебиторской задолженности по недостачам, хищениям, растратам (строка 020), уменьшения дебиторской задолженности по недостачам, хищениям, растратам (строка 030) и остатка дебиторской задолженности по недостачам, хищениям, растратам на конец отчетного периода (строка 040).</w:t>
      </w:r>
    </w:p>
    <w:p>
      <w:pPr>
        <w:spacing w:after="120"/>
        <w:jc w:val="both"/>
      </w:pPr>
      <w:r>
        <w:rPr>
          <w:rFonts w:ascii="Arial" w:cs="Arial" w:eastAsia="Arial" w:hAnsi="Arial"/>
          <w:sz w:val="24"/>
          <w:szCs w:val="24"/>
        </w:rPr>
        <w:t xml:space="preserve">715. В графах 4, 5 указываются данные по недостачам, хищениям, растратам в разрезе бюджетных и специальных средств соответственно в вышеустановленном разрезе строк приложения.</w:t>
      </w:r>
    </w:p>
    <w:p>
      <w:pPr>
        <w:spacing w:after="120"/>
        <w:jc w:val="both"/>
      </w:pPr>
      <w:r>
        <w:rPr>
          <w:rFonts w:ascii="Arial" w:cs="Arial" w:eastAsia="Arial" w:hAnsi="Arial"/>
          <w:sz w:val="24"/>
          <w:szCs w:val="24"/>
        </w:rPr>
        <w:t xml:space="preserve">716. Данные, отраженные по строке 020 в графах 3, 4, 5 «Сведения о недостачах и хищениях денежных средств и материальных ценностей», должны соответствовать показателям, отраженным соответственно по строке 030 в графах 3, 4, 5 Приложения 9 «Прочая дебиторская задолженность».</w:t>
      </w:r>
    </w:p>
    <w:p>
      <w:pPr>
        <w:spacing w:after="120"/>
        <w:jc w:val="both"/>
      </w:pPr>
      <w:r>
        <w:rPr>
          <w:rFonts w:ascii="Arial" w:cs="Arial" w:eastAsia="Arial" w:hAnsi="Arial"/>
          <w:sz w:val="24"/>
          <w:szCs w:val="24"/>
        </w:rPr>
        <w:t xml:space="preserve">717. Данные, отраженные по строке 030 в графах 3, 4, 5 «Сведения о недостачах и хищениях денежных средств и материальных ценностей», должны соответствовать показателям, отраженным соответственно по строке 070 в графах 3, 4, 5 Приложения 9 «Прочая дебиторская задолженность».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48. Приложение 6 «Сведения по дебиторской и кредиторской задолженности»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718. Приложение 6 содержит обобщенные за отчетный период данные о состоянии расчетов по дебиторской и кредиторской задолженности в разрезе видов расчетов.</w:t>
      </w:r>
    </w:p>
    <w:p>
      <w:pPr>
        <w:spacing w:after="120"/>
        <w:jc w:val="both"/>
      </w:pPr>
      <w:r>
        <w:rPr>
          <w:rFonts w:ascii="Arial" w:cs="Arial" w:eastAsia="Arial" w:hAnsi="Arial"/>
          <w:sz w:val="24"/>
          <w:szCs w:val="24"/>
        </w:rPr>
        <w:t xml:space="preserve">719. Сведения по дебиторской и кредиторской задолженности составляются раздельно по дебиторской и по кредиторской задолженности.</w:t>
      </w:r>
    </w:p>
    <w:p>
      <w:pPr>
        <w:spacing w:after="120"/>
        <w:jc w:val="both"/>
      </w:pPr>
      <w:r>
        <w:rPr>
          <w:rFonts w:ascii="Arial" w:cs="Arial" w:eastAsia="Arial" w:hAnsi="Arial"/>
          <w:sz w:val="24"/>
          <w:szCs w:val="24"/>
        </w:rPr>
        <w:t xml:space="preserve">720. В графах 1, 2 указываются код и наименование соответствующих элементов счетов, по которым на отчетную дату отражены остатки по дебиторской, (кредиторской) задолженности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94"/>
        <w:gridCol w:w="8584"/>
      </w:tblGrid>
      <w:tr>
        <w:tc>
          <w:tcPr>
            <w:tcW w:type="dxa" w:w="159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32173</w:t>
            </w:r>
          </w:p>
        </w:tc>
        <w:tc>
          <w:tcPr>
            <w:tcW w:type="dxa" w:w="85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и дивиденды к получению</w:t>
            </w:r>
          </w:p>
        </w:tc>
      </w:tr>
      <w:tr>
        <w:tc>
          <w:tcPr>
            <w:tcW w:type="dxa" w:w="15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32174</w:t>
            </w:r>
          </w:p>
        </w:tc>
        <w:tc>
          <w:tcPr>
            <w:tcW w:type="dxa" w:w="8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авансы, уплаченные</w:t>
            </w:r>
          </w:p>
        </w:tc>
      </w:tr>
      <w:tr>
        <w:tc>
          <w:tcPr>
            <w:tcW w:type="dxa" w:w="15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32271</w:t>
            </w:r>
          </w:p>
        </w:tc>
        <w:tc>
          <w:tcPr>
            <w:tcW w:type="dxa" w:w="8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внешняя дебиторская задолженность</w:t>
            </w:r>
          </w:p>
        </w:tc>
      </w:tr>
      <w:tr>
        <w:tc>
          <w:tcPr>
            <w:tcW w:type="dxa" w:w="15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32272</w:t>
            </w:r>
          </w:p>
        </w:tc>
        <w:tc>
          <w:tcPr>
            <w:tcW w:type="dxa" w:w="8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авансы, уплаченные</w:t>
            </w:r>
          </w:p>
        </w:tc>
      </w:tr>
      <w:tr>
        <w:tc>
          <w:tcPr>
            <w:tcW w:type="dxa" w:w="15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33172</w:t>
            </w:r>
          </w:p>
        </w:tc>
        <w:tc>
          <w:tcPr>
            <w:tcW w:type="dxa" w:w="8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по оплате труда</w:t>
            </w:r>
          </w:p>
        </w:tc>
      </w:tr>
      <w:tr>
        <w:tc>
          <w:tcPr>
            <w:tcW w:type="dxa" w:w="15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33173</w:t>
            </w:r>
          </w:p>
        </w:tc>
        <w:tc>
          <w:tcPr>
            <w:tcW w:type="dxa" w:w="8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к оплате</w:t>
            </w:r>
          </w:p>
        </w:tc>
      </w:tr>
      <w:tr>
        <w:tc>
          <w:tcPr>
            <w:tcW w:type="dxa" w:w="15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33174</w:t>
            </w:r>
          </w:p>
        </w:tc>
        <w:tc>
          <w:tcPr>
            <w:tcW w:type="dxa" w:w="8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Счета к оплате</w:t>
            </w:r>
          </w:p>
        </w:tc>
      </w:tr>
      <w:tr>
        <w:tc>
          <w:tcPr>
            <w:tcW w:type="dxa" w:w="15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33175</w:t>
            </w:r>
          </w:p>
        </w:tc>
        <w:tc>
          <w:tcPr>
            <w:tcW w:type="dxa" w:w="8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по социальным пособиям</w:t>
            </w:r>
          </w:p>
        </w:tc>
      </w:tr>
      <w:tr>
        <w:tc>
          <w:tcPr>
            <w:tcW w:type="dxa" w:w="15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33176</w:t>
            </w:r>
          </w:p>
        </w:tc>
        <w:tc>
          <w:tcPr>
            <w:tcW w:type="dxa" w:w="8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авансы, полученные</w:t>
            </w:r>
          </w:p>
        </w:tc>
      </w:tr>
      <w:tr>
        <w:tc>
          <w:tcPr>
            <w:tcW w:type="dxa" w:w="15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33177</w:t>
            </w:r>
          </w:p>
        </w:tc>
        <w:tc>
          <w:tcPr>
            <w:tcW w:type="dxa" w:w="8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Расчеты по платежам в бюджет</w:t>
            </w:r>
          </w:p>
        </w:tc>
      </w:tr>
      <w:tr>
        <w:tc>
          <w:tcPr>
            <w:tcW w:type="dxa" w:w="15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33251</w:t>
            </w:r>
          </w:p>
        </w:tc>
        <w:tc>
          <w:tcPr>
            <w:tcW w:type="dxa" w:w="8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к оплате</w:t>
            </w:r>
          </w:p>
        </w:tc>
      </w:tr>
      <w:tr>
        <w:tc>
          <w:tcPr>
            <w:tcW w:type="dxa" w:w="15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33252</w:t>
            </w:r>
          </w:p>
        </w:tc>
        <w:tc>
          <w:tcPr>
            <w:tcW w:type="dxa" w:w="8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Счета к оплате</w:t>
            </w:r>
          </w:p>
        </w:tc>
      </w:tr>
      <w:tr>
        <w:tc>
          <w:tcPr>
            <w:tcW w:type="dxa" w:w="15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33253</w:t>
            </w:r>
          </w:p>
        </w:tc>
        <w:tc>
          <w:tcPr>
            <w:tcW w:type="dxa" w:w="8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международные организации и объединения в рамках СНГ</w:t>
            </w:r>
          </w:p>
        </w:tc>
      </w:tr>
      <w:tr>
        <w:tc>
          <w:tcPr>
            <w:tcW w:type="dxa" w:w="15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33259</w:t>
            </w:r>
          </w:p>
        </w:tc>
        <w:tc>
          <w:tcPr>
            <w:tcW w:type="dxa" w:w="8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внешние обязательства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721. В графе 3, 4 указываются итоговые данные по дебиторской (кредиторской) задолженности, учитываемой по соответствующему коду элемента по состоянию на отчетную дату и на начало периода.</w:t>
      </w:r>
    </w:p>
    <w:p>
      <w:pPr>
        <w:spacing w:after="120"/>
        <w:jc w:val="both"/>
      </w:pPr>
      <w:r>
        <w:rPr>
          <w:rFonts w:ascii="Arial" w:cs="Arial" w:eastAsia="Arial" w:hAnsi="Arial"/>
          <w:sz w:val="24"/>
          <w:szCs w:val="24"/>
        </w:rPr>
        <w:t xml:space="preserve">722. В графах 5, 6, 7, 8 указываются данные по дебиторской (кредиторской) задолженности в разрезе бюджетных и специальных средств по состоянию на отчетную дату и на начало периода.</w:t>
      </w:r>
    </w:p>
    <w:p>
      <w:pPr>
        <w:spacing w:after="120"/>
        <w:jc w:val="both"/>
      </w:pPr>
      <w:r>
        <w:rPr>
          <w:rFonts w:ascii="Arial" w:cs="Arial" w:eastAsia="Arial" w:hAnsi="Arial"/>
          <w:sz w:val="24"/>
          <w:szCs w:val="24"/>
        </w:rPr>
        <w:t xml:space="preserve">723. Показатели расчетов с дебиторами и кредиторами формируются с подведением промежуточных итогов по каждому коду элемента и счета - строка «Итого по элементу», «Итого по счету» соответственно.</w:t>
      </w:r>
    </w:p>
    <w:p>
      <w:pPr>
        <w:spacing w:after="120"/>
        <w:jc w:val="both"/>
      </w:pPr>
      <w:r>
        <w:rPr>
          <w:rFonts w:ascii="Arial" w:cs="Arial" w:eastAsia="Arial" w:hAnsi="Arial"/>
          <w:sz w:val="24"/>
          <w:szCs w:val="24"/>
        </w:rPr>
        <w:t xml:space="preserve">724. В строке «Всего» указывается итоговая сумма дебиторской (кредиторской) задолженности на отчетную дату и на начало периода.</w:t>
      </w:r>
    </w:p>
    <w:p>
      <w:pPr>
        <w:spacing w:after="120"/>
        <w:jc w:val="both"/>
      </w:pPr>
      <w:r>
        <w:rPr>
          <w:rFonts w:ascii="Arial" w:cs="Arial" w:eastAsia="Arial" w:hAnsi="Arial"/>
          <w:sz w:val="24"/>
          <w:szCs w:val="24"/>
        </w:rPr>
        <w:t xml:space="preserve">725. Данные, отраженные по строке «Итого по счету» (по соответствующим счетам) в графах 4, 6, 8 «Сведения по дебиторской задолженности» должны соответствовать показателям, отраженным соответственно по строкам 170, 270, 330, 430 в графах 3, 4, 5 Приложения 9 «Прочая дебиторская задолженность». Данные, отраженные по строке «Итого по счету» в графах 3, 5, 7 «Сведения по дебиторской задолженности» должны соответствовать показателям, отраженным соответственно по строкам 110, 180, 300, 340, в графах 3, 4, 5 Приложения 9 «Прочая дебиторская задолженность».</w:t>
      </w:r>
    </w:p>
    <w:p>
      <w:pPr>
        <w:spacing w:after="120"/>
        <w:jc w:val="both"/>
      </w:pPr>
      <w:r>
        <w:rPr>
          <w:rFonts w:ascii="Arial" w:cs="Arial" w:eastAsia="Arial" w:hAnsi="Arial"/>
          <w:sz w:val="24"/>
          <w:szCs w:val="24"/>
        </w:rPr>
        <w:t xml:space="preserve">726. Данные, отраженные по строке «Итого по счету» (по соответствующим счетам) в графах 4, 6, 8 «Сведения по кредиторской задолженности» должны соответствовать показателям, отраженным соответственно по строкам 120, 190, 270, 310, 350, 390, 480, 560, 640, 680 в графах 3, 4, 5 Приложения 12 «Прочие обязательства». Данные, отраженные по строке «Итого по счету» (по соответствующим счетам) в графах 3, 5, 7 «Сведения по кредиторской задолженности», должны соответствовать показателям, отраженным соответственно по строкам 090, 130, 200, 280, 320, 360, 420, 490, 570, 650 в графах 3, 4, 5 Приложения 12 «Прочие обязательства».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49. Приложение 6.1 «Сведения о прочей дебиторской и кредиторской задолженности 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727. Приложение 6.1 содержит обобщенные за отчетный период данные о состоянии расчетов по дебиторской и кредиторской задолженности служащих.</w:t>
      </w:r>
    </w:p>
    <w:p>
      <w:pPr>
        <w:spacing w:after="120"/>
        <w:jc w:val="both"/>
      </w:pPr>
      <w:r>
        <w:rPr>
          <w:rFonts w:ascii="Arial" w:cs="Arial" w:eastAsia="Arial" w:hAnsi="Arial"/>
          <w:sz w:val="24"/>
          <w:szCs w:val="24"/>
        </w:rPr>
        <w:t xml:space="preserve">728. В графах 1, 2 указываются код и наименование соответствующих элементов счетов, по которым на отчетную дату отражены остатки по прочей дебиторской, кредиторской задолженности служащих.</w:t>
      </w:r>
    </w:p>
    <w:p>
      <w:pPr>
        <w:spacing w:after="120"/>
        <w:jc w:val="both"/>
      </w:pPr>
      <w:r>
        <w:rPr>
          <w:rFonts w:ascii="Arial" w:cs="Arial" w:eastAsia="Arial" w:hAnsi="Arial"/>
          <w:sz w:val="24"/>
          <w:szCs w:val="24"/>
        </w:rPr>
        <w:t xml:space="preserve">729. Данные, отраженные по строке 020 и 030 в графах 3, 4, 5 «Сведения о прочей дебиторской и кредиторской задолженности», должны соответствовать показателям, отраженным соответственно по строкам 020 и 060 в графах 3, 4, 5 Приложения 9 «Прочая дебиторская задолженность».</w:t>
      </w:r>
    </w:p>
    <w:p>
      <w:pPr>
        <w:spacing w:after="120"/>
        <w:jc w:val="both"/>
      </w:pPr>
      <w:r>
        <w:rPr>
          <w:rFonts w:ascii="Arial" w:cs="Arial" w:eastAsia="Arial" w:hAnsi="Arial"/>
          <w:sz w:val="24"/>
          <w:szCs w:val="24"/>
        </w:rPr>
        <w:t xml:space="preserve">730. Данные, отраженные по строке 060 и 070 в графах 3, 4, 5 «Сведения о прочей дебиторской и кредиторской задолженности», должны соответствовать показателям, отраженным соответственно по строкам 020 и 100 в графах 3, 4, 5 Приложения 12 «Прочие обязательства».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410. Приложение 7 «Справка по закрытию счетов по завершении отчетного периода»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731. Приложение 7 отражает обороты по элементам, подлежащим закрытию по завершении отчетного периода в установленном порядке, в разрезе бюджетных и специальных средств.</w:t>
      </w:r>
    </w:p>
    <w:p>
      <w:pPr>
        <w:spacing w:after="120"/>
        <w:jc w:val="both"/>
      </w:pPr>
      <w:r>
        <w:rPr>
          <w:rFonts w:ascii="Arial" w:cs="Arial" w:eastAsia="Arial" w:hAnsi="Arial"/>
          <w:sz w:val="24"/>
          <w:szCs w:val="24"/>
        </w:rPr>
        <w:t xml:space="preserve">732. В графах 1, 2 указываются код и наименование соответствующих элементов: счетов по разделам «Доходы», «Расходы», по которым производится закрытие в конце отчетного периода на элемент 41111 100 «Свод доходов и расходов».</w:t>
      </w:r>
    </w:p>
    <w:p>
      <w:pPr>
        <w:spacing w:after="120"/>
        <w:jc w:val="both"/>
      </w:pPr>
      <w:r>
        <w:rPr>
          <w:rFonts w:ascii="Arial" w:cs="Arial" w:eastAsia="Arial" w:hAnsi="Arial"/>
          <w:sz w:val="24"/>
          <w:szCs w:val="24"/>
        </w:rPr>
        <w:t xml:space="preserve">733. В графах 3, 4, 5, 6 указываются обороты элементов нарастающим итогом с начала финансового года по дебету (кредиту) в разрезе бюджетных (графы 3, 4) и специальных (графы 5, 6) средств.</w:t>
      </w:r>
    </w:p>
    <w:p>
      <w:pPr>
        <w:spacing w:after="120"/>
        <w:jc w:val="both"/>
      </w:pPr>
      <w:r>
        <w:rPr>
          <w:rFonts w:ascii="Arial" w:cs="Arial" w:eastAsia="Arial" w:hAnsi="Arial"/>
          <w:sz w:val="24"/>
          <w:szCs w:val="24"/>
        </w:rPr>
        <w:t xml:space="preserve">734. В строке «Всего» указывается итоговая сумма.</w:t>
      </w:r>
    </w:p>
    <w:p>
      <w:pPr>
        <w:spacing w:after="120"/>
        <w:jc w:val="both"/>
      </w:pPr>
      <w:r>
        <w:rPr>
          <w:rFonts w:ascii="Arial" w:cs="Arial" w:eastAsia="Arial" w:hAnsi="Arial"/>
          <w:sz w:val="24"/>
          <w:szCs w:val="24"/>
        </w:rPr>
        <w:t xml:space="preserve">735. Данные, отраженные по строке «Всего» в графах 3, 5 Справки по закрытию счетов по завершении отчетного периода должны соответствовать показателям, отраженным соответственно по строке 030 в графах 4, 5 Приложения 13 «Чистые активы».</w:t>
      </w:r>
    </w:p>
    <w:p>
      <w:pPr>
        <w:spacing w:after="120"/>
        <w:jc w:val="both"/>
      </w:pPr>
      <w:r>
        <w:rPr>
          <w:rFonts w:ascii="Arial" w:cs="Arial" w:eastAsia="Arial" w:hAnsi="Arial"/>
          <w:sz w:val="24"/>
          <w:szCs w:val="24"/>
        </w:rPr>
        <w:t xml:space="preserve">736. Данные, отраженные по строке «Всего» в графах 4, 6 Справки по закрытию счетов по завершении отчетного периода должны соответствовать показателям, отраженным соответственно по строке 020 в графах 4, 5 Приложения 13 «Чистые активы».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411. Приложение 8.1. «Справка о полученных и переданных активах и обязательствах другой единице сектора государственного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737. Приложение 8.1. отражает данные о полученных и переданных активах и обязательствах другой единице сектора государственного управления, в разрезе бюджетных и специальных средств.</w:t>
      </w:r>
    </w:p>
    <w:p>
      <w:pPr>
        <w:spacing w:after="120"/>
        <w:jc w:val="both"/>
      </w:pPr>
      <w:r>
        <w:rPr>
          <w:rFonts w:ascii="Arial" w:cs="Arial" w:eastAsia="Arial" w:hAnsi="Arial"/>
          <w:sz w:val="24"/>
          <w:szCs w:val="24"/>
        </w:rPr>
        <w:t xml:space="preserve">738. В графах 1,2 указываются наименование и ведомственная классификация бюджетного учреждения, который составляет данную справку, получает или передает основные фонды, запасы другому бюджетному учреждению.</w:t>
      </w:r>
    </w:p>
    <w:p>
      <w:pPr>
        <w:spacing w:after="120"/>
        <w:jc w:val="both"/>
      </w:pPr>
      <w:r>
        <w:rPr>
          <w:rFonts w:ascii="Arial" w:cs="Arial" w:eastAsia="Arial" w:hAnsi="Arial"/>
          <w:sz w:val="24"/>
          <w:szCs w:val="24"/>
        </w:rPr>
        <w:t xml:space="preserve">739. В графах 2,3 указываются наименование и ведомственная классификация бюджетного учреждения, от которого получает или которому передает основные фонды, запасы.</w:t>
      </w:r>
    </w:p>
    <w:p>
      <w:pPr>
        <w:spacing w:after="120"/>
        <w:jc w:val="both"/>
      </w:pPr>
      <w:r>
        <w:rPr>
          <w:rFonts w:ascii="Arial" w:cs="Arial" w:eastAsia="Arial" w:hAnsi="Arial"/>
          <w:sz w:val="24"/>
          <w:szCs w:val="24"/>
        </w:rPr>
        <w:t xml:space="preserve">740. В графах 5, 6 указываются код и наименование элемента, по которому бюджетное учреждение получает или передает основные фонды, запасы.</w:t>
      </w:r>
    </w:p>
    <w:p>
      <w:pPr>
        <w:spacing w:after="120"/>
        <w:jc w:val="both"/>
      </w:pPr>
      <w:r>
        <w:rPr>
          <w:rFonts w:ascii="Arial" w:cs="Arial" w:eastAsia="Arial" w:hAnsi="Arial"/>
          <w:sz w:val="24"/>
          <w:szCs w:val="24"/>
        </w:rPr>
        <w:t xml:space="preserve">741. В графах 7, 9 указываются суммы полученных основных фондов, запасов в разрезе бюджетных (графа 7) и специальных (графа 9) средств.</w:t>
      </w:r>
    </w:p>
    <w:p>
      <w:pPr>
        <w:spacing w:after="120"/>
        <w:jc w:val="both"/>
      </w:pPr>
      <w:r>
        <w:rPr>
          <w:rFonts w:ascii="Arial" w:cs="Arial" w:eastAsia="Arial" w:hAnsi="Arial"/>
          <w:sz w:val="24"/>
          <w:szCs w:val="24"/>
        </w:rPr>
        <w:t xml:space="preserve">742. В графах 8, 10 указываются суммы переданных основных фондов, запасов в разрезе бюджетных (графа 8) и специальных (графа 10) средств.</w:t>
      </w:r>
    </w:p>
    <w:p>
      <w:pPr>
        <w:spacing w:after="120"/>
        <w:jc w:val="both"/>
      </w:pPr>
      <w:r>
        <w:rPr>
          <w:rFonts w:ascii="Arial" w:cs="Arial" w:eastAsia="Arial" w:hAnsi="Arial"/>
          <w:sz w:val="24"/>
          <w:szCs w:val="24"/>
        </w:rPr>
        <w:t xml:space="preserve">743. Переданные и полученные основные фонды показываются по первоначальной стоимости, также отдельной строкой показывается накопленная амортизация по соответствующему коду.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412. Приложение 8.2. «Справка о полученных и переданных активах и обязательствах внебюджетной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744. Приложение 8.2. отражает данные о полученных и переданных активах и обязательствах внебюджетной организации, в разрезе бюджетных и специальных средств.</w:t>
      </w:r>
    </w:p>
    <w:p>
      <w:pPr>
        <w:spacing w:after="120"/>
        <w:jc w:val="both"/>
      </w:pPr>
      <w:r>
        <w:rPr>
          <w:rFonts w:ascii="Arial" w:cs="Arial" w:eastAsia="Arial" w:hAnsi="Arial"/>
          <w:sz w:val="24"/>
          <w:szCs w:val="24"/>
        </w:rPr>
        <w:t xml:space="preserve">745. В графах 1,2 указываются наименование и ведомственная классификация бюджетного учреждения, которое получает или передает основные фонды, запасы внебюджетной организации.</w:t>
      </w:r>
    </w:p>
    <w:p>
      <w:pPr>
        <w:spacing w:after="120"/>
        <w:jc w:val="both"/>
      </w:pPr>
      <w:r>
        <w:rPr>
          <w:rFonts w:ascii="Arial" w:cs="Arial" w:eastAsia="Arial" w:hAnsi="Arial"/>
          <w:sz w:val="24"/>
          <w:szCs w:val="24"/>
        </w:rPr>
        <w:t xml:space="preserve">746. В графе 2 указываются наименование внебюджетной организации, от которого получает или которому передает основные фонды, запасы.</w:t>
      </w:r>
    </w:p>
    <w:p>
      <w:pPr>
        <w:spacing w:after="120"/>
        <w:jc w:val="both"/>
      </w:pPr>
      <w:r>
        <w:rPr>
          <w:rFonts w:ascii="Arial" w:cs="Arial" w:eastAsia="Arial" w:hAnsi="Arial"/>
          <w:sz w:val="24"/>
          <w:szCs w:val="24"/>
        </w:rPr>
        <w:t xml:space="preserve">747. В графах 4, 5 указываются код и наименование элемента, по которому бюджетное учреждение получает или передает основные фонды, запасы.</w:t>
      </w:r>
    </w:p>
    <w:p>
      <w:pPr>
        <w:spacing w:after="120"/>
        <w:jc w:val="both"/>
      </w:pPr>
      <w:r>
        <w:rPr>
          <w:rFonts w:ascii="Arial" w:cs="Arial" w:eastAsia="Arial" w:hAnsi="Arial"/>
          <w:sz w:val="24"/>
          <w:szCs w:val="24"/>
        </w:rPr>
        <w:t xml:space="preserve">748. В графах 6,8 указываются суммы полученных основных фондов, запасов в разрезе бюджетных (графа 6) и специальных (графа 8) средств.</w:t>
      </w:r>
    </w:p>
    <w:p>
      <w:pPr>
        <w:spacing w:after="120"/>
        <w:jc w:val="both"/>
      </w:pPr>
      <w:r>
        <w:rPr>
          <w:rFonts w:ascii="Arial" w:cs="Arial" w:eastAsia="Arial" w:hAnsi="Arial"/>
          <w:sz w:val="24"/>
          <w:szCs w:val="24"/>
        </w:rPr>
        <w:t xml:space="preserve">749. В графах 7, 9 указываются суммы переданных основных фондов, запасов в разрезе бюджетных (графа 7) и специальных (графа 9) средств.</w:t>
      </w:r>
    </w:p>
    <w:p>
      <w:pPr>
        <w:spacing w:after="120"/>
        <w:jc w:val="both"/>
      </w:pPr>
      <w:r>
        <w:rPr>
          <w:rFonts w:ascii="Arial" w:cs="Arial" w:eastAsia="Arial" w:hAnsi="Arial"/>
          <w:sz w:val="24"/>
          <w:szCs w:val="24"/>
        </w:rPr>
        <w:t xml:space="preserve">750. Переданные и полученные основные фонды показываются по первоначальной стоимости, также отдельной строкой показывается накопленная амортизация по соответствующему коду.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413. Приложение 9 «Сведения об открытых кредитах из республиканского бюджета по ведомственной классификации»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751. Приложение 9 «Сведения об открытых кредитах из республиканского бюджета по ведомственной классификации» отражает данные по открытым кредитам из республиканского бюджета.</w:t>
      </w:r>
    </w:p>
    <w:p>
      <w:pPr>
        <w:spacing w:after="120"/>
        <w:jc w:val="both"/>
      </w:pPr>
      <w:r>
        <w:rPr>
          <w:rFonts w:ascii="Arial" w:cs="Arial" w:eastAsia="Arial" w:hAnsi="Arial"/>
          <w:sz w:val="24"/>
          <w:szCs w:val="24"/>
        </w:rPr>
        <w:t xml:space="preserve">752. В графах 1,2 указываются код ведомственной классификации и наименование бюджетного учреждения в соответствии с бюджетной росписью на соответствующий отчетный год, которому финансируются средства из республиканского бюджета;</w:t>
      </w:r>
    </w:p>
    <w:p>
      <w:pPr>
        <w:spacing w:after="120"/>
        <w:jc w:val="both"/>
      </w:pPr>
      <w:r>
        <w:rPr>
          <w:rFonts w:ascii="Arial" w:cs="Arial" w:eastAsia="Arial" w:hAnsi="Arial"/>
          <w:sz w:val="24"/>
          <w:szCs w:val="24"/>
        </w:rPr>
        <w:t xml:space="preserve">753. В графе 3 указывается сумма финансирования нарастающим итогом с начала финансового года, подведением итогов (строка «Всего»).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414. Приложение 10 «Справка о прямых расходных операциях, произведенных Центральным казначейством»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754. Приложение 10 «Справка о прямых расходных операциях» отражает данные по прямым операциям, произведенным Центральным казначейством.</w:t>
      </w:r>
    </w:p>
    <w:p>
      <w:pPr>
        <w:spacing w:after="120"/>
        <w:jc w:val="both"/>
      </w:pPr>
      <w:r>
        <w:rPr>
          <w:rFonts w:ascii="Arial" w:cs="Arial" w:eastAsia="Arial" w:hAnsi="Arial"/>
          <w:sz w:val="24"/>
          <w:szCs w:val="24"/>
        </w:rPr>
        <w:t xml:space="preserve">755. В графах 1,2 указываются код и наименование соответствующих элементов, по которым произведенные прямые операции.</w:t>
      </w:r>
    </w:p>
    <w:p>
      <w:pPr>
        <w:spacing w:after="120"/>
        <w:jc w:val="both"/>
      </w:pPr>
      <w:r>
        <w:rPr>
          <w:rFonts w:ascii="Arial" w:cs="Arial" w:eastAsia="Arial" w:hAnsi="Arial"/>
          <w:sz w:val="24"/>
          <w:szCs w:val="24"/>
        </w:rPr>
        <w:t xml:space="preserve">756. В графе 3 указывается сумма финансирования нарастающим итогом с начала финансового года.</w:t>
      </w:r>
    </w:p>
    <w:p>
      <w:pPr>
        <w:spacing w:after="120"/>
        <w:jc w:val="both"/>
      </w:pPr>
      <w:r>
        <w:rPr>
          <w:rFonts w:ascii="Arial" w:cs="Arial" w:eastAsia="Arial" w:hAnsi="Arial"/>
          <w:sz w:val="24"/>
          <w:szCs w:val="24"/>
        </w:rPr>
        <w:t xml:space="preserve">757. В графе 4 указывается сумма кассового расхода нарастающим итогом с начала финансового года.</w:t>
      </w:r>
    </w:p>
    <w:p>
      <w:pPr>
        <w:spacing w:after="120"/>
        <w:jc w:val="both"/>
      </w:pPr>
      <w:r>
        <w:rPr>
          <w:rFonts w:ascii="Arial" w:cs="Arial" w:eastAsia="Arial" w:hAnsi="Arial"/>
          <w:sz w:val="24"/>
          <w:szCs w:val="24"/>
        </w:rPr>
        <w:t xml:space="preserve">758. В графе 5 указывается остаток средств.</w:t>
      </w:r>
    </w:p>
    <w:p>
      <w:pPr>
        <w:spacing w:after="120"/>
        <w:jc w:val="both"/>
      </w:pPr>
      <w:r>
        <w:rPr>
          <w:rFonts w:ascii="Arial" w:cs="Arial" w:eastAsia="Arial" w:hAnsi="Arial"/>
          <w:sz w:val="24"/>
          <w:szCs w:val="24"/>
        </w:rPr>
        <w:t xml:space="preserve">759. Показатели в графах 3, 4, 5 указываются подведением итогов (строка «Всего»).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5. Порядок составления ликвидационного и разделительного баланса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760. Ликвидационным балансом является баланс учреждения, подготовленный в момент окончания срока, отпущенного для предъявления требований к учреждению со стороны кредиторов, и составляется перед тем, как удовлетворять такие требования кредиторов. Ликвидационный баланс содержит сведения о составе имущества ликвидируемого учреждения и перечне предъявленных кредиторами требований. Цель составления ликвидационного баланса - уточнение реального финансового положения ликвидируемого учреждения.</w:t>
      </w:r>
    </w:p>
    <w:p>
      <w:pPr>
        <w:spacing w:after="120"/>
        <w:jc w:val="both"/>
      </w:pPr>
      <w:r>
        <w:rPr>
          <w:rFonts w:ascii="Arial" w:cs="Arial" w:eastAsia="Arial" w:hAnsi="Arial"/>
          <w:sz w:val="24"/>
          <w:szCs w:val="24"/>
        </w:rPr>
        <w:t xml:space="preserve">761. По требованию органа, принявшего решение о ликвидации учреждения, ликвидационный баланс проходит процедуру утверждения. Данная процедура утверждения включает в себя согласование ликвидационного баланса со всеми членами ликвидационной комиссии.</w:t>
      </w:r>
    </w:p>
    <w:p>
      <w:pPr>
        <w:spacing w:after="120"/>
        <w:jc w:val="both"/>
      </w:pPr>
      <w:r>
        <w:rPr>
          <w:rFonts w:ascii="Arial" w:cs="Arial" w:eastAsia="Arial" w:hAnsi="Arial"/>
          <w:sz w:val="24"/>
          <w:szCs w:val="24"/>
        </w:rPr>
        <w:t xml:space="preserve">762. При подготовке ликвидационного баланса ликвидируемое учреждение готовит сам баланс, приложения к нему, пояснительную записку и приложения к пояснительной записке по формам, приведенным в Разделе III «Формы бухгалтерской отчетности и руководство по их составлению» настоящего Положения.</w:t>
      </w:r>
    </w:p>
    <w:p>
      <w:pPr>
        <w:spacing w:after="120"/>
        <w:jc w:val="both"/>
      </w:pPr>
      <w:r>
        <w:rPr>
          <w:rFonts w:ascii="Arial" w:cs="Arial" w:eastAsia="Arial" w:hAnsi="Arial"/>
          <w:sz w:val="24"/>
          <w:szCs w:val="24"/>
        </w:rPr>
        <w:t xml:space="preserve">763. По требованию ликвидационной комиссии, учреждение готовит и другую дополнительную аналитическую информацию по счетам бухгалтерского учета.</w:t>
      </w:r>
    </w:p>
    <w:p>
      <w:pPr>
        <w:spacing w:after="120"/>
        <w:jc w:val="both"/>
      </w:pPr>
      <w:r>
        <w:rPr>
          <w:rFonts w:ascii="Arial" w:cs="Arial" w:eastAsia="Arial" w:hAnsi="Arial"/>
          <w:sz w:val="24"/>
          <w:szCs w:val="24"/>
        </w:rPr>
        <w:t xml:space="preserve">764. Разделительным балансом является документ, по которому при разделении учреждения его права и обязанности переходят ко вновь возникшим лицам. Разделительный баланс содержит положения о правопреемстве реорганизованного юридического лица в отношении всех его активов и обязательств.</w:t>
      </w:r>
    </w:p>
    <w:p>
      <w:pPr>
        <w:spacing w:after="120"/>
        <w:jc w:val="both"/>
      </w:pPr>
      <w:r>
        <w:rPr>
          <w:rFonts w:ascii="Arial" w:cs="Arial" w:eastAsia="Arial" w:hAnsi="Arial"/>
          <w:sz w:val="24"/>
          <w:szCs w:val="24"/>
        </w:rPr>
        <w:t xml:space="preserve">765. По каждой статье разделительного баланса, по которым имеется аналитическая информация (запасы, основные фонды, дебиторская и кредиторская задолженность и т.д.) в отношении каждого вновь образовавшегося учреждения, готовятся расшифровки (в натуральном и денежном выражении) в разрезе отдельных позиций (наименований, контрагентов и т.д.). Итоговые суммы по таким расшифровкам должны совпадать с суммой, указанной по соответствующей статье баланса.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6. Бухгалтерские записи при подготовке разделительного баланса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766. При подготовке разделительного баланса в регистрах учета реорганизуемого бюджетного учреждения производятся следующие бухгалтерские записи:</w:t>
      </w:r>
    </w:p>
    <w:p>
      <w:pPr>
        <w:spacing w:after="120"/>
        <w:jc w:val="both"/>
      </w:pPr>
      <w:r>
        <w:rPr>
          <w:rFonts w:ascii="Arial" w:cs="Arial" w:eastAsia="Arial" w:hAnsi="Arial"/>
          <w:sz w:val="24"/>
          <w:szCs w:val="24"/>
        </w:rPr>
        <w:t xml:space="preserve">767. В отношении счетов активов (кроме основных средств), передаваемых другому учреждению, в рамках того же министерства или ведомства:</w:t>
      </w:r>
    </w:p>
    <w:p>
      <w:pPr>
        <w:spacing w:after="120"/>
        <w:jc w:val="both"/>
      </w:pPr>
      <w:r>
        <w:rPr>
          <w:rFonts w:ascii="Arial" w:cs="Arial" w:eastAsia="Arial" w:hAnsi="Arial"/>
          <w:sz w:val="24"/>
          <w:szCs w:val="24"/>
        </w:rPr>
        <w:t xml:space="preserve">Дебет 32171 130 «Внутриведомственные расчеты»;</w:t>
      </w:r>
    </w:p>
    <w:p>
      <w:pPr>
        <w:spacing w:after="120"/>
        <w:jc w:val="both"/>
      </w:pPr>
      <w:r>
        <w:rPr>
          <w:rFonts w:ascii="Arial" w:cs="Arial" w:eastAsia="Arial" w:hAnsi="Arial"/>
          <w:sz w:val="24"/>
          <w:szCs w:val="24"/>
        </w:rPr>
        <w:t xml:space="preserve">Кредит 32000 000 «Соответствующий счет активов».</w:t>
      </w:r>
    </w:p>
    <w:p>
      <w:pPr>
        <w:spacing w:after="120"/>
        <w:jc w:val="both"/>
      </w:pPr>
      <w:r>
        <w:rPr>
          <w:rFonts w:ascii="Arial" w:cs="Arial" w:eastAsia="Arial" w:hAnsi="Arial"/>
          <w:sz w:val="24"/>
          <w:szCs w:val="24"/>
        </w:rPr>
        <w:t xml:space="preserve">768. В отношении счетов активов (кроме основных средств), передаваемых учреждению другого министерства или ведомства:</w:t>
      </w:r>
    </w:p>
    <w:p>
      <w:pPr>
        <w:spacing w:after="120"/>
        <w:jc w:val="both"/>
      </w:pPr>
      <w:r>
        <w:rPr>
          <w:rFonts w:ascii="Arial" w:cs="Arial" w:eastAsia="Arial" w:hAnsi="Arial"/>
          <w:sz w:val="24"/>
          <w:szCs w:val="24"/>
        </w:rPr>
        <w:t xml:space="preserve">Дебет 41111 100 «Финансовый результат»;</w:t>
      </w:r>
    </w:p>
    <w:p>
      <w:pPr>
        <w:spacing w:after="120"/>
        <w:jc w:val="both"/>
      </w:pPr>
      <w:r>
        <w:rPr>
          <w:rFonts w:ascii="Arial" w:cs="Arial" w:eastAsia="Arial" w:hAnsi="Arial"/>
          <w:sz w:val="24"/>
          <w:szCs w:val="24"/>
        </w:rPr>
        <w:t xml:space="preserve">Кредит 32000 000 «Соответствующий счет активов».</w:t>
      </w:r>
    </w:p>
    <w:p>
      <w:pPr>
        <w:spacing w:after="120"/>
        <w:jc w:val="both"/>
      </w:pPr>
      <w:r>
        <w:rPr>
          <w:rFonts w:ascii="Arial" w:cs="Arial" w:eastAsia="Arial" w:hAnsi="Arial"/>
          <w:sz w:val="24"/>
          <w:szCs w:val="24"/>
        </w:rPr>
        <w:t xml:space="preserve">769. В отношении счетов основных средств, передаваемых другому учреждению, в рамках того же министерства или ведомства:</w:t>
      </w:r>
    </w:p>
    <w:p>
      <w:pPr>
        <w:spacing w:after="120"/>
        <w:jc w:val="both"/>
      </w:pPr>
      <w:r>
        <w:rPr>
          <w:rFonts w:ascii="Arial" w:cs="Arial" w:eastAsia="Arial" w:hAnsi="Arial"/>
          <w:sz w:val="24"/>
          <w:szCs w:val="24"/>
        </w:rPr>
        <w:t xml:space="preserve">Дебет 32171 130 «Внутриведомственные расчеты»;</w:t>
      </w:r>
    </w:p>
    <w:p>
      <w:pPr>
        <w:spacing w:after="120"/>
        <w:jc w:val="both"/>
      </w:pPr>
      <w:r>
        <w:rPr>
          <w:rFonts w:ascii="Arial" w:cs="Arial" w:eastAsia="Arial" w:hAnsi="Arial"/>
          <w:sz w:val="24"/>
          <w:szCs w:val="24"/>
        </w:rPr>
        <w:t xml:space="preserve">Дебет 31100 900 «Соответствующий счет амортизации основных фондов».</w:t>
      </w:r>
    </w:p>
    <w:p>
      <w:pPr>
        <w:spacing w:after="120"/>
        <w:jc w:val="both"/>
      </w:pPr>
      <w:r>
        <w:rPr>
          <w:rFonts w:ascii="Arial" w:cs="Arial" w:eastAsia="Arial" w:hAnsi="Arial"/>
          <w:sz w:val="24"/>
          <w:szCs w:val="24"/>
        </w:rPr>
        <w:t xml:space="preserve">Кредит 31100 000 «Соответствующий счет основных фондов».</w:t>
      </w:r>
    </w:p>
    <w:p>
      <w:pPr>
        <w:spacing w:after="120"/>
        <w:jc w:val="both"/>
      </w:pPr>
      <w:r>
        <w:rPr>
          <w:rFonts w:ascii="Arial" w:cs="Arial" w:eastAsia="Arial" w:hAnsi="Arial"/>
          <w:sz w:val="24"/>
          <w:szCs w:val="24"/>
        </w:rPr>
        <w:t xml:space="preserve">770. В отношении счетов основных средств, передаваемых учреждению другого министерства или ведомства:</w:t>
      </w:r>
    </w:p>
    <w:p>
      <w:pPr>
        <w:spacing w:after="120"/>
        <w:jc w:val="both"/>
      </w:pPr>
      <w:r>
        <w:rPr>
          <w:rFonts w:ascii="Arial" w:cs="Arial" w:eastAsia="Arial" w:hAnsi="Arial"/>
          <w:sz w:val="24"/>
          <w:szCs w:val="24"/>
        </w:rPr>
        <w:t xml:space="preserve">Дебет 41111 100 «Финансовый результат»;</w:t>
      </w:r>
    </w:p>
    <w:p>
      <w:pPr>
        <w:spacing w:after="120"/>
        <w:jc w:val="both"/>
      </w:pPr>
      <w:r>
        <w:rPr>
          <w:rFonts w:ascii="Arial" w:cs="Arial" w:eastAsia="Arial" w:hAnsi="Arial"/>
          <w:sz w:val="24"/>
          <w:szCs w:val="24"/>
        </w:rPr>
        <w:t xml:space="preserve">Дебет 31100 900 «Соответствующий счет амортизации основных фондов»;</w:t>
      </w:r>
    </w:p>
    <w:p>
      <w:pPr>
        <w:spacing w:after="120"/>
        <w:jc w:val="both"/>
      </w:pPr>
      <w:r>
        <w:rPr>
          <w:rFonts w:ascii="Arial" w:cs="Arial" w:eastAsia="Arial" w:hAnsi="Arial"/>
          <w:sz w:val="24"/>
          <w:szCs w:val="24"/>
        </w:rPr>
        <w:t xml:space="preserve">Кредит 31100 000 «Соответствующий счет основных фондов».</w:t>
      </w:r>
    </w:p>
    <w:p>
      <w:pPr>
        <w:spacing w:after="120"/>
        <w:jc w:val="both"/>
      </w:pPr>
      <w:r>
        <w:rPr>
          <w:rFonts w:ascii="Arial" w:cs="Arial" w:eastAsia="Arial" w:hAnsi="Arial"/>
          <w:sz w:val="24"/>
          <w:szCs w:val="24"/>
        </w:rPr>
        <w:t xml:space="preserve">771. В отношении счетов обязательств, передаваемых другому учреждению, в рамках того же министерства или ведомства:</w:t>
      </w:r>
    </w:p>
    <w:p>
      <w:pPr>
        <w:spacing w:after="120"/>
        <w:jc w:val="both"/>
      </w:pPr>
      <w:r>
        <w:rPr>
          <w:rFonts w:ascii="Arial" w:cs="Arial" w:eastAsia="Arial" w:hAnsi="Arial"/>
          <w:sz w:val="24"/>
          <w:szCs w:val="24"/>
        </w:rPr>
        <w:t xml:space="preserve">Дебет 33000 000 «Соответствующий счет обязательств»;</w:t>
      </w:r>
    </w:p>
    <w:p>
      <w:pPr>
        <w:spacing w:after="120"/>
        <w:jc w:val="both"/>
      </w:pPr>
      <w:r>
        <w:rPr>
          <w:rFonts w:ascii="Arial" w:cs="Arial" w:eastAsia="Arial" w:hAnsi="Arial"/>
          <w:sz w:val="24"/>
          <w:szCs w:val="24"/>
        </w:rPr>
        <w:t xml:space="preserve">Кредит 33171 130 «Внутриведомственные расчеты».</w:t>
      </w:r>
    </w:p>
    <w:p>
      <w:pPr>
        <w:spacing w:after="120"/>
        <w:jc w:val="both"/>
      </w:pPr>
      <w:r>
        <w:rPr>
          <w:rFonts w:ascii="Arial" w:cs="Arial" w:eastAsia="Arial" w:hAnsi="Arial"/>
          <w:sz w:val="24"/>
          <w:szCs w:val="24"/>
        </w:rPr>
        <w:t xml:space="preserve">772. В отношении счетов обязательств, передаваемых учреждению другого министерства или ведомства:</w:t>
      </w:r>
    </w:p>
    <w:p>
      <w:pPr>
        <w:spacing w:after="120"/>
        <w:jc w:val="both"/>
      </w:pPr>
      <w:r>
        <w:rPr>
          <w:rFonts w:ascii="Arial" w:cs="Arial" w:eastAsia="Arial" w:hAnsi="Arial"/>
          <w:sz w:val="24"/>
          <w:szCs w:val="24"/>
        </w:rPr>
        <w:t xml:space="preserve">Дебет 33000 000 «Соответствующий счет обязательств»;</w:t>
      </w:r>
    </w:p>
    <w:p>
      <w:pPr>
        <w:spacing w:after="120"/>
        <w:jc w:val="both"/>
      </w:pPr>
      <w:r>
        <w:rPr>
          <w:rFonts w:ascii="Arial" w:cs="Arial" w:eastAsia="Arial" w:hAnsi="Arial"/>
          <w:sz w:val="24"/>
          <w:szCs w:val="24"/>
        </w:rPr>
        <w:t xml:space="preserve">Кредит 41111 100 «Финансовый результат».</w:t>
      </w:r>
    </w:p>
    <w:p>
      <w:pPr>
        <w:spacing w:after="120"/>
        <w:jc w:val="both"/>
      </w:pPr>
      <w:r>
        <w:rPr>
          <w:rFonts w:ascii="Arial" w:cs="Arial" w:eastAsia="Arial" w:hAnsi="Arial"/>
          <w:sz w:val="24"/>
          <w:szCs w:val="24"/>
        </w:rPr>
        <w:t xml:space="preserve">773. В отношении счетов чистых активов, передаваемых другому учреждению, в рамках того же министерства или ведомства:</w:t>
      </w:r>
    </w:p>
    <w:p>
      <w:pPr>
        <w:spacing w:after="120"/>
        <w:jc w:val="both"/>
      </w:pPr>
      <w:r>
        <w:rPr>
          <w:rFonts w:ascii="Arial" w:cs="Arial" w:eastAsia="Arial" w:hAnsi="Arial"/>
          <w:sz w:val="24"/>
          <w:szCs w:val="24"/>
        </w:rPr>
        <w:t xml:space="preserve">Дебет 41110 000 «Чистые активы» (по элементам с кредитовым остатком на дату разделения);</w:t>
      </w:r>
    </w:p>
    <w:p>
      <w:pPr>
        <w:spacing w:after="120"/>
        <w:jc w:val="both"/>
      </w:pPr>
      <w:r>
        <w:rPr>
          <w:rFonts w:ascii="Arial" w:cs="Arial" w:eastAsia="Arial" w:hAnsi="Arial"/>
          <w:sz w:val="24"/>
          <w:szCs w:val="24"/>
        </w:rPr>
        <w:t xml:space="preserve">Кредит 33171 130 «Внутриведомственные расчеты».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Дебет 32171 130 «Внутриведомственные расчеты»;</w:t>
      </w:r>
    </w:p>
    <w:p>
      <w:pPr>
        <w:spacing w:after="120"/>
        <w:jc w:val="both"/>
      </w:pPr>
      <w:r>
        <w:rPr>
          <w:rFonts w:ascii="Arial" w:cs="Arial" w:eastAsia="Arial" w:hAnsi="Arial"/>
          <w:sz w:val="24"/>
          <w:szCs w:val="24"/>
        </w:rPr>
        <w:t xml:space="preserve">Кредит 41110 000 «Чистые активы» (по элементам с дебетовым остатком на дату разделения).</w:t>
      </w:r>
    </w:p>
    <w:p>
      <w:pPr>
        <w:spacing w:after="120"/>
        <w:jc w:val="both"/>
      </w:pPr>
      <w:r>
        <w:rPr>
          <w:rFonts w:ascii="Arial" w:cs="Arial" w:eastAsia="Arial" w:hAnsi="Arial"/>
          <w:sz w:val="24"/>
          <w:szCs w:val="24"/>
        </w:rPr>
        <w:t xml:space="preserve">774. В отношении счетов чистых активов, передаваемых учреждению другого министерства или ведомства:</w:t>
      </w:r>
    </w:p>
    <w:p>
      <w:pPr>
        <w:spacing w:after="120"/>
        <w:jc w:val="both"/>
      </w:pPr>
      <w:r>
        <w:rPr>
          <w:rFonts w:ascii="Arial" w:cs="Arial" w:eastAsia="Arial" w:hAnsi="Arial"/>
          <w:sz w:val="24"/>
          <w:szCs w:val="24"/>
        </w:rPr>
        <w:t xml:space="preserve">Дебет 41110 000 «Чистые активы» (по элементам с кредитовым остатком на дату разделения);</w:t>
      </w:r>
    </w:p>
    <w:p>
      <w:pPr>
        <w:spacing w:after="120"/>
        <w:jc w:val="both"/>
      </w:pPr>
      <w:r>
        <w:rPr>
          <w:rFonts w:ascii="Arial" w:cs="Arial" w:eastAsia="Arial" w:hAnsi="Arial"/>
          <w:sz w:val="24"/>
          <w:szCs w:val="24"/>
        </w:rPr>
        <w:t xml:space="preserve">Кредит 41111 100 «Финансовый результат».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Дебет 41111 100 «Финансовый результат»;</w:t>
      </w:r>
    </w:p>
    <w:p>
      <w:pPr>
        <w:spacing w:after="120"/>
        <w:jc w:val="both"/>
      </w:pPr>
      <w:r>
        <w:rPr>
          <w:rFonts w:ascii="Arial" w:cs="Arial" w:eastAsia="Arial" w:hAnsi="Arial"/>
          <w:sz w:val="24"/>
          <w:szCs w:val="24"/>
        </w:rPr>
        <w:t xml:space="preserve">Кредит 41110 000 «Чистые активы» (по элементам с дебетовым остатком на дату разделения).</w:t>
      </w:r>
    </w:p>
    <w:p>
      <w:pPr>
        <w:spacing w:after="120"/>
        <w:jc w:val="both"/>
      </w:pPr>
      <w:r>
        <w:rPr>
          <w:rFonts w:ascii="Arial" w:cs="Arial" w:eastAsia="Arial" w:hAnsi="Arial"/>
          <w:sz w:val="24"/>
          <w:szCs w:val="24"/>
        </w:rPr>
        <w:t xml:space="preserve">775. Формат разделительного баланса приводится следующим образом: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1. Разделительный баланс</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Учреждение:</w:t>
            </w:r>
          </w:p>
        </w:tc>
        <w:tc>
          <w:tcPr>
            <w:tcW w:type="dxa" w:w="508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Отчетная дата:</w:t>
            </w:r>
          </w:p>
        </w:tc>
        <w:tc>
          <w:tcPr>
            <w:tcW w:type="dxa" w:w="508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Отчетный период:</w:t>
            </w:r>
          </w:p>
        </w:tc>
        <w:tc>
          <w:tcPr>
            <w:tcW w:type="dxa" w:w="508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Единица измерения:</w:t>
            </w:r>
          </w:p>
        </w:tc>
        <w:tc>
          <w:tcPr>
            <w:tcW w:type="dxa" w:w="508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Классификация ведомственная:</w:t>
            </w:r>
          </w:p>
        </w:tc>
        <w:tc>
          <w:tcPr>
            <w:tcW w:type="dxa" w:w="508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Классификация функциональная:</w:t>
            </w:r>
          </w:p>
        </w:tc>
        <w:tc>
          <w:tcPr>
            <w:tcW w:type="dxa" w:w="508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25"/>
        <w:gridCol w:w="228"/>
        <w:gridCol w:w="385"/>
        <w:gridCol w:w="761"/>
        <w:gridCol w:w="861"/>
        <w:gridCol w:w="385"/>
        <w:gridCol w:w="761"/>
        <w:gridCol w:w="861"/>
        <w:gridCol w:w="385"/>
        <w:gridCol w:w="761"/>
        <w:gridCol w:w="861"/>
        <w:gridCol w:w="385"/>
        <w:gridCol w:w="761"/>
        <w:gridCol w:w="861"/>
      </w:tblGrid>
      <w:tr>
        <w:tc>
          <w:tcPr>
            <w:tcW w:type="dxa" w:w="1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АКТИВЫ</w:t>
            </w:r>
          </w:p>
        </w:tc>
        <w:tc>
          <w:tcPr>
            <w:tcW w:type="dxa" w:w="2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Нефинансовые активы</w:t>
            </w:r>
          </w:p>
        </w:tc>
        <w:tc>
          <w:tcPr>
            <w:tcW w:type="dxa" w:w="2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Основные фонды</w:t>
            </w:r>
          </w:p>
        </w:tc>
        <w:tc>
          <w:tcPr>
            <w:tcW w:type="dxa" w:w="2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Запасы</w:t>
            </w:r>
          </w:p>
        </w:tc>
        <w:tc>
          <w:tcPr>
            <w:tcW w:type="dxa" w:w="2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Ценности</w:t>
            </w:r>
          </w:p>
        </w:tc>
        <w:tc>
          <w:tcPr>
            <w:tcW w:type="dxa" w:w="2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Непроизведенные активы</w:t>
            </w:r>
          </w:p>
        </w:tc>
        <w:tc>
          <w:tcPr>
            <w:tcW w:type="dxa" w:w="2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040</w:t>
            </w:r>
          </w:p>
        </w:tc>
        <w:tc>
          <w:tcPr>
            <w:tcW w:type="dxa" w:w="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нефинансовые активы</w:t>
            </w:r>
          </w:p>
        </w:tc>
        <w:tc>
          <w:tcPr>
            <w:tcW w:type="dxa" w:w="2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r>
      <w:tr>
        <w:tc>
          <w:tcPr>
            <w:tcW w:type="dxa" w:w="1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Финансовые активы</w:t>
            </w:r>
          </w:p>
        </w:tc>
        <w:tc>
          <w:tcPr>
            <w:tcW w:type="dxa" w:w="2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финансовые</w:t>
            </w:r>
          </w:p>
          <w:p>
            <w:pPr>
              <w:jc w:val="left"/>
            </w:pPr>
            <w:r>
              <w:rPr>
                <w:rFonts w:ascii="Arial" w:cs="Arial" w:eastAsia="Arial" w:hAnsi="Arial"/>
                <w:sz w:val="24"/>
                <w:szCs w:val="24"/>
              </w:rPr>
              <w:t xml:space="preserve">активы</w:t>
            </w:r>
          </w:p>
        </w:tc>
        <w:tc>
          <w:tcPr>
            <w:tcW w:type="dxa" w:w="2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Валюта и депозиты</w:t>
            </w:r>
          </w:p>
        </w:tc>
        <w:tc>
          <w:tcPr>
            <w:tcW w:type="dxa" w:w="2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c>
          <w:tcPr>
            <w:tcW w:type="dxa" w:w="2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и займы</w:t>
            </w:r>
          </w:p>
        </w:tc>
        <w:tc>
          <w:tcPr>
            <w:tcW w:type="dxa" w:w="2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c>
          <w:tcPr>
            <w:tcW w:type="dxa" w:w="2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дебиторская задолженность</w:t>
            </w:r>
          </w:p>
        </w:tc>
        <w:tc>
          <w:tcPr>
            <w:tcW w:type="dxa" w:w="2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Резерв на безнадежные долги</w:t>
            </w:r>
          </w:p>
        </w:tc>
        <w:tc>
          <w:tcPr>
            <w:tcW w:type="dxa" w:w="2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финансовые активы</w:t>
            </w:r>
          </w:p>
        </w:tc>
        <w:tc>
          <w:tcPr>
            <w:tcW w:type="dxa" w:w="2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Валюта и депозиты</w:t>
            </w:r>
          </w:p>
        </w:tc>
        <w:tc>
          <w:tcPr>
            <w:tcW w:type="dxa" w:w="2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c>
          <w:tcPr>
            <w:tcW w:type="dxa" w:w="2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и займы</w:t>
            </w:r>
          </w:p>
        </w:tc>
        <w:tc>
          <w:tcPr>
            <w:tcW w:type="dxa" w:w="2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c>
          <w:tcPr>
            <w:tcW w:type="dxa" w:w="2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Прочая внешняя дебиторская задолженность</w:t>
            </w:r>
          </w:p>
        </w:tc>
        <w:tc>
          <w:tcPr>
            <w:tcW w:type="dxa" w:w="2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финансовые активы</w:t>
            </w:r>
          </w:p>
        </w:tc>
        <w:tc>
          <w:tcPr>
            <w:tcW w:type="dxa" w:w="2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r>
      <w:tr>
        <w:tc>
          <w:tcPr>
            <w:tcW w:type="dxa" w:w="1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активы</w:t>
            </w:r>
          </w:p>
        </w:tc>
        <w:tc>
          <w:tcPr>
            <w:tcW w:type="dxa" w:w="2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r>
      <w:tr>
        <w:tc>
          <w:tcPr>
            <w:tcW w:type="dxa" w:w="1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p>
            <w:pPr>
              <w:jc w:val="left"/>
            </w:pPr>
            <w:r>
              <w:rPr>
                <w:rFonts w:ascii="Arial" w:cs="Arial" w:eastAsia="Arial" w:hAnsi="Arial"/>
                <w:sz w:val="24"/>
                <w:szCs w:val="24"/>
              </w:rPr>
              <w:t xml:space="preserve">И ЧИСТЫЕ АКТИВЫ</w:t>
            </w:r>
          </w:p>
        </w:tc>
        <w:tc>
          <w:tcPr>
            <w:tcW w:type="dxa" w:w="2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c>
          <w:tcPr>
            <w:tcW w:type="dxa" w:w="2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обязательства</w:t>
            </w:r>
          </w:p>
        </w:tc>
        <w:tc>
          <w:tcPr>
            <w:tcW w:type="dxa" w:w="2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c>
          <w:tcPr>
            <w:tcW w:type="dxa" w:w="2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заимствования</w:t>
            </w:r>
          </w:p>
        </w:tc>
        <w:tc>
          <w:tcPr>
            <w:tcW w:type="dxa" w:w="2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внутренние обязательства</w:t>
            </w:r>
          </w:p>
        </w:tc>
        <w:tc>
          <w:tcPr>
            <w:tcW w:type="dxa" w:w="2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обязательства</w:t>
            </w:r>
          </w:p>
        </w:tc>
        <w:tc>
          <w:tcPr>
            <w:tcW w:type="dxa" w:w="2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заимствования</w:t>
            </w:r>
          </w:p>
        </w:tc>
        <w:tc>
          <w:tcPr>
            <w:tcW w:type="dxa" w:w="2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внешние обязательства</w:t>
            </w:r>
          </w:p>
        </w:tc>
        <w:tc>
          <w:tcPr>
            <w:tcW w:type="dxa" w:w="2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обязательства</w:t>
            </w:r>
          </w:p>
        </w:tc>
        <w:tc>
          <w:tcPr>
            <w:tcW w:type="dxa" w:w="2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r>
      <w:tr>
        <w:tc>
          <w:tcPr>
            <w:tcW w:type="dxa" w:w="1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АКТИВЫ</w:t>
            </w:r>
          </w:p>
        </w:tc>
        <w:tc>
          <w:tcPr>
            <w:tcW w:type="dxa" w:w="2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Чистая стоимость активов</w:t>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чистые активы</w:t>
            </w:r>
          </w:p>
        </w:tc>
        <w:tc>
          <w:tcPr>
            <w:tcW w:type="dxa" w:w="2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r>
      <w:tr>
        <w:tc>
          <w:tcPr>
            <w:tcW w:type="dxa" w:w="1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обязательства и чистые активы</w:t>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62"/>
        <w:gridCol w:w="962"/>
        <w:gridCol w:w="228"/>
        <w:gridCol w:w="385"/>
        <w:gridCol w:w="761"/>
        <w:gridCol w:w="861"/>
        <w:gridCol w:w="385"/>
        <w:gridCol w:w="761"/>
        <w:gridCol w:w="861"/>
        <w:gridCol w:w="385"/>
        <w:gridCol w:w="761"/>
        <w:gridCol w:w="861"/>
        <w:gridCol w:w="385"/>
        <w:gridCol w:w="761"/>
        <w:gridCol w:w="861"/>
      </w:tblGrid>
      <w:tr>
        <w:tc>
          <w:tcPr>
            <w:tcW w:type="dxa" w:w="1924"/>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Руководитель</w:t>
            </w:r>
          </w:p>
        </w:tc>
        <w:tc>
          <w:tcPr>
            <w:tcW w:type="dxa" w:w="2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924"/>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Главный бухгалтер</w:t>
            </w:r>
          </w:p>
        </w:tc>
        <w:tc>
          <w:tcPr>
            <w:tcW w:type="dxa" w:w="2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Дата</w:t>
            </w:r>
          </w:p>
        </w:tc>
        <w:tc>
          <w:tcPr>
            <w:tcW w:type="dxa" w:w="9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fiui_kep-szlhl8ogsco">
      <w:r>
        <w:rPr>
          <w:rFonts w:ascii="Arial" w:cs="Arial" w:eastAsia="Arial" w:hAnsi="Arial"/>
          <w:color w:val="132D3F"/>
          <w:sz w:val="16"/>
          <w:szCs w:val="16"/>
          <w:u w:val="single"/>
        </w:rPr>
        <w:t xml:space="preserve">dalil.kg/document/92584</w:t>
      </w:r>
    </w:hyperlink>
  </w:p>
  <w:p>
    <w:pPr>
      <w:spacing w:after="0" w:before="40"/>
      <w:jc w:val="center"/>
    </w:pPr>
    <w:hyperlink w:history="1" r:id="rIdrjo2zan0de4t59pcszqb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rcnstjlfrypbsxgwwmnc" Type="http://schemas.openxmlformats.org/officeDocument/2006/relationships/hyperlink" Target="https://dalil.kg/document/100127" TargetMode="External"/><Relationship Id="rIdcxrbcibmpyevdcpn0bfc9" Type="http://schemas.openxmlformats.org/officeDocument/2006/relationships/hyperlink" Target="https://dalil.kg/document/97093" TargetMode="External"/><Relationship Id="rIdubnzeh1nq4b7faqbrsnhc" Type="http://schemas.openxmlformats.org/officeDocument/2006/relationships/hyperlink" Target="https://dalil.kg/document/92584#p1" TargetMode="External"/><Relationship Id="rIdfcbtuz_hvs93cq3ntk4xb" Type="http://schemas.openxmlformats.org/officeDocument/2006/relationships/hyperlink" Target="https://dalil.kg/document/100127" TargetMode="External"/><Relationship Id="rIdhh5docrf1a7natkpowiie" Type="http://schemas.openxmlformats.org/officeDocument/2006/relationships/hyperlink" Target="https://dalil.kg/document/288" TargetMode="External"/><Relationship Id="rId7y8wqqkwbdixxpaedlefc" Type="http://schemas.openxmlformats.org/officeDocument/2006/relationships/hyperlink" Target="https://dalil.kg/document/288" TargetMode="External"/><Relationship Id="rIdovws-urt8nuba5xdycakh" Type="http://schemas.openxmlformats.org/officeDocument/2006/relationships/hyperlink" Target="https://dalil.kg/document/92584#p1" TargetMode="External"/><Relationship Id="rId56heapl9xlg_cpvh0ox2j" Type="http://schemas.openxmlformats.org/officeDocument/2006/relationships/hyperlink" Target="https://dalil.kg/document/97093"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fiui_kep-szlhl8ogsco" Type="http://schemas.openxmlformats.org/officeDocument/2006/relationships/hyperlink" Target="https://dalil.kg/document/92584" TargetMode="External"/><Relationship Id="rIdrjo2zan0de4t59pcszqb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2026-09-23T23:43:17.100Z</dcterms:created>
  <dcterms:modified xsi:type="dcterms:W3CDTF">2026-09-23T23:43:17.101Z</dcterms:modified>
</cp:coreProperties>
</file>

<file path=docProps/custom.xml><?xml version="1.0" encoding="utf-8"?>
<Properties xmlns="http://schemas.openxmlformats.org/officeDocument/2006/custom-properties" xmlns:vt="http://schemas.openxmlformats.org/officeDocument/2006/docPropsVTypes"/>
</file>