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en_ieixqaikc956ya6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2011 года №553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июня 2011 года №287</w:t>
      </w:r>
    </w:p>
    <w:p>
      <w:pPr>
        <w:spacing w:after="120"/>
        <w:jc w:val="both"/>
      </w:pPr>
      <w:r>
        <w:rPr>
          <w:rFonts w:ascii="Arial" w:cs="Arial" w:eastAsia="Arial" w:hAnsi="Arial"/>
          <w:sz w:val="24"/>
          <w:szCs w:val="24"/>
        </w:rPr>
        <w:t xml:space="preserve">О Среднесрочном прогнозе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и формирования среднесрочного прогноза бюджета на 2012-2014 годы для последовательного решения задач социально-экономического развития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i_4wvelobmmc4hchc9ckt">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среднесрочного прогноза бюджета взять за основу одобренные макроэкономические параметры развития Кыргызской Республики на 2012-2014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ориентиры на 2012-2014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экономического регулирования Кыргызской Республики информацию о ходе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w:t>
      </w:r>
    </w:p>
    <w:p>
      <w:pPr>
        <w:spacing w:after="120"/>
        <w:jc w:val="both"/>
      </w:pPr>
      <w:r>
        <w:rPr>
          <w:rFonts w:ascii="Arial" w:cs="Arial" w:eastAsia="Arial" w:hAnsi="Arial"/>
          <w:sz w:val="24"/>
          <w:szCs w:val="24"/>
        </w:rPr>
        <w:t xml:space="preserve">- осуществлять оценку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ежеквартально обобщать и анализировать информацию министерств, государственных комитетов, административных ведомств, иных органов исполнительной власти, местных государственных администраций и мэрий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2011 году вносить соответствующие изменения в ожидаемые параметры социально-экономического развития в 2011 году и Среднесрочный прогноз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 данные корректировок ожидаемых параметров социально-экономического развития Кыргызской Республики в 2011 году и макроэкономического прогноза на 2012-2014 годы в установленном порядке вносить на рассмотрение Правительства Кыргызской Республики для принятия соответствующего решения о внесении изменений и дополнений в утвержденный государственный бюджет Кыргызской Республики на 2011 год и среднесрочный прогноз бюджета на 2012-2014 годы.</w:t>
      </w:r>
    </w:p>
    <w:p>
      <w:pPr>
        <w:spacing w:after="120"/>
        <w:jc w:val="both"/>
      </w:pPr>
      <w:r>
        <w:rPr>
          <w:rFonts w:ascii="Arial" w:cs="Arial" w:eastAsia="Arial" w:hAnsi="Arial"/>
          <w:sz w:val="24"/>
          <w:szCs w:val="24"/>
        </w:rPr>
        <w:t xml:space="preserve">5. Признать утратившим силу </w:t>
      </w:r>
      <w:hyperlink w:history="1" r:id="rIdptcs5nnawcljpa7cdyn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2011-2013 годы» от 26 января 2011 года № 25.</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w:t>
      </w:r>
      <w:hyperlink w:history="1" r:id="rId7gpwtl3d7afhpsdryb0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2011 года № 287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(2008-2010 годы), ожидаемые показатели социально-экономического развития Кыргызской Республики в 2011 году и прогнозируемые макроэкономические параметры на среднесрочную перспективу (2012-2014 годы).</w:t>
      </w:r>
    </w:p>
    <w:p>
      <w:pPr>
        <w:spacing w:after="120"/>
        <w:jc w:val="both"/>
      </w:pPr>
      <w:r>
        <w:rPr>
          <w:rFonts w:ascii="Arial" w:cs="Arial" w:eastAsia="Arial" w:hAnsi="Arial"/>
          <w:sz w:val="24"/>
          <w:szCs w:val="24"/>
        </w:rPr>
        <w:t xml:space="preserve">Макроэкономический прогноз на 2012-2014 годы подготовлен по базовому сценарию, параметры которого должны стать основой для формирования среднесрочного прогноза бюджета (СПБ) на этот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Ретроспективный обзор макроэкономической ситуации (2008-2010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развитие Кыргызской Республики в 2008-2010 годах происходило в условиях глобального финансово-экономического кризиса и возрастающей зависимости экономики страны от внешних и внутренних факторов. Причем, негативное влияние внутриполитических событий на экономику страны в 2010 году оказалось более значимым, чем воздействие мирового кризиса 2008-2009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Динамика показателей социально-экономического развития Кыргызской Республики за 2008-2010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9"/>
        <w:gridCol w:w="853"/>
        <w:gridCol w:w="853"/>
        <w:gridCol w:w="853"/>
      </w:tblGrid>
      <w:tr>
        <w:tc>
          <w:tcPr>
            <w:tcW w:type="dxa" w:w="7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8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8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2009</w:t>
            </w:r>
          </w:p>
        </w:tc>
        <w:tc>
          <w:tcPr>
            <w:tcW w:type="dxa" w:w="8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охота и лесное хозяйство</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123,6</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92,5</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130,8</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r>
      <w:tr>
        <w:tc>
          <w:tcPr>
            <w:tcW w:type="dxa" w:w="7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в % к декабрю предыдущего года</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несмотря на кризисные проявления, экономический рост сложился высоким, на уровне 8,4%, а в 2009 году воздействие мирового кризиса на экономику страны усилилось. Тем не менее, на фоне резкого падения совокупного спроса удалось сохранить положительные темпы экономического роста на уровне 2,9%. В 2010 году из-за напряженной внутриполитической ситуации экономика страны реально сократилась на 1,4%, хотя ожидания после событий апреля и июня 2010 года были более пессимистичными. Благодаря усилиям Правительства Кыргызской Республики, удалось избежать глубокого экономического спада в 2010 году.</w:t>
      </w:r>
    </w:p>
    <w:p>
      <w:pPr>
        <w:spacing w:after="120"/>
        <w:jc w:val="both"/>
      </w:pPr>
      <w:r>
        <w:rPr>
          <w:rFonts w:ascii="Arial" w:cs="Arial" w:eastAsia="Arial" w:hAnsi="Arial"/>
          <w:sz w:val="24"/>
          <w:szCs w:val="24"/>
        </w:rPr>
        <w:t xml:space="preserve">Уровень капитализации (валовые накопления в основной капитал в % к ВВП) экономики, соответственно, сократился за этот период с 28,9% в 2008 году до 25,6% в 2010 году, в основном, из-за снижения частных инвестиций с 25,9% до 20,9%, связанных с оттоком капитала из страны в 2009-2010 годы.</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в этот период существенно возрос с 17,5% до 19,3% относительно сокращения доли частного потребления с 92,5% до 83,8%. Эти данные демонстрируют высокие государственные расходы на содержание системы государственного управления и потребность в ее реформировании.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ВВП по использованию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1968"/>
        <w:gridCol w:w="1474"/>
        <w:gridCol w:w="1474"/>
      </w:tblGrid>
      <w:tr>
        <w:tc>
          <w:tcPr>
            <w:tcW w:type="dxa" w:w="526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2008</w:t>
            </w:r>
          </w:p>
        </w:tc>
        <w:tc>
          <w:tcPr>
            <w:tcW w:type="dxa" w:w="147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2009</w:t>
            </w:r>
          </w:p>
        </w:tc>
        <w:tc>
          <w:tcPr>
            <w:tcW w:type="dxa" w:w="147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2010</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Показатели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факт</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факт</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расчет</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110,1</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78,3</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83,8</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28,9</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25,6</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92,6</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78,7</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86,7</w:t>
            </w:r>
          </w:p>
        </w:tc>
      </w:tr>
      <w:tr>
        <w:tc>
          <w:tcPr>
            <w:tcW w:type="dxa" w:w="52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w:t>
            </w:r>
          </w:p>
        </w:tc>
        <w:tc>
          <w:tcPr>
            <w:tcW w:type="dxa" w:w="19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14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этот период удалось сохранить устойчивость финансового сектора Кыргызской Республики. Банковская система и небанковские финансово-кредитные учреждения в условиях влияния глобального финансово-экономического кризиса продемонстрировали достаточный запас прочности. Национальным банком Кыргызской Республики была снижена учетная ставка до исторически минимального уровня (0,72% в марте 2010 года), был также уменьшен размер обязательных резервов. В 2009 году был создан Специализированный фонд рефинансирования банков Кыргызской Республики, основной задачей которого является предоставление кредитных средств коммерческим банкам и микрофинансовым организациям Кыргызской Республики для поддержания ликвидности и кредитования реального сектора экономики страны.</w:t>
      </w:r>
    </w:p>
    <w:p>
      <w:pPr>
        <w:spacing w:after="120"/>
        <w:jc w:val="both"/>
      </w:pPr>
      <w:r>
        <w:rPr>
          <w:rFonts w:ascii="Arial" w:cs="Arial" w:eastAsia="Arial" w:hAnsi="Arial"/>
          <w:sz w:val="24"/>
          <w:szCs w:val="24"/>
        </w:rPr>
        <w:t xml:space="preserve">В 2008 году мировой экономический кризис негативно отразился на состоянии платежного баланса Кыргызской Республики. Экономический спад в основных странах-торговых партнерах (Россия, Казахстан) привел к увеличению дефицита торгового баланса. В результате, дефицит счета текущих операций увеличился в 3,1 раза, дефицит торгового баланса увеличился на 47,3%, а отрицательное сальдо доходов увеличилось в 3,9 раза. Что касается 2009 года, то в результате улучшения состояния счета операций с капиталом и финансовых операций (кредиты) и улучшения торгового баланса из-за снижения мировых цен на сырьевых товарных рынках положительное сальдо платежного баланса увеличилось в 2,7 раза. Это обусловлено возрастающими потребностями экономики в импорте инвестиционных товаров, сырья и промежуточных товаров.</w:t>
      </w:r>
    </w:p>
    <w:p>
      <w:pPr>
        <w:spacing w:after="120"/>
        <w:jc w:val="both"/>
      </w:pPr>
      <w:r>
        <w:rPr>
          <w:rFonts w:ascii="Arial" w:cs="Arial" w:eastAsia="Arial" w:hAnsi="Arial"/>
          <w:sz w:val="24"/>
          <w:szCs w:val="24"/>
        </w:rPr>
        <w:t xml:space="preserve">В целом, надо отметить устойчивые тенденции роста отрицательного сальдо торгового баланса в последние годы.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сегодня также представлен 7-9 базовыми позициями, из которых 40% - золото.</w:t>
      </w:r>
    </w:p>
    <w:p>
      <w:pPr>
        <w:spacing w:after="120"/>
        <w:jc w:val="both"/>
      </w:pPr>
      <w:r>
        <w:rPr>
          <w:rFonts w:ascii="Arial" w:cs="Arial" w:eastAsia="Arial" w:hAnsi="Arial"/>
          <w:sz w:val="24"/>
          <w:szCs w:val="24"/>
        </w:rPr>
        <w:t xml:space="preserve">Показатель открытости экономики за этот период снизился со 109,5% в 2008 году до 85,4% в 2010 году или более чем на 24% за счет снижения внешнеторгового оборота, из-за закрытия границ, связанного с внутриполитическими событиями 2010 года. В 2010 году меры экономического воздействия соседних стран посредством закрытия границ, последовавшие в результате произошедших в стране событий, а также ухудшение внутриэкономической ситуации привели к снижению положительного сальдо платежного баланса на 74,6%.</w:t>
      </w:r>
    </w:p>
    <w:p>
      <w:pPr>
        <w:spacing w:after="120"/>
        <w:jc w:val="both"/>
      </w:pPr>
      <w:r>
        <w:rPr>
          <w:rFonts w:ascii="Arial" w:cs="Arial" w:eastAsia="Arial" w:hAnsi="Arial"/>
          <w:sz w:val="24"/>
          <w:szCs w:val="24"/>
        </w:rPr>
        <w:t xml:space="preserve">Основным достижением фискальной политики за рассматриваемый период было введение нового Налогового кодекса Кыргызской Республики, согласно которому были созданы достаточно благоприятные условия для ведения бизнеса на территории Кыргызской Республики. Основными достижениями нового кодекса стали снижение ставок основных налогов, снижение общего количества налогов и сборов с 16 до 8, ликвидация каскадных нерыночных налогов, либерализация налогового администрирования по отношению к добросовестному налогоплательщику, введение механизмов партнерства государства и бизнеса по установлению ставок налога.</w:t>
      </w:r>
    </w:p>
    <w:p>
      <w:pPr>
        <w:spacing w:after="120"/>
        <w:jc w:val="both"/>
      </w:pPr>
      <w:r>
        <w:rPr>
          <w:rFonts w:ascii="Arial" w:cs="Arial" w:eastAsia="Arial" w:hAnsi="Arial"/>
          <w:sz w:val="24"/>
          <w:szCs w:val="24"/>
        </w:rPr>
        <w:t xml:space="preserve">Государственные расходы на финансирование социальной сферы и социальной защиты в этот период существенно не снизились. Их удельный вес от общего объема государственных расходов составил 38,4%.</w:t>
      </w:r>
    </w:p>
    <w:p>
      <w:pPr>
        <w:spacing w:after="120"/>
        <w:jc w:val="both"/>
      </w:pPr>
      <w:r>
        <w:rPr>
          <w:rFonts w:ascii="Arial" w:cs="Arial" w:eastAsia="Arial" w:hAnsi="Arial"/>
          <w:sz w:val="24"/>
          <w:szCs w:val="24"/>
        </w:rPr>
        <w:t xml:space="preserve">В 2008-2010 годы средний размер заработной платы (СЗП) составил 6227 сомов, а реальный рост - 107,3% в среднем за год. Средний размер прожиточного минимума (ПМ) составил 3445,6 сом. Коэффициент отношения СЗП к ПМ сложился на уровне 1,6.</w:t>
      </w:r>
    </w:p>
    <w:p>
      <w:pPr>
        <w:spacing w:after="120"/>
        <w:jc w:val="both"/>
      </w:pPr>
      <w:r>
        <w:rPr>
          <w:rFonts w:ascii="Arial" w:cs="Arial" w:eastAsia="Arial" w:hAnsi="Arial"/>
          <w:sz w:val="24"/>
          <w:szCs w:val="24"/>
        </w:rPr>
        <w:t xml:space="preserve">Уровень бедности за этот период оставался на уровне 31,7%. За чертой бедности в 2009 году проживали 1718,2 тыс. человек, среди которых свыше 75% - жители сельской местности1.</w:t>
      </w:r>
    </w:p>
    <w:p>
      <w:pPr>
        <w:spacing w:after="120"/>
        <w:jc w:val="both"/>
      </w:pPr>
      <w:r>
        <w:rPr>
          <w:rFonts w:ascii="Arial" w:cs="Arial" w:eastAsia="Arial" w:hAnsi="Arial"/>
          <w:sz w:val="24"/>
          <w:szCs w:val="24"/>
        </w:rPr>
        <w:t xml:space="preserve">Ситуация на рынке труда из-за усиления влияния внутриполитических событий в стране заметно ухудшилась. Общая безработица за этот период возросла с 8,2% в 2008 году до 10,2% - в 2010 году. Более напряженная обстановка на рынке труда наблюдалась в городах, где уровень общей безработицы составил 10,4%, тогда как в сельской местности - 7,3%.</w:t>
      </w:r>
    </w:p>
    <w:p>
      <w:pPr>
        <w:spacing w:after="120"/>
        <w:jc w:val="both"/>
      </w:pPr>
      <w:r>
        <w:rPr>
          <w:rFonts w:ascii="Arial" w:cs="Arial" w:eastAsia="Arial" w:hAnsi="Arial"/>
          <w:sz w:val="24"/>
          <w:szCs w:val="24"/>
        </w:rPr>
        <w:t xml:space="preserve">На фоне ухудшения тенденций социально-экономического развития усилился миграционный отток населения как внутри страны, так и за ее пределы. Сегодня, по оценкам из различных источников, количество мигрантов, работающих в России и Казахстане, составляет порядка 700-850 тыс. человек. Объем трансфертов от деятельности трудовых мигрантов имел тенденцию сокращения в 2008 году, однако, в 2010 году их объем вновь возрос и составил 1,2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Макроэкономические показатели, ожидаемые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макроэкономической политики в 2011 году будет восстановление макроэкономической стабильности и создание базовых условий для устойчивого экономического развития страны в среднесрочной перспективе (2012-2014 годы). Основными рисками достижения этой цели будут: (а) вероятность нарастания социально-  политической напряженности; (б) высокий уровень потребительских цен; (в) высокий дефицит государственного бюджета; (г) отток капитала и снижение инвестиционной активности в случае социально-политической нестабильности в стране.</w:t>
      </w:r>
    </w:p>
    <w:p>
      <w:pPr>
        <w:spacing w:after="120"/>
        <w:jc w:val="both"/>
      </w:pPr>
      <w:r>
        <w:rPr>
          <w:rFonts w:ascii="Arial" w:cs="Arial" w:eastAsia="Arial" w:hAnsi="Arial"/>
          <w:sz w:val="24"/>
          <w:szCs w:val="24"/>
        </w:rPr>
        <w:t xml:space="preserve">Экономический рост ожидается на уровне 6,2%, который будет обеспечиваться вкладом всех секторов экономики, формирующих ВВП страны. При этом, наибольший вклад будет обеспечен со стороны сектора услуг и строительства (3,7 процентных пункта), а вклады промышленности и сельского хозяйства будут умеренными и составят 1,1 и 0,7 процентных пункта,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Структура и темпы роста по секторам, формирующим ВВП2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9"/>
        <w:gridCol w:w="1153"/>
        <w:gridCol w:w="1153"/>
        <w:gridCol w:w="1263"/>
        <w:gridCol w:w="1263"/>
        <w:gridCol w:w="1263"/>
        <w:gridCol w:w="1263"/>
      </w:tblGrid>
      <w:tr>
        <w:tc>
          <w:tcPr>
            <w:tcW w:type="dxa" w:w="281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3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год</w:t>
            </w:r>
          </w:p>
        </w:tc>
        <w:tc>
          <w:tcPr>
            <w:tcW w:type="dxa" w:w="505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r>
      <w:tr>
        <w:tc>
          <w:tcPr>
            <w:vMerge w:val="continue"/>
            <w:tcBorders>
              <w:top w:val="single" w:color="CBBF9E" w:sz="4"/>
              <w:left w:val="single" w:color="CBBF9E" w:sz="4"/>
              <w:bottom w:val="single" w:color="CBBF9E" w:sz="4"/>
              <w:right w:val="single" w:color="CBBF9E" w:sz="4"/>
            </w:tcBorders>
          </w:tcP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p>
            <w:pPr>
              <w:jc w:val="left"/>
            </w:pPr>
            <w:r>
              <w:rPr>
                <w:rFonts w:ascii="Arial" w:cs="Arial" w:eastAsia="Arial" w:hAnsi="Arial"/>
                <w:sz w:val="24"/>
                <w:szCs w:val="24"/>
              </w:rPr>
              <w:t xml:space="preserve">(млн. сомов)</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p>
            <w:pPr>
              <w:jc w:val="left"/>
            </w:pPr>
            <w:r>
              <w:rPr>
                <w:rFonts w:ascii="Arial" w:cs="Arial" w:eastAsia="Arial" w:hAnsi="Arial"/>
                <w:sz w:val="24"/>
                <w:szCs w:val="24"/>
              </w:rPr>
              <w:t xml:space="preserve">(млн. сомов)</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39334,8</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44385,4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41093,3</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48423,4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11998,9</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16841,9</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97397,5</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114505,8</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8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22352,9</w:t>
            </w:r>
          </w:p>
        </w:tc>
        <w:tc>
          <w:tcPr>
            <w:tcW w:type="dxa" w:w="11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27037,7</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12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региональном разрезе основная доля производства ВВП в 2011 году традиционно будет обеспечиваться за счет функционирования экономик г. Бишкек, Чуйской и Иссык-Кульской областей, суммарный вклад которых в ВВП Кыргызской Республики составит 66,9%. Значительный вклад в производство ВВП также ожидается со стороны Джалал-Абадской области (10,5%). На территории Джалал-Абадской области производится около 90% вырабатываемой в республике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9"/>
        <w:gridCol w:w="987"/>
        <w:gridCol w:w="987"/>
        <w:gridCol w:w="1436"/>
        <w:gridCol w:w="1436"/>
        <w:gridCol w:w="1436"/>
        <w:gridCol w:w="1436"/>
      </w:tblGrid>
      <w:tr>
        <w:tc>
          <w:tcPr>
            <w:tcW w:type="dxa" w:w="245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97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год</w:t>
            </w:r>
          </w:p>
        </w:tc>
        <w:tc>
          <w:tcPr>
            <w:tcW w:type="dxa" w:w="574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факт</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4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tc>
        <w:tc>
          <w:tcPr>
            <w:tcW w:type="dxa" w:w="14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Вклад в рост ВВП,%</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 ВВП</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vMerge w:val="continue"/>
            <w:tcBorders>
              <w:top w:val="none" w:color="auto" w:sz="0"/>
              <w:left w:val="none" w:color="auto" w:sz="0"/>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 ВВП</w:t>
            </w:r>
          </w:p>
        </w:tc>
        <w:tc>
          <w:tcPr>
            <w:vMerge w:val="continue"/>
            <w:tcBorders>
              <w:top w:val="none" w:color="auto" w:sz="0"/>
              <w:left w:val="none" w:color="auto" w:sz="0"/>
              <w:bottom w:val="single" w:color="CBBF9E" w:sz="4"/>
              <w:right w:val="single" w:color="CBBF9E" w:sz="4"/>
            </w:tcBorders>
          </w:tcP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6859,7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7988,1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23436,1</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26414,1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29852,8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37649,5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7946,8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9960,9</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18053,4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22222,5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6716,9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7902,1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34901,4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38179,1</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г.Бишкек</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78327,8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92280,4</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r>
      <w:tr>
        <w:tc>
          <w:tcPr>
            <w:tcW w:type="dxa" w:w="24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г.Ош</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6082,5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8597,5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14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повышения уровня капитализации на восстановление устойчивых темпов экономического роста намечено создать институт развития для концентрации инвестиционных ресурсов государства и их эффективного использования через рыночные механизмы финансирования, включая механизм ипотечного кредитования, микрофинансирование и запуск приоритетных инвестиционных проектов на условиях государственно-частного партнерства.</w:t>
      </w:r>
    </w:p>
    <w:p>
      <w:pPr>
        <w:spacing w:after="120"/>
        <w:jc w:val="both"/>
      </w:pPr>
      <w:r>
        <w:rPr>
          <w:rFonts w:ascii="Arial" w:cs="Arial" w:eastAsia="Arial" w:hAnsi="Arial"/>
          <w:sz w:val="24"/>
          <w:szCs w:val="24"/>
        </w:rPr>
        <w:t xml:space="preserve">Уровень инфляции ожидается в пределах 15,5%. В основе расчетов этого сценария заложены следующие предпосылки и условия: (а) сохранение тарифов на жилищно-коммунальные услуги на неизменном уровне; (б) рост цен на продовольственные товары и (в) временное государственное регулирование цен на отдельные потребительские товары. Основными влияющими факторами на рост потребительских цен в 2011 году будут немонетарные факторы: (а) складывающиеся неблагоприятные тенденции роста мировых цен на продовольствие (по оценке ООН - FAO до 100% на отдельные группы товаров); (б) зависимость внутреннего рынка хлебопродуктов от импорта зерна и муки, (в) рост мировых цен на сырую нефть и нефтепродукты в связи с ухудшением политической ситуации в странах Ближнего Востока и Северной Африки.</w:t>
      </w:r>
    </w:p>
    <w:p>
      <w:pPr>
        <w:spacing w:after="120"/>
        <w:jc w:val="both"/>
      </w:pPr>
      <w:r>
        <w:rPr>
          <w:rFonts w:ascii="Arial" w:cs="Arial" w:eastAsia="Arial" w:hAnsi="Arial"/>
          <w:sz w:val="24"/>
          <w:szCs w:val="24"/>
        </w:rPr>
        <w:t xml:space="preserve">Из числа монетарных факторов на уровень инфляции будут оказывать влияние возрастающие объемы денежного предложения, обусловленные значительными расходами бюджета, включая ожидаемое повышение оплаты труда работников социального сектора в 2,5 раза.</w:t>
      </w:r>
    </w:p>
    <w:p>
      <w:pPr>
        <w:spacing w:after="120"/>
        <w:jc w:val="both"/>
      </w:pPr>
      <w:r>
        <w:rPr>
          <w:rFonts w:ascii="Arial" w:cs="Arial" w:eastAsia="Arial" w:hAnsi="Arial"/>
          <w:sz w:val="24"/>
          <w:szCs w:val="24"/>
        </w:rPr>
        <w:t xml:space="preserve">Пессимистичный сценарий развития макроэкономической ситуации в 2011 году предполагает: (а) высокий уровень инфляционных ожиданий; (б) более высокий уровень дефицита бюджета; (г) ожидаемые внешнеторговые ограничения из-за вступления в силу условий действия Таможенного Союза. В случае воздействия на макроэкономическую ситуацию этих неблагоприятных факторов рост инфляции может достигнуть уровня 18-20%.</w:t>
      </w:r>
    </w:p>
    <w:p>
      <w:pPr>
        <w:spacing w:after="120"/>
        <w:jc w:val="both"/>
      </w:pPr>
      <w:r>
        <w:rPr>
          <w:rFonts w:ascii="Arial" w:cs="Arial" w:eastAsia="Arial" w:hAnsi="Arial"/>
          <w:sz w:val="24"/>
          <w:szCs w:val="24"/>
        </w:rPr>
        <w:t xml:space="preserve">Денежно-кредитная политика будет направлена на достижение и поддержание стабильности цен. При этом первоочередной задачей будет снижение возросших инфляционных ожиданий.</w:t>
      </w:r>
    </w:p>
    <w:p>
      <w:pPr>
        <w:spacing w:after="120"/>
        <w:jc w:val="both"/>
      </w:pPr>
      <w:r>
        <w:rPr>
          <w:rFonts w:ascii="Arial" w:cs="Arial" w:eastAsia="Arial" w:hAnsi="Arial"/>
          <w:sz w:val="24"/>
          <w:szCs w:val="24"/>
        </w:rPr>
        <w:t xml:space="preserve">Для ограничения влияния монетарных факторов на уровень инфляции будет осуществляться регулирование денежной базы с использованием стандартных инструментов денежно-кредитной политики, расширением операций по стерилизации избыточной ликвидности в ответ на наращивание бюджетных расходов. В целом, Национальный банк Кыргызской Республики сосредоточится на ценовой стабилизации, при необходимости ужесточая денежно-кредитную политику.</w:t>
      </w:r>
    </w:p>
    <w:p>
      <w:pPr>
        <w:spacing w:after="120"/>
        <w:jc w:val="both"/>
      </w:pPr>
      <w:r>
        <w:rPr>
          <w:rFonts w:ascii="Arial" w:cs="Arial" w:eastAsia="Arial" w:hAnsi="Arial"/>
          <w:sz w:val="24"/>
          <w:szCs w:val="24"/>
        </w:rPr>
        <w:t xml:space="preserve">В 2011 году будет продолжена политика плавающего обменного курса. Резкие колебания обменного курса будут сглаживаться инструментами денежно-кредитной политики, включая интервенции на межбанковском валютном рынке.</w:t>
      </w:r>
    </w:p>
    <w:p>
      <w:pPr>
        <w:spacing w:after="120"/>
        <w:jc w:val="both"/>
      </w:pPr>
      <w:r>
        <w:rPr>
          <w:rFonts w:ascii="Arial" w:cs="Arial" w:eastAsia="Arial" w:hAnsi="Arial"/>
          <w:sz w:val="24"/>
          <w:szCs w:val="24"/>
        </w:rPr>
        <w:t xml:space="preserve">Фискальная политика в 2011 году будет направлена на обеспечение устойчивого роста налоговых и таможенных поступлений в бюджет, совершенствование системы налогового администрирования, легализацию неформального сектора экономики, достижение разумного баланса прав предпринимателей и контролирующих органов, снижение коррупции, обеспечение прозрачности и повышение эффективности деятельности фискальных органов.</w:t>
      </w:r>
    </w:p>
    <w:p>
      <w:pPr>
        <w:spacing w:after="120"/>
        <w:jc w:val="both"/>
      </w:pPr>
      <w:r>
        <w:rPr>
          <w:rFonts w:ascii="Arial" w:cs="Arial" w:eastAsia="Arial" w:hAnsi="Arial"/>
          <w:sz w:val="24"/>
          <w:szCs w:val="24"/>
        </w:rPr>
        <w:t xml:space="preserve">Динамика функционирования секторов экономики, формирующих ВВП страны, будет складываться под влиянием следующих факторов: (а) неблагоприятные тенденции роста внутренних и импортных цен на товары и услуги, включая рост цен на нефтепродукты; (б) государственное регулирование среды развития, ориентированное на создание благоприятных условий для хозяйствующих субъектов; (в) внедрение элементов государственно-частного партнерства; (г) государственная поддержка приоритетных секторов реальной экономики.</w:t>
      </w:r>
    </w:p>
    <w:p>
      <w:pPr>
        <w:spacing w:after="120"/>
        <w:jc w:val="both"/>
      </w:pPr>
      <w:r>
        <w:rPr>
          <w:rFonts w:ascii="Arial" w:cs="Arial" w:eastAsia="Arial" w:hAnsi="Arial"/>
          <w:sz w:val="24"/>
          <w:szCs w:val="24"/>
        </w:rPr>
        <w:t xml:space="preserve">Политика в секторе услуг на 2011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Ожидается, что в 2011 году спрос на услуги будет сдерживаться высоким уровнем потребительских цен, поэтому реальный прирост объемов от функционирования этой сферы прогнозируется на уровне 4,6%.</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 Бишкек, а также Чуйской, Джалал-Абадской областей. Их суммарный вклад составит 77,8%,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Реальный прирост промышленного производства3 ожидается на уровне 6,1%, в основном, за счет устойчивой работы предприятий переработки сельскохозяйственных продуктов, производства строительных материалов и энергетики.</w:t>
      </w:r>
    </w:p>
    <w:p>
      <w:pPr>
        <w:spacing w:after="120"/>
        <w:jc w:val="both"/>
      </w:pPr>
      <w:r>
        <w:rPr>
          <w:rFonts w:ascii="Arial" w:cs="Arial" w:eastAsia="Arial" w:hAnsi="Arial"/>
          <w:sz w:val="24"/>
          <w:szCs w:val="24"/>
        </w:rPr>
        <w:t xml:space="preserve">Ожидаемый рост в отрасли по переработке сельскохозяйственной продукции на 10% связан с эффективным использованием действующих мощностей и их предполагаемым расширением за счет ожидаемого влияния освоения льготного кредита Правительства Кыргызской Республики, который выдан фермерам весной текущего года.</w:t>
      </w:r>
    </w:p>
    <w:p>
      <w:pPr>
        <w:spacing w:after="120"/>
        <w:jc w:val="both"/>
      </w:pPr>
      <w:r>
        <w:rPr>
          <w:rFonts w:ascii="Arial" w:cs="Arial" w:eastAsia="Arial" w:hAnsi="Arial"/>
          <w:sz w:val="24"/>
          <w:szCs w:val="24"/>
        </w:rPr>
        <w:t xml:space="preserve">Прирост производства строительных материалов ожидается на уровне 8%, который в текущем году будет поддерживаться высоким спросом на продукцию строительных материалов. Рост спроса на стройматериалы будет связан, прежде всего, с продолжением работ по восстановлению и строительству жилья, административных зданий и объектов торговли пострадавших южных регионов.</w:t>
      </w:r>
    </w:p>
    <w:p>
      <w:pPr>
        <w:spacing w:after="120"/>
        <w:jc w:val="both"/>
      </w:pPr>
      <w:r>
        <w:rPr>
          <w:rFonts w:ascii="Arial" w:cs="Arial" w:eastAsia="Arial" w:hAnsi="Arial"/>
          <w:sz w:val="24"/>
          <w:szCs w:val="24"/>
        </w:rPr>
        <w:t xml:space="preserve">Реальное производство в энергетической отрасли на 11,9% ожидается за счет ввода в эксплуатацию первого агрегата Камбаратинской ГЭС-2. Накопление воды в Токтогульском водохранилище в объеме 17,12 млрд. куб. м (на 1 февраля 2011 года) станет благоприятным фактором для увеличения выработки электроэнергии, ожидаемой на уровне 14 253 млн. кВт.час в 2011 году.</w:t>
      </w:r>
    </w:p>
    <w:p>
      <w:pPr>
        <w:spacing w:after="120"/>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Джалал-Абадской областей и г. Бишкек. Суммарная доля данных регионов в структуре валового выпуска промышленности составит 93,3%.</w:t>
      </w:r>
    </w:p>
    <w:p>
      <w:pPr>
        <w:spacing w:after="120"/>
        <w:jc w:val="both"/>
      </w:pPr>
      <w:r>
        <w:rPr>
          <w:rFonts w:ascii="Arial" w:cs="Arial" w:eastAsia="Arial" w:hAnsi="Arial"/>
          <w:sz w:val="24"/>
          <w:szCs w:val="24"/>
        </w:rPr>
        <w:t xml:space="preserve">В сельском хозяйстве в 2011 году темп реального прироста ожидается на уровне 4,0% за счет роста производства в растениеводстве и, в меньшей степени, за счет животноводства. Этот сектор будет оставаться приоритетным, поскольку в этом секторе занята одна треть численности населения и 65% населения страны проживают в сельской местности, жизненный уровень которых на сегодня гораздо ниже, чем населения, проживающего в городах.</w:t>
      </w:r>
    </w:p>
    <w:p>
      <w:pPr>
        <w:spacing w:after="120"/>
        <w:jc w:val="both"/>
      </w:pPr>
      <w:r>
        <w:rPr>
          <w:rFonts w:ascii="Arial" w:cs="Arial" w:eastAsia="Arial" w:hAnsi="Arial"/>
          <w:sz w:val="24"/>
          <w:szCs w:val="24"/>
        </w:rPr>
        <w:t xml:space="preserve">В 2011 году ожидаемые темпы роста в растениеводстве на уровне 5,3% будут обеспечены за счет своевременного проведения весенне-полевых работ, оптимизации структуры посевных площадей, улучшения сортов семян, обновления машинно-тракторного парка. Кроме того, льготный кредит Правительства Кыргызской Республики на сумму более 1 млрд. сомов будет направлен на поддержку сельхозпроизводителей по производству продукции, обеспечивающей продовольственную безопасность страны, включая производство зерновых, сахарной свеклы, хлопчатника, масличных культур. При этом влияние природно-климатического фактора является реальным риском потерь урожая.</w:t>
      </w:r>
    </w:p>
    <w:p>
      <w:pPr>
        <w:spacing w:after="120"/>
        <w:jc w:val="both"/>
      </w:pPr>
      <w:r>
        <w:rPr>
          <w:rFonts w:ascii="Arial" w:cs="Arial" w:eastAsia="Arial" w:hAnsi="Arial"/>
          <w:sz w:val="24"/>
          <w:szCs w:val="24"/>
        </w:rPr>
        <w:t xml:space="preserve">В последние годы наметилась устойчивая тенденция роста производства продукции животноводства, которая в 2011 году ожидается на уровне 2,6%.</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внесут Чуйская, Иссык-Кульская, Джалал-Абадская и Ошская области, суммарный удельный вес которых составит 74,7%. Кроме того, льготный кредит, в основном, будет направлен на развитие растениеводства в этих регионах.</w:t>
      </w:r>
    </w:p>
    <w:p>
      <w:pPr>
        <w:spacing w:after="120"/>
        <w:jc w:val="both"/>
      </w:pPr>
      <w:r>
        <w:rPr>
          <w:rFonts w:ascii="Arial" w:cs="Arial" w:eastAsia="Arial" w:hAnsi="Arial"/>
          <w:sz w:val="24"/>
          <w:szCs w:val="24"/>
        </w:rPr>
        <w:t xml:space="preserve">Строительная отрасль прогнозируется с реальным приростом на уровне 25,1%, который будет связан с продолжением работ по восстановлению инфраструктуры городов Ош, Джалал-Абад и районов, пострадавших во время событий 2010 года. Кроме того, будет продолжено строительство стратегических объектов внешней транспортной магистрали4; объектов энергетики, включая ВЛ 220 кВ «Датка», ВЛ 220 кВ «Айгульташ-Самат» с реконструкцией ПС 110 кВ «Самат». Кроме того, будет продолжено жилищное строительство, которое из-за роста цен будет развиваться умеренными темпами.</w:t>
      </w:r>
    </w:p>
    <w:p>
      <w:pPr>
        <w:spacing w:after="120"/>
        <w:jc w:val="both"/>
      </w:pPr>
      <w:r>
        <w:rPr>
          <w:rFonts w:ascii="Arial" w:cs="Arial" w:eastAsia="Arial" w:hAnsi="Arial"/>
          <w:sz w:val="24"/>
          <w:szCs w:val="24"/>
        </w:rPr>
        <w:t xml:space="preserve">Ожидаемый объем строительных работ непосредственно связан с общим объемом освоения капитальных вложений, который ожидается в размере 59,1 млрд. сомов по всем источникам финансирования. В структуре капитальных вложений соотношение внутренних и внешних источников финансирования капитальных вложений составит 77% к 23%, соответственно. Из общего объема внутренних источников финансирования капитальных вложений средства предприятий, организаций и средства населения ожидаются на уровне 61,1%.</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необходимый для экономического роста на уровне 6,2%, составит 70,2 млрд. сомов или 28% к ВВП.</w:t>
      </w:r>
    </w:p>
    <w:p>
      <w:pPr>
        <w:spacing w:after="120"/>
        <w:jc w:val="both"/>
      </w:pPr>
      <w:r>
        <w:rPr>
          <w:rFonts w:ascii="Arial" w:cs="Arial" w:eastAsia="Arial" w:hAnsi="Arial"/>
          <w:sz w:val="24"/>
          <w:szCs w:val="24"/>
        </w:rPr>
        <w:t xml:space="preserve">При этом, удельный вес государственных инвестиций составит 16,2 млрд. сомов или 6,5% к ВВП, в том числе, доля ПГИ - 4,1% к ВВП.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который превысит объем государственных инвестиций в 3,5 раза и составит 54,0 млрд. сомов или 21,8% к ВВП. При этом приток прямых иностранных инвестиций составит 24,8 млрд. сомов или 517,4 млн. долларов США.</w:t>
      </w:r>
    </w:p>
    <w:p>
      <w:pPr>
        <w:spacing w:after="120"/>
        <w:jc w:val="both"/>
      </w:pPr>
      <w:r>
        <w:rPr>
          <w:rFonts w:ascii="Arial" w:cs="Arial" w:eastAsia="Arial" w:hAnsi="Arial"/>
          <w:sz w:val="24"/>
          <w:szCs w:val="24"/>
        </w:rPr>
        <w:t xml:space="preserve">Для увеличения притока ПИИ в Плане Правительства на 2011 год намечено решение таких задач, как: (i) создание институциональной основы для привлечения и продвижения инвестиций и (ii) внедрение механизмов государственно-частного партнерства.</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 Бишкек, доля которых в общем объеме капитальных вложений в 2011 году составит 87,2%, связанных со строительством автодорожной и энергетической инфраструктур, жилья и объектов сферы туризма на этих территориях.</w:t>
      </w:r>
    </w:p>
    <w:p>
      <w:pPr>
        <w:spacing w:after="120"/>
        <w:jc w:val="both"/>
      </w:pPr>
      <w:r>
        <w:rPr>
          <w:rFonts w:ascii="Arial" w:cs="Arial" w:eastAsia="Arial" w:hAnsi="Arial"/>
          <w:sz w:val="24"/>
          <w:szCs w:val="24"/>
        </w:rPr>
        <w:t xml:space="preserve">Внешнеэкономическая деятельность в 2011 году будет складываться под влиянием трех основных факторов: (1) роста внутреннего производства на 6,2%; (2) рисков, связанных с ограничениями экспорта товаров из-за вступления в силу условий действия Таможенного Союза и (3) высоких цен на импорт из-за роста мировых цен на продовольствие и сырую нефть, ожидаемых в 2011 году.</w:t>
      </w:r>
    </w:p>
    <w:p>
      <w:pPr>
        <w:spacing w:after="120"/>
        <w:jc w:val="both"/>
      </w:pPr>
      <w:r>
        <w:rPr>
          <w:rFonts w:ascii="Arial" w:cs="Arial" w:eastAsia="Arial" w:hAnsi="Arial"/>
          <w:sz w:val="24"/>
          <w:szCs w:val="24"/>
        </w:rPr>
        <w:t xml:space="preserve">С учетом этих факторов, объем внешнеторгового оборота ожидается на уровне 5400 млн. долл. с номинальным превышением уровня 2010 года на 8,4%. Номинальный объем экспорта товаров составит 2000 млн. долларов США, а импорта - 3400 млн. долларов США. В результате, отрицательное сальдо торгового баланса сложится на уровне 1 400 млн. долларов США. Как и прежде, основной статьей экспорта будет золото. При этом в 2011 году ожидается рост экспорта цемента более чем в три раза, швейных изделий - на 26%, овощей и фруктов - на 26% и хлопка-волокна - на 58%. Рост импорта будет связан с увеличением объемов поставок нефтепродуктов, промежуточных и инвестиционных товаров, а также потребительских товаров. Импорт инвестиционных товаров возрастет на 14,6%, что создает надежные предпосылки для поддержания экономического роста, ожидаемого в 2011 году на уровне 6,2%. Из-за опережающей динамики роста импорта над экспортом, отрицательное сальдо чистого экспорта товаров и услуг к ВВП увеличится с (</w:t>
      </w:r>
    </w:p>
    <w:p>
      <w:pPr>
        <w:spacing w:after="120"/>
        <w:jc w:val="both"/>
      </w:pPr>
      <w:r>
        <w:rPr>
          <w:rFonts w:ascii="Arial" w:cs="Arial" w:eastAsia="Arial" w:hAnsi="Arial"/>
          <w:sz w:val="24"/>
          <w:szCs w:val="24"/>
        </w:rPr>
        <w:t xml:space="preserve">-28,7%) 2010 году до (-30,5%) в 2011 году.</w:t>
      </w:r>
    </w:p>
    <w:p>
      <w:pPr>
        <w:spacing w:after="120"/>
        <w:jc w:val="both"/>
      </w:pPr>
      <w:r>
        <w:rPr>
          <w:rFonts w:ascii="Arial" w:cs="Arial" w:eastAsia="Arial" w:hAnsi="Arial"/>
          <w:sz w:val="24"/>
          <w:szCs w:val="24"/>
        </w:rPr>
        <w:t xml:space="preserve">Политика социального развития в 2011 году будет направлена: (а) на обеспечение социальных гарантий в полном объеме, включая поддержку уязвимых категорий граждан, нуждающихся в государственной поддержке; (б) на повышение эффективности предоставления социальных услуг; (в) укрепление финансовой устойчивости пенсионной системы и (в) сокращение безработицы и миграционного оттока населения через повышение эффективности мер государственного регулирования рынка труда.</w:t>
      </w:r>
    </w:p>
    <w:p>
      <w:pPr>
        <w:spacing w:after="120"/>
        <w:jc w:val="both"/>
      </w:pPr>
      <w:r>
        <w:rPr>
          <w:rFonts w:ascii="Arial" w:cs="Arial" w:eastAsia="Arial" w:hAnsi="Arial"/>
          <w:sz w:val="24"/>
          <w:szCs w:val="24"/>
        </w:rPr>
        <w:t xml:space="preserve">Ожидается, что денежные доходы населения номинально возрастут на 23% и их объем составит 202 084,9 млн. сомов. С учетом ожидаемого роста потребительских цен в среднегодовом исчислении на 20,5% реальный темп прироста денежных доходов составит 2,1%. Рост денежных доходов будет стимулироваться восстановлением экономики в текущем году и созданием новых рабочих мест, особенно, в строительстве и переработке сельскохозяйственной продукции.</w:t>
      </w:r>
    </w:p>
    <w:p>
      <w:pPr>
        <w:spacing w:after="120"/>
        <w:jc w:val="both"/>
      </w:pPr>
      <w:r>
        <w:rPr>
          <w:rFonts w:ascii="Arial" w:cs="Arial" w:eastAsia="Arial" w:hAnsi="Arial"/>
          <w:sz w:val="24"/>
          <w:szCs w:val="24"/>
        </w:rPr>
        <w:t xml:space="preserve">В структуре денежных доходов существенно возрастет «заработная плата» в связи с предстоящим повышением оплаты труда работников социальной сферы в среднем на 75,2%, которая составит 7823 сома. При этом средний размер заработной платы по республике в 2011 году реально возрастет на 12,1% и составит 9645 сомов. Таким образом, с учетом предстоящего повышения оплата труда работников социальной сферы в 2011 году составит 81% от среднемесячной заработной платы в целом по республике относительно 62,5% в 2010 году.</w:t>
      </w:r>
    </w:p>
    <w:p>
      <w:pPr>
        <w:spacing w:after="120"/>
        <w:jc w:val="both"/>
      </w:pPr>
      <w:r>
        <w:rPr>
          <w:rFonts w:ascii="Arial" w:cs="Arial" w:eastAsia="Arial" w:hAnsi="Arial"/>
          <w:sz w:val="24"/>
          <w:szCs w:val="24"/>
        </w:rPr>
        <w:t xml:space="preserve">Кроме того, в структуре денежных доходов существенно (на 12%) возрастет номинальный размер пенсий и составит 3146 сомов.</w:t>
      </w:r>
    </w:p>
    <w:p>
      <w:pPr>
        <w:spacing w:after="120"/>
        <w:jc w:val="both"/>
      </w:pPr>
      <w:r>
        <w:rPr>
          <w:rFonts w:ascii="Arial" w:cs="Arial" w:eastAsia="Arial" w:hAnsi="Arial"/>
          <w:sz w:val="24"/>
          <w:szCs w:val="24"/>
        </w:rPr>
        <w:t xml:space="preserve">Несмотря на рост денежных доходов в 2011 году, реальный темп роста частного потребления будет более умеренный (на 3,9%) относительно 4,3% в 2010 году, что обусловлено ожидаемым замедлением потребительского спроса на фоне роста потребительских цен.</w:t>
      </w:r>
    </w:p>
    <w:p>
      <w:pPr>
        <w:spacing w:after="120"/>
        <w:jc w:val="both"/>
      </w:pPr>
      <w:r>
        <w:rPr>
          <w:rFonts w:ascii="Arial" w:cs="Arial" w:eastAsia="Arial" w:hAnsi="Arial"/>
          <w:sz w:val="24"/>
          <w:szCs w:val="24"/>
        </w:rPr>
        <w:t xml:space="preserve">Восстановительный процесс в экономике, ожидаемый в 2011 году, повлечет за собой создание рабочих мест и рост численности занятых в экономике от 2240,8 тыс. человек в 2010 году до 2279,4 тыс. человек в 2011 году или на 1,7%. Государственные меры регулирования рынка труда и миграционных процессов будут ориентированы: (а) на профессиональную подготовку и переподготовку безработных граждан на перспективные специальности, пользующиеся спросом на рынке труда (строительство, энергетика, сфера услуг); (б) оказание помощи безработным гражданам в поисках работы и повышение доступности информации по вакансиям на рынке труда по всей территории республики; (в) дальнейшее развитие системы микрокредитования безработных граждан для открытия бизнеса и поддержки самозанятости безработных; (г) активные меры по созданию новых рабочих мест в сельской местности. Повышение занятости позволит снизить уровень безработицы с 8,6%  в 2010 году до 8,4%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Макроэкономический прогноз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условия и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Внешние благоприятные предпосылки и условия:</w:t>
      </w:r>
    </w:p>
    <w:p>
      <w:pPr>
        <w:spacing w:after="120"/>
        <w:jc w:val="both"/>
      </w:pPr>
      <w:r>
        <w:rPr>
          <w:rFonts w:ascii="Arial" w:cs="Arial" w:eastAsia="Arial" w:hAnsi="Arial"/>
          <w:sz w:val="24"/>
          <w:szCs w:val="24"/>
        </w:rPr>
        <w:t xml:space="preserve">·      рост мировой экономики на 4,5%; в странах, основных торговых партнерах (Россия, Казахстан) на уровне 4-5%;</w:t>
      </w:r>
    </w:p>
    <w:p>
      <w:pPr>
        <w:spacing w:after="120"/>
        <w:jc w:val="both"/>
      </w:pPr>
      <w:r>
        <w:rPr>
          <w:rFonts w:ascii="Arial" w:cs="Arial" w:eastAsia="Arial" w:hAnsi="Arial"/>
          <w:sz w:val="24"/>
          <w:szCs w:val="24"/>
        </w:rPr>
        <w:t xml:space="preserve">·      прогнозируемый рост цен на золото на уровне 1350-1400 долларов США за 1 унцию;</w:t>
      </w:r>
    </w:p>
    <w:p>
      <w:pPr>
        <w:spacing w:after="120"/>
        <w:jc w:val="both"/>
      </w:pPr>
      <w:r>
        <w:rPr>
          <w:rFonts w:ascii="Arial" w:cs="Arial" w:eastAsia="Arial" w:hAnsi="Arial"/>
          <w:sz w:val="24"/>
          <w:szCs w:val="24"/>
        </w:rPr>
        <w:t xml:space="preserve">·      сдержанные показатели уровня инфляции (7-8%) в странах, основных торговых партнерах Кыргызской Республики (Россия, Казахстан).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Внешние неблагоприятные факторы/риски:</w:t>
      </w:r>
    </w:p>
    <w:p>
      <w:pPr>
        <w:spacing w:after="120"/>
        <w:jc w:val="both"/>
      </w:pPr>
      <w:r>
        <w:rPr>
          <w:rFonts w:ascii="Arial" w:cs="Arial" w:eastAsia="Arial" w:hAnsi="Arial"/>
          <w:sz w:val="24"/>
          <w:szCs w:val="24"/>
        </w:rPr>
        <w:t xml:space="preserve">·      рост мировых цен на продовольственные товары;</w:t>
      </w:r>
    </w:p>
    <w:p>
      <w:pPr>
        <w:spacing w:after="120"/>
        <w:jc w:val="both"/>
      </w:pPr>
      <w:r>
        <w:rPr>
          <w:rFonts w:ascii="Arial" w:cs="Arial" w:eastAsia="Arial" w:hAnsi="Arial"/>
          <w:sz w:val="24"/>
          <w:szCs w:val="24"/>
        </w:rPr>
        <w:t xml:space="preserve">·      рост мировых цен на нефтепродукты на фоне нарастания политической напряженности в странах Ближнего Востока и Северной Африки;</w:t>
      </w:r>
    </w:p>
    <w:p>
      <w:pPr>
        <w:spacing w:after="120"/>
        <w:jc w:val="both"/>
      </w:pPr>
      <w:r>
        <w:rPr>
          <w:rFonts w:ascii="Arial" w:cs="Arial" w:eastAsia="Arial" w:hAnsi="Arial"/>
          <w:sz w:val="24"/>
          <w:szCs w:val="24"/>
        </w:rPr>
        <w:t xml:space="preserve">·      введение в действие условий действия Таможенного союза;</w:t>
      </w:r>
    </w:p>
    <w:p>
      <w:pPr>
        <w:spacing w:after="120"/>
        <w:jc w:val="both"/>
      </w:pPr>
      <w:r>
        <w:rPr>
          <w:rFonts w:ascii="Arial" w:cs="Arial" w:eastAsia="Arial" w:hAnsi="Arial"/>
          <w:sz w:val="24"/>
          <w:szCs w:val="24"/>
        </w:rPr>
        <w:t xml:space="preserve">·      высокие цены на импорт из-за роста мировых цен на сырую нефть и продовольствие.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Внутренние благоприятные предпосылки и условия:</w:t>
      </w:r>
    </w:p>
    <w:p>
      <w:pPr>
        <w:spacing w:after="120"/>
        <w:jc w:val="both"/>
      </w:pPr>
      <w:r>
        <w:rPr>
          <w:rFonts w:ascii="Arial" w:cs="Arial" w:eastAsia="Arial" w:hAnsi="Arial"/>
          <w:sz w:val="24"/>
          <w:szCs w:val="24"/>
        </w:rPr>
        <w:t xml:space="preserve">·      социально-политическая стабильность в стране;</w:t>
      </w:r>
    </w:p>
    <w:p>
      <w:pPr>
        <w:spacing w:after="120"/>
        <w:jc w:val="both"/>
      </w:pPr>
      <w:r>
        <w:rPr>
          <w:rFonts w:ascii="Arial" w:cs="Arial" w:eastAsia="Arial" w:hAnsi="Arial"/>
          <w:sz w:val="24"/>
          <w:szCs w:val="24"/>
        </w:rPr>
        <w:t xml:space="preserve">·      развитие института развития;</w:t>
      </w:r>
    </w:p>
    <w:p>
      <w:pPr>
        <w:spacing w:after="120"/>
        <w:jc w:val="both"/>
      </w:pPr>
      <w:r>
        <w:rPr>
          <w:rFonts w:ascii="Arial" w:cs="Arial" w:eastAsia="Arial" w:hAnsi="Arial"/>
          <w:sz w:val="24"/>
          <w:szCs w:val="24"/>
        </w:rPr>
        <w:t xml:space="preserve">·      повышение привлекательности бизнес-среды;</w:t>
      </w:r>
    </w:p>
    <w:p>
      <w:pPr>
        <w:spacing w:after="120"/>
        <w:jc w:val="both"/>
      </w:pPr>
      <w:r>
        <w:rPr>
          <w:rFonts w:ascii="Arial" w:cs="Arial" w:eastAsia="Arial" w:hAnsi="Arial"/>
          <w:sz w:val="24"/>
          <w:szCs w:val="24"/>
        </w:rPr>
        <w:t xml:space="preserve">·      прогнозируемый рост деловой активности хозяйствующих субъектов на фоне улучшения инвестиционного климата;</w:t>
      </w:r>
    </w:p>
    <w:p>
      <w:pPr>
        <w:spacing w:after="120"/>
        <w:jc w:val="both"/>
      </w:pPr>
      <w:r>
        <w:rPr>
          <w:rFonts w:ascii="Arial" w:cs="Arial" w:eastAsia="Arial" w:hAnsi="Arial"/>
          <w:sz w:val="24"/>
          <w:szCs w:val="24"/>
        </w:rPr>
        <w:t xml:space="preserve">·      постепенный процесс легализации теневой экономики для расширения налоговой базы, что в совокупности с улучшением налогового администрирования позволит увеличить налоговые доходы;</w:t>
      </w:r>
    </w:p>
    <w:p>
      <w:pPr>
        <w:spacing w:after="120"/>
        <w:jc w:val="both"/>
      </w:pPr>
      <w:r>
        <w:rPr>
          <w:rFonts w:ascii="Arial" w:cs="Arial" w:eastAsia="Arial" w:hAnsi="Arial"/>
          <w:sz w:val="24"/>
          <w:szCs w:val="24"/>
        </w:rPr>
        <w:t xml:space="preserve">·      восстановление торговой инфраструктуры в пострадавших южных регионах;</w:t>
      </w:r>
    </w:p>
    <w:p>
      <w:pPr>
        <w:spacing w:after="120"/>
        <w:jc w:val="both"/>
      </w:pPr>
      <w:r>
        <w:rPr>
          <w:rFonts w:ascii="Arial" w:cs="Arial" w:eastAsia="Arial" w:hAnsi="Arial"/>
          <w:sz w:val="24"/>
          <w:szCs w:val="24"/>
        </w:rPr>
        <w:t xml:space="preserve">·      создание государственного агентства по привлечению и продвижению прямых иностранных инвестиций в крупные национальные проекты (горнодобывающая, металлургическая отрасли, электроэнергетика, отрасль по переработке сельскохозяйственной продукции, а также в сферу туризма и другие направления).</w:t>
      </w:r>
    </w:p>
    <w:p>
      <w:pPr>
        <w:spacing w:after="120"/>
        <w:jc w:val="both"/>
      </w:pPr>
      <w:r>
        <w:rPr>
          <w:rFonts w:ascii="Arial" w:cs="Arial" w:eastAsia="Arial" w:hAnsi="Arial"/>
          <w:sz w:val="24"/>
          <w:szCs w:val="24"/>
        </w:rPr>
        <w:t xml:space="preserve">4. Внутренние неблагоприятные факторы/риски:</w:t>
      </w:r>
    </w:p>
    <w:p>
      <w:pPr>
        <w:spacing w:after="120"/>
        <w:jc w:val="both"/>
      </w:pPr>
      <w:r>
        <w:rPr>
          <w:rFonts w:ascii="Arial" w:cs="Arial" w:eastAsia="Arial" w:hAnsi="Arial"/>
          <w:sz w:val="24"/>
          <w:szCs w:val="24"/>
        </w:rPr>
        <w:t xml:space="preserve">·      возможное осложнение социально-политической ситуации, связанное с предстоящими выборами Президента Кыргызской Республики и, как следствие:</w:t>
      </w:r>
    </w:p>
    <w:p>
      <w:pPr>
        <w:spacing w:after="120"/>
        <w:jc w:val="both"/>
      </w:pPr>
      <w:r>
        <w:rPr>
          <w:rFonts w:ascii="Arial" w:cs="Arial" w:eastAsia="Arial" w:hAnsi="Arial"/>
          <w:sz w:val="24"/>
          <w:szCs w:val="24"/>
        </w:rPr>
        <w:t xml:space="preserve">o     снижение деловой активности</w:t>
      </w:r>
    </w:p>
    <w:p>
      <w:pPr>
        <w:spacing w:after="120"/>
        <w:jc w:val="both"/>
      </w:pPr>
      <w:r>
        <w:rPr>
          <w:rFonts w:ascii="Arial" w:cs="Arial" w:eastAsia="Arial" w:hAnsi="Arial"/>
          <w:sz w:val="24"/>
          <w:szCs w:val="24"/>
        </w:rPr>
        <w:t xml:space="preserve">o      ухудшение инвестиционного климата</w:t>
      </w:r>
    </w:p>
    <w:p>
      <w:pPr>
        <w:spacing w:after="120"/>
        <w:jc w:val="both"/>
      </w:pPr>
      <w:r>
        <w:rPr>
          <w:rFonts w:ascii="Arial" w:cs="Arial" w:eastAsia="Arial" w:hAnsi="Arial"/>
          <w:sz w:val="24"/>
          <w:szCs w:val="24"/>
        </w:rPr>
        <w:t xml:space="preserve">o     отток капитала из страны;</w:t>
      </w:r>
    </w:p>
    <w:p>
      <w:pPr>
        <w:spacing w:after="120"/>
        <w:jc w:val="both"/>
      </w:pPr>
      <w:r>
        <w:rPr>
          <w:rFonts w:ascii="Arial" w:cs="Arial" w:eastAsia="Arial" w:hAnsi="Arial"/>
          <w:sz w:val="24"/>
          <w:szCs w:val="24"/>
        </w:rPr>
        <w:t xml:space="preserve">o     отток трудовых ресурсов</w:t>
      </w:r>
    </w:p>
    <w:p>
      <w:pPr>
        <w:spacing w:after="120"/>
        <w:jc w:val="both"/>
      </w:pPr>
      <w:r>
        <w:rPr>
          <w:rFonts w:ascii="Arial" w:cs="Arial" w:eastAsia="Arial" w:hAnsi="Arial"/>
          <w:sz w:val="24"/>
          <w:szCs w:val="24"/>
        </w:rPr>
        <w:t xml:space="preserve">o     замедление экономического роста</w:t>
      </w:r>
    </w:p>
    <w:p>
      <w:pPr>
        <w:spacing w:after="120"/>
        <w:jc w:val="both"/>
      </w:pPr>
      <w:r>
        <w:rPr>
          <w:rFonts w:ascii="Arial" w:cs="Arial" w:eastAsia="Arial" w:hAnsi="Arial"/>
          <w:sz w:val="24"/>
          <w:szCs w:val="24"/>
        </w:rPr>
        <w:t xml:space="preserve">o     рост теневой экономики;</w:t>
      </w:r>
    </w:p>
    <w:p>
      <w:pPr>
        <w:spacing w:after="120"/>
        <w:jc w:val="both"/>
      </w:pPr>
      <w:r>
        <w:rPr>
          <w:rFonts w:ascii="Arial" w:cs="Arial" w:eastAsia="Arial" w:hAnsi="Arial"/>
          <w:sz w:val="24"/>
          <w:szCs w:val="24"/>
        </w:rPr>
        <w:t xml:space="preserve">·      риски, связанные с продовольственной безопасностью страны из-за роста мировых цен на продовольствие, которые в случае внутренней социально-политической напряженности могут значительно усилиться;</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w:t>
      </w:r>
    </w:p>
    <w:p>
      <w:pPr>
        <w:spacing w:after="120"/>
        <w:jc w:val="both"/>
      </w:pPr>
      <w:r>
        <w:rPr>
          <w:rFonts w:ascii="Arial" w:cs="Arial" w:eastAsia="Arial" w:hAnsi="Arial"/>
          <w:sz w:val="24"/>
          <w:szCs w:val="24"/>
        </w:rPr>
        <w:t xml:space="preserve">·      отклонения по качеству производимых товаров от стандартов и условий Таможенного союза.</w:t>
      </w:r>
    </w:p>
    <w:p>
      <w:pPr>
        <w:spacing w:after="120"/>
        <w:jc w:val="both"/>
      </w:pPr>
      <w:r>
        <w:rPr>
          <w:rFonts w:ascii="Arial" w:cs="Arial" w:eastAsia="Arial" w:hAnsi="Arial"/>
          <w:sz w:val="24"/>
          <w:szCs w:val="24"/>
        </w:rPr>
        <w:t xml:space="preserve">В среднесрочной перспективе (2012-2014 годы) главными целями экономической политики будут закрепление макроэкономической стабилизации, снижение инфляции до однозначного числа и обеспечение устойчивого экономического роста в среднем на 5,6% в год.</w:t>
      </w:r>
    </w:p>
    <w:p>
      <w:pPr>
        <w:spacing w:after="120"/>
        <w:jc w:val="both"/>
      </w:pPr>
      <w:r>
        <w:rPr>
          <w:rFonts w:ascii="Arial" w:cs="Arial" w:eastAsia="Arial" w:hAnsi="Arial"/>
          <w:sz w:val="24"/>
          <w:szCs w:val="24"/>
        </w:rPr>
        <w:t xml:space="preserve">Прогнозируется, что уровень инфляции в этот период не превысит 10%. Такой прогноз основывается на предположении, что Правительство Кыргызской Республики продолжит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Национального банка Кыргызской Республики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до 150 долларов США за 1 баррель; (в) сдерживание резких колебаний обменного курса инструментами денежно-кредитной политики; (г) умеренный рост тарифов на коммунальные услуги; (д) умеренные инфляционные ожидания населения и (е)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Основными факторами, которые будут влиять на состояние платежного баланса Кыргызской Республики в среднесрочном периоде, будут: (а) сохраняющиеся тенденции отрицательного сальдо торгового баланса; (б) объем трансфертов трудовых мигрантов, влияющий на размер сальдо счета текущих операций; (в) уровень ликвидности и безопасность резервных активов; (г) объем международных резервов, который планируется поддерживать на уровне покрытия не менее 3 месяцев критического объема импорта товаров и услуг.</w:t>
      </w:r>
    </w:p>
    <w:p>
      <w:pPr>
        <w:spacing w:after="120"/>
        <w:jc w:val="both"/>
      </w:pPr>
      <w:r>
        <w:rPr>
          <w:rFonts w:ascii="Arial" w:cs="Arial" w:eastAsia="Arial" w:hAnsi="Arial"/>
          <w:sz w:val="24"/>
          <w:szCs w:val="24"/>
        </w:rPr>
        <w:t xml:space="preserve">Основными направлениями фискальной политики будут: (а) совершенствование системы налогового и таможенного администрирования; (б) достижение разумного баланса прав предпринимателя и контролирующих органов; (в) снижение коррупции; (г) обеспечение прозрачности и повышение эффективности деятельности контролирующих органов: (д) развитие государственно-частного партнерства; (е) постепенное снижение объема теневого рынка.</w:t>
      </w:r>
    </w:p>
    <w:p>
      <w:pPr>
        <w:spacing w:after="120"/>
        <w:jc w:val="both"/>
      </w:pPr>
      <w:r>
        <w:rPr>
          <w:rFonts w:ascii="Arial" w:cs="Arial" w:eastAsia="Arial" w:hAnsi="Arial"/>
          <w:sz w:val="24"/>
          <w:szCs w:val="24"/>
        </w:rPr>
        <w:t xml:space="preserve">Устойчивый экономический рост, прогнозируемый в 2012-2014 годы на уровне 5,6% в среднем за год, будет поддерживаться со стороны всех секторов реальной экономики, формирующих ВВП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Реальные вклады (%) секторов производства ВВП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прогноз</w:t>
            </w:r>
          </w:p>
        </w:tc>
        <w:tc>
          <w:tcPr>
            <w:tcW w:type="dxa" w:w="145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2013 прогноз</w:t>
            </w:r>
          </w:p>
        </w:tc>
        <w:tc>
          <w:tcPr>
            <w:tcW w:type="dxa" w:w="1454"/>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2014 прогноз</w:t>
            </w:r>
          </w:p>
        </w:tc>
        <w:tc>
          <w:tcPr>
            <w:tcW w:type="dxa" w:w="1454"/>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 удельный вес</w:t>
            </w:r>
          </w:p>
          <w:p>
            <w:pPr>
              <w:jc w:val="left"/>
            </w:pPr>
            <w:r>
              <w:rPr>
                <w:rFonts w:ascii="Arial" w:cs="Arial" w:eastAsia="Arial" w:hAnsi="Arial"/>
                <w:sz w:val="24"/>
                <w:szCs w:val="24"/>
              </w:rPr>
              <w:t xml:space="preserve">на 2012-2014 гг. (%)</w:t>
            </w:r>
          </w:p>
        </w:tc>
        <w:tc>
          <w:tcPr>
            <w:tcW w:type="dxa" w:w="1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 темп роста</w:t>
            </w:r>
          </w:p>
          <w:p>
            <w:pPr>
              <w:jc w:val="left"/>
            </w:pPr>
            <w:r>
              <w:rPr>
                <w:rFonts w:ascii="Arial" w:cs="Arial" w:eastAsia="Arial" w:hAnsi="Arial"/>
                <w:sz w:val="24"/>
                <w:szCs w:val="24"/>
              </w:rPr>
              <w:t xml:space="preserve">на 2012-2014 гг. (%)</w:t>
            </w:r>
          </w:p>
        </w:tc>
        <w:tc>
          <w:tcPr>
            <w:tcW w:type="dxa" w:w="1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Вклад в прирост ВВП (%)</w:t>
            </w:r>
          </w:p>
          <w:p>
            <w:pPr>
              <w:jc w:val="left"/>
            </w:pPr>
            <w:r>
              <w:rPr>
                <w:rFonts w:ascii="Arial" w:cs="Arial" w:eastAsia="Arial" w:hAnsi="Arial"/>
                <w:sz w:val="24"/>
                <w:szCs w:val="24"/>
              </w:rPr>
              <w:t xml:space="preserve">на 2012-2014 гг.</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16,8</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100,9</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8,7</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110,6</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145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46,4</w:t>
            </w:r>
          </w:p>
        </w:tc>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105,8</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105,9</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105,8</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11,1</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106,1</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105,8</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105,0</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107,3</w:t>
            </w:r>
          </w:p>
        </w:tc>
        <w:tc>
          <w:tcPr>
            <w:tcW w:type="dxa" w:w="145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107,4</w:t>
            </w:r>
          </w:p>
        </w:tc>
        <w:tc>
          <w:tcPr>
            <w:tcW w:type="dxa" w:w="14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Максимальный вклад (2,7 процентных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и сельского хозяйства будут умеренными и составят 0,5 и 0,6 процентных пункта, соответственно. Вклад сектора строительства, несмотря на небольшой удельный вес в структуре ВВП (8,2%) в среднем за год, превысит суммарный вклад промышленного и сельскохозяйственного секторов (1,1 процентных пункта) и составит 1,2 процентных пункта. Это обусловлено высоким темпом реального роста, прогнозируемым в строительстве на уровне 15,3% в среднем за год. В региональном разрезе свыше 50% ВВП будет традиционно формироваться в г. Бишкек и Чуйской области.</w:t>
      </w:r>
    </w:p>
    <w:p>
      <w:pPr>
        <w:spacing w:after="120"/>
        <w:jc w:val="both"/>
      </w:pPr>
      <w:r>
        <w:rPr>
          <w:rFonts w:ascii="Arial" w:cs="Arial" w:eastAsia="Arial" w:hAnsi="Arial"/>
          <w:sz w:val="24"/>
          <w:szCs w:val="24"/>
        </w:rPr>
        <w:t xml:space="preserve">Развитие секторов, формирующих ВВП по производству, будет происходить под влиянием спроса на производимые товары и услуги на внутреннем и внешних рынках.</w:t>
      </w:r>
    </w:p>
    <w:p>
      <w:pPr>
        <w:spacing w:after="120"/>
        <w:jc w:val="both"/>
      </w:pPr>
      <w:r>
        <w:rPr>
          <w:rFonts w:ascii="Arial" w:cs="Arial" w:eastAsia="Arial" w:hAnsi="Arial"/>
          <w:sz w:val="24"/>
          <w:szCs w:val="24"/>
        </w:rPr>
        <w:t xml:space="preserve">Основной вклад в валовый объем производимых услуг прогнозируется от г. Бишкек, Чуйской и Джалал-Абадской областей, суммарный удельный вес которых составит 77,8%.</w:t>
      </w:r>
    </w:p>
    <w:p>
      <w:pPr>
        <w:spacing w:after="120"/>
        <w:jc w:val="both"/>
      </w:pPr>
      <w:r>
        <w:rPr>
          <w:rFonts w:ascii="Arial" w:cs="Arial" w:eastAsia="Arial" w:hAnsi="Arial"/>
          <w:sz w:val="24"/>
          <w:szCs w:val="24"/>
        </w:rPr>
        <w:t xml:space="preserve">В этой сфере сконцентрированы огромные резервы для наращивания экономического потенциала и развития человеческих ресурсов страны. Начиная с 1998 года, сфера услуг стремительно развивается. В последние годы рост услуг обеспечивался, в основном, за счет расширения рыночных услуг, включая торговлю.</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5,4% в среднем за год. Основными задачами, которые намечено решить для устойчивого развития этой сферы, будут: (1) разработка и внедрение единой государственной политики регулирования сферы услуг; (2) снижение уровня неофициальной деятельности; (3) увеличение вклада добавленной стоимости сектора услуг в экономический рост страны; (4) улучшение администрирования налоговых доходов в этой сфере; (5) улучшение доступа предоставляемых услуг на всех территориях страны.</w:t>
      </w:r>
    </w:p>
    <w:p>
      <w:pPr>
        <w:spacing w:after="120"/>
        <w:jc w:val="both"/>
      </w:pPr>
      <w:r>
        <w:rPr>
          <w:rFonts w:ascii="Arial" w:cs="Arial" w:eastAsia="Arial" w:hAnsi="Arial"/>
          <w:sz w:val="24"/>
          <w:szCs w:val="24"/>
        </w:rPr>
        <w:t xml:space="preserve">Стимулирующим фактором расширения рыночных услуг станет оптимизация и сокращение количества государственных услуг. При этом, удельный вес рыночных услуг увеличится с 77% в 2011 году до 80% в 2014 году.</w:t>
      </w:r>
    </w:p>
    <w:p>
      <w:pPr>
        <w:spacing w:after="120"/>
        <w:jc w:val="both"/>
      </w:pPr>
      <w:r>
        <w:rPr>
          <w:rFonts w:ascii="Arial" w:cs="Arial" w:eastAsia="Arial" w:hAnsi="Arial"/>
          <w:sz w:val="24"/>
          <w:szCs w:val="24"/>
        </w:rPr>
        <w:t xml:space="preserve">Основными источниками роста и расширения рыночных услуг будут торговля, услуги транспорта и связи, удельный вес которых составит в среднем 74% в общем объеме рыночных услуг.</w:t>
      </w:r>
    </w:p>
    <w:p>
      <w:pPr>
        <w:spacing w:after="120"/>
        <w:jc w:val="both"/>
      </w:pPr>
      <w:r>
        <w:rPr>
          <w:rFonts w:ascii="Arial" w:cs="Arial" w:eastAsia="Arial" w:hAnsi="Arial"/>
          <w:sz w:val="24"/>
          <w:szCs w:val="24"/>
        </w:rPr>
        <w:t xml:space="preserve">Торговля будет одним из главных источников роста рыночных услуг. Среднегодовой темп реального роста торговли прогнозируется на уровне 8,4%, а удельный вес - 46% в структуре рыночных услуг.</w:t>
      </w:r>
    </w:p>
    <w:p>
      <w:pPr>
        <w:spacing w:after="120"/>
        <w:jc w:val="both"/>
      </w:pPr>
      <w:r>
        <w:rPr>
          <w:rFonts w:ascii="Arial" w:cs="Arial" w:eastAsia="Arial" w:hAnsi="Arial"/>
          <w:sz w:val="24"/>
          <w:szCs w:val="24"/>
        </w:rPr>
        <w:t xml:space="preserve">Основной проблемой развития этого направления рыночных услуг является наличие неофициальной торговли, составляющей около 70% от общего объема торговли. Для решения этой и других проблем намечено решение таких основных задач, как: (1) совершенствование нормативно-правовой базы; (2) всемерное обеспечение прав граждан на безопасность и качество товаров;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 (5) установление государственно-частного партнерства для расширения торговли и сокращения неофициальной деятельности.</w:t>
      </w:r>
    </w:p>
    <w:p>
      <w:pPr>
        <w:spacing w:after="120"/>
        <w:jc w:val="both"/>
      </w:pPr>
      <w:r>
        <w:rPr>
          <w:rFonts w:ascii="Arial" w:cs="Arial" w:eastAsia="Arial" w:hAnsi="Arial"/>
          <w:sz w:val="24"/>
          <w:szCs w:val="24"/>
        </w:rPr>
        <w:t xml:space="preserve">Другим важным направлением развития рыночных услуг будут транспортные услуги с реальным темпом роста на 6,9% в среднем за год и удельным весом 18% в общем объеме рыночных услуг. Учитывая, что основным видом транспорта, используемым в республике, является автомобильный транспорт, основными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 Основными задачами будут: (1) реабилитация шести маршрутов автомобильных дорог, представляющих собой международные транспортные коридоры5; (2) сохранение и улучшение внутренней сети автомобильных дорог; (3) обеспечение всех населенных пунктов республики автобусным маршрутным сообщением. Внедрение механизмов государственно-частного партнерства станет базовой основой политики в сфере развития транспортных услуг.</w:t>
      </w:r>
    </w:p>
    <w:p>
      <w:pPr>
        <w:spacing w:after="120"/>
        <w:jc w:val="both"/>
      </w:pPr>
      <w:r>
        <w:rPr>
          <w:rFonts w:ascii="Arial" w:cs="Arial" w:eastAsia="Arial" w:hAnsi="Arial"/>
          <w:sz w:val="24"/>
          <w:szCs w:val="24"/>
        </w:rPr>
        <w:t xml:space="preserve">Услуги связи будут еще одним значимым направлением поддержания устойчивого роста рыночных услуг, реальный рост которых прогнозируется на уровне - 7,8%, а удельный вес в общем объеме рыночных услуг - 11%. Услуги связи в последние годы динамично развиваются. Кыргызстан активно расширяет свое присутствие в перспективных сегментах телекоммуникационного рынка. Создаются возможности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 Основными задачами, которые предстоит решать в этой сфере в среднесрочной перспективе, будут: (1) совершенствование нормативно-правового регулирования; (2) стимулирование развития конкуренции и повышение инвестиционной привлекательности; (3) развитие системы радиомониторинга для обеспечения проверки выполнения условий лицензирования и частотных присвоений.</w:t>
      </w:r>
    </w:p>
    <w:p>
      <w:pPr>
        <w:spacing w:after="120"/>
        <w:jc w:val="both"/>
      </w:pPr>
      <w:r>
        <w:rPr>
          <w:rFonts w:ascii="Arial" w:cs="Arial" w:eastAsia="Arial" w:hAnsi="Arial"/>
          <w:sz w:val="24"/>
          <w:szCs w:val="24"/>
        </w:rPr>
        <w:t xml:space="preserve">Промышленный сектор6, несмотря на прогнозируемое снижение добычи золота на месторождении Кумтор на 11,6% к 2014 году, будет умеренно развиваться с реальным ростом производства на 3,0% в среднем за год с удельным весом 17,7% к ВВП.</w:t>
      </w:r>
    </w:p>
    <w:p>
      <w:pPr>
        <w:spacing w:after="120"/>
        <w:jc w:val="both"/>
      </w:pPr>
      <w:r>
        <w:rPr>
          <w:rFonts w:ascii="Arial" w:cs="Arial" w:eastAsia="Arial" w:hAnsi="Arial"/>
          <w:sz w:val="24"/>
          <w:szCs w:val="24"/>
        </w:rPr>
        <w:t xml:space="preserve">Без учета предприятий по разработке месторождения «Кумтор» в среднесрочной перспективе рост промышленного производства ожидается на уровне 8,8% в среднем за год за счет устойчивого роста производства в горнодобывающей отрасли и умеренного реального роста в обрабатывающей промышленности и энергетике.</w:t>
      </w:r>
    </w:p>
    <w:p>
      <w:pPr>
        <w:spacing w:after="120"/>
        <w:jc w:val="both"/>
      </w:pPr>
      <w:r>
        <w:rPr>
          <w:rFonts w:ascii="Arial" w:cs="Arial" w:eastAsia="Arial" w:hAnsi="Arial"/>
          <w:sz w:val="24"/>
          <w:szCs w:val="24"/>
        </w:rPr>
        <w:t xml:space="preserve">Прогнозируется, что устойчивые темпы реального роста производства на 8,1% в среднем за год в горнодобывающей отрасли будут достигнуты за счет: (а) увеличения добычи угля в 1,7 раза7; (б) увеличения добычи нефти на 3,8%8 через технологическое обновление оборудования по добыче нефти и более полную загрузку нефтеперерабатывающих предприятий.</w:t>
      </w:r>
    </w:p>
    <w:p>
      <w:pPr>
        <w:spacing w:after="120"/>
        <w:jc w:val="both"/>
      </w:pPr>
      <w:r>
        <w:rPr>
          <w:rFonts w:ascii="Arial" w:cs="Arial" w:eastAsia="Arial" w:hAnsi="Arial"/>
          <w:sz w:val="24"/>
          <w:szCs w:val="24"/>
        </w:rPr>
        <w:t xml:space="preserve">В обрабатывающей промышленности прогнозируется высокий рост производства в таких отраслях, как переработка сельскохозяйственной продукции (на 6,2%), текстильная и швейная промышленность (на 5,7%) и строительных материалов (23,3%).</w:t>
      </w:r>
    </w:p>
    <w:p>
      <w:pPr>
        <w:spacing w:after="120"/>
        <w:jc w:val="both"/>
      </w:pPr>
      <w:r>
        <w:rPr>
          <w:rFonts w:ascii="Arial" w:cs="Arial" w:eastAsia="Arial" w:hAnsi="Arial"/>
          <w:sz w:val="24"/>
          <w:szCs w:val="24"/>
        </w:rPr>
        <w:t xml:space="preserve">Увеличение переработки сельскохозяйственной продукции прогнозируется за счет роста производства пищевых продуктов, включая напитки и табак, сахар, муку, растительное масло, а также за счет сокращения теневой деятельности в алкогольной и табачной отраслях.</w:t>
      </w:r>
    </w:p>
    <w:p>
      <w:pPr>
        <w:spacing w:after="120"/>
        <w:jc w:val="both"/>
      </w:pPr>
      <w:r>
        <w:rPr>
          <w:rFonts w:ascii="Arial" w:cs="Arial" w:eastAsia="Arial" w:hAnsi="Arial"/>
          <w:sz w:val="24"/>
          <w:szCs w:val="24"/>
        </w:rPr>
        <w:t xml:space="preserve">В текстильной и швейной промышленности увеличение объемов производства прогнозируется за счет освоения новых рынков сбыта, максимальной загрузки производственных мощностей, увеличения экспортных поставок.</w:t>
      </w:r>
    </w:p>
    <w:p>
      <w:pPr>
        <w:spacing w:after="120"/>
        <w:jc w:val="both"/>
      </w:pPr>
      <w:r>
        <w:rPr>
          <w:rFonts w:ascii="Arial" w:cs="Arial" w:eastAsia="Arial" w:hAnsi="Arial"/>
          <w:sz w:val="24"/>
          <w:szCs w:val="24"/>
        </w:rPr>
        <w:t xml:space="preserve">В производстве строительных материалов существенный рост производства, в большей степени, будет определяться развитием цементного и стекольного производства, на долю которых приходится 60% от общего объема производства отрасли.</w:t>
      </w:r>
    </w:p>
    <w:p>
      <w:pPr>
        <w:spacing w:after="120"/>
        <w:jc w:val="both"/>
      </w:pPr>
      <w:r>
        <w:rPr>
          <w:rFonts w:ascii="Arial" w:cs="Arial" w:eastAsia="Arial" w:hAnsi="Arial"/>
          <w:sz w:val="24"/>
          <w:szCs w:val="24"/>
        </w:rPr>
        <w:t xml:space="preserve">В энергетической отрасли среднегодовой темп реального роста прогнозируется на уровне 4%, хотя сегодня имеют место благоприятные предпосылки для увеличения мощностей по производству электроэнергии в среднесрочной перспективе за счет завершения строительства Камбаратинской ГЭС-2, ввода новых мощностей за счет малых ГЭС. Кроме того, совместно с российской стороной намечено разработать и утвердить проект программы по строительству каскада ГЭС на реке Нарын.</w:t>
      </w:r>
    </w:p>
    <w:p>
      <w:pPr>
        <w:spacing w:after="120"/>
        <w:jc w:val="both"/>
      </w:pPr>
      <w:r>
        <w:rPr>
          <w:rFonts w:ascii="Arial" w:cs="Arial" w:eastAsia="Arial" w:hAnsi="Arial"/>
          <w:sz w:val="24"/>
          <w:szCs w:val="24"/>
        </w:rPr>
        <w:t xml:space="preserve">Однако, из-за отсутствия подтверждения относительно конкретных источников финансирования на эти цели в данном прогнозе приведен пессимистичный сценарий развития энергетической сферы, который к концу года может быть скорректирован при условии позитивных сдвигов по перспективам ее развития.</w:t>
      </w:r>
    </w:p>
    <w:p>
      <w:pPr>
        <w:spacing w:after="120"/>
        <w:jc w:val="both"/>
      </w:pPr>
      <w:r>
        <w:rPr>
          <w:rFonts w:ascii="Arial" w:cs="Arial" w:eastAsia="Arial" w:hAnsi="Arial"/>
          <w:sz w:val="24"/>
          <w:szCs w:val="24"/>
        </w:rPr>
        <w:t xml:space="preserve">Неизменными будут меры политики, направленные на финансовое оздоровление электроэнергетического сектора и недопущение роста дебиторской задолженности за потребленную электрическую энергию.</w:t>
      </w:r>
    </w:p>
    <w:p>
      <w:pPr>
        <w:spacing w:after="120"/>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и Джалал-Абадской областей и г. Бишкек. Суммарная доля вклада данных регионов в валовый выпуск промышленной продукции составит 93,2%.</w:t>
      </w:r>
    </w:p>
    <w:p>
      <w:pPr>
        <w:spacing w:after="120"/>
        <w:jc w:val="both"/>
      </w:pPr>
      <w:r>
        <w:rPr>
          <w:rFonts w:ascii="Arial" w:cs="Arial" w:eastAsia="Arial" w:hAnsi="Arial"/>
          <w:sz w:val="24"/>
          <w:szCs w:val="24"/>
        </w:rPr>
        <w:t xml:space="preserve">Среднегодовые темпы реального роста в сельском хозяйстве составят 3,5%, а удельный вес - 17,2% к ВВП. Отрасль сельского хозяйства будет оставаться приоритетной отраслью, так как уровень производства сельскохозяйственной продукции непосредственно связан с решением вопросов продовольственной безопасности страны.</w:t>
      </w:r>
    </w:p>
    <w:p>
      <w:pPr>
        <w:spacing w:after="120"/>
        <w:jc w:val="both"/>
      </w:pPr>
      <w:r>
        <w:rPr>
          <w:rFonts w:ascii="Arial" w:cs="Arial" w:eastAsia="Arial" w:hAnsi="Arial"/>
          <w:sz w:val="24"/>
          <w:szCs w:val="24"/>
        </w:rPr>
        <w:t xml:space="preserve">Поддержание устойчивого роста производства в аграрном секторе прогнозируется достичь за счет: (а) увеличения удельного веса высеваемых кондиционных семян зерновых культур; (б) внедрения севооборотов; (г) увеличения посевных площадей многолетних трав в структуре посевов; (д) сокращения неиспользованных пахотных земель; (е) обновления машинотракторного парка; (ж) улучшения генофонда племенных животных и работы по воспроизводству стада; (з) рационального использования пастбищ; (и) развития инновационных услуг на селе.</w:t>
      </w:r>
    </w:p>
    <w:p>
      <w:pPr>
        <w:spacing w:after="120"/>
        <w:jc w:val="both"/>
      </w:pPr>
      <w:r>
        <w:rPr>
          <w:rFonts w:ascii="Arial" w:cs="Arial" w:eastAsia="Arial" w:hAnsi="Arial"/>
          <w:sz w:val="24"/>
          <w:szCs w:val="24"/>
        </w:rPr>
        <w:t xml:space="preserve">Улучшение продуктивности животных предполагается осуществлять через селекционно-племенную работу. С этой целью разработан проект документов о создании Центра по организации, координации селекционно-племенной работы и искусственному осеменению животных. Особое внимание будет уделено улучшению эпизоотологической безопасности на территории республики.</w:t>
      </w:r>
    </w:p>
    <w:p>
      <w:pPr>
        <w:spacing w:after="120"/>
        <w:jc w:val="both"/>
      </w:pPr>
      <w:r>
        <w:rPr>
          <w:rFonts w:ascii="Arial" w:cs="Arial" w:eastAsia="Arial" w:hAnsi="Arial"/>
          <w:sz w:val="24"/>
          <w:szCs w:val="24"/>
        </w:rPr>
        <w:t xml:space="preserve">Реализация обозначенных на прогнозируемый период мер политики развития аграрного сектора позволит:(а) проводить посевные и уборочные работы в оптимальные агротехнологические сроки; (б) повысить урожайность сельскохозяйственных культур и доходность сельскохозяйственных товаропроизводителей; (в) увеличить экспорт сельхозпродукции. В среднесрочной перспективе ожидается увеличение реальных темпов роста сельского хозяйства практически во всех регионах.</w:t>
      </w:r>
    </w:p>
    <w:p>
      <w:pPr>
        <w:spacing w:after="120"/>
        <w:jc w:val="both"/>
      </w:pPr>
      <w:r>
        <w:rPr>
          <w:rFonts w:ascii="Arial" w:cs="Arial" w:eastAsia="Arial" w:hAnsi="Arial"/>
          <w:sz w:val="24"/>
          <w:szCs w:val="24"/>
        </w:rPr>
        <w:t xml:space="preserve">Прогнозируется, что строительный сектор экономики будет развиваться ускоренно и станет одним из значимых направлений, обеспечивающих устойчивый рост национальной экономики в среднесрочной перспективе. Темп реального роста в этом секторе составит 15,3% в среднем за год. При этом, удельный вес строительной отрасли возрастет с 7,6% к ВВП в 2012 году до 8,7% к ВВП - в 2014 году. Приоритетными направлениями в строительстве будут объекты строительства индивидуального жилья; объекты транспортной магистрали9; объекты золотодобычи («Талды-Булак Левобережный», «Андаш», Терексайский рудник); объекты энергетики (строительство Камбар-Ата-1, запуск 2-го гидроагрегата Камбаратинской ГЭС-2, малые ГЭС, а также работы по строительству линий электропередачи, связывающих территорию страны в единое энергетическое кольцо); объекты инфраструктуры туристической индустрии.</w:t>
      </w:r>
    </w:p>
    <w:p>
      <w:pPr>
        <w:spacing w:after="120"/>
        <w:jc w:val="both"/>
      </w:pPr>
      <w:r>
        <w:rPr>
          <w:rFonts w:ascii="Arial" w:cs="Arial" w:eastAsia="Arial" w:hAnsi="Arial"/>
          <w:sz w:val="24"/>
          <w:szCs w:val="24"/>
        </w:rPr>
        <w:t xml:space="preserve">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 а также рост производства на ряде предприятий машиностроения.</w:t>
      </w:r>
    </w:p>
    <w:p>
      <w:pPr>
        <w:spacing w:after="120"/>
        <w:jc w:val="both"/>
      </w:pPr>
      <w:r>
        <w:rPr>
          <w:rFonts w:ascii="Arial" w:cs="Arial" w:eastAsia="Arial" w:hAnsi="Arial"/>
          <w:sz w:val="24"/>
          <w:szCs w:val="24"/>
        </w:rPr>
        <w:t xml:space="preserve">В региональном разрезе основной объем строительных работ прогнозируется в Ошской, Джалал-Абадской, Иссык-Кульской областях и в г. Бишкек. Суммарная доля данных регионов в составе валового выпуска строительства составит 79,6%. Это будет связано с завершением работ по восстановлению пострадавших южных регионов, строительства объектов энергетики в Джалал-Абадской области, строительных работ туристической инфраструктуры в Иссык-Кульской области, прогнозируемым строительством жилья в г. Бишкек и на всей территории республики.</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2012-2014 годы номинально возрастет на 45,6% (с 75995,2 млн. сомов в 2012 году до 110671,7 млн. сомов в 2014 году). Структура капитальных вложений относительно сложившейся в 2011 году, изменится в сторону увеличения доли внутренних (с 77% в 2012 году до 77,6% в 2014 году) и сокращения доли внешних источников финансирования капитальных вложений (с 23% в 2012 году до 22,4% в 2014 году).</w:t>
      </w:r>
    </w:p>
    <w:p>
      <w:pPr>
        <w:spacing w:after="120"/>
        <w:jc w:val="both"/>
      </w:pPr>
      <w:r>
        <w:rPr>
          <w:rFonts w:ascii="Arial" w:cs="Arial" w:eastAsia="Arial" w:hAnsi="Arial"/>
          <w:sz w:val="24"/>
          <w:szCs w:val="24"/>
        </w:rPr>
        <w:t xml:space="preserve">Капитальные вложения из республиканского бюджета будут направляться, преимущественно, на строительство и реконструкцию объектов социальной инфраструктуры, включая их финансирование по линии МЧС.</w:t>
      </w:r>
    </w:p>
    <w:p>
      <w:pPr>
        <w:spacing w:after="120"/>
        <w:jc w:val="both"/>
      </w:pPr>
      <w:r>
        <w:rPr>
          <w:rFonts w:ascii="Arial" w:cs="Arial" w:eastAsia="Arial" w:hAnsi="Arial"/>
          <w:sz w:val="24"/>
          <w:szCs w:val="24"/>
        </w:rPr>
        <w:t xml:space="preserve">Из внутренних источников также прогнозируется существенное расширение частного строительства, куда будет направлено более 60 процентов от всего объема капитальных вложений, преимущественно, средств населения, предприятий и организаций.</w:t>
      </w:r>
    </w:p>
    <w:p>
      <w:pPr>
        <w:spacing w:after="120"/>
        <w:jc w:val="both"/>
      </w:pPr>
      <w:r>
        <w:rPr>
          <w:rFonts w:ascii="Arial" w:cs="Arial" w:eastAsia="Arial" w:hAnsi="Arial"/>
          <w:sz w:val="24"/>
          <w:szCs w:val="24"/>
        </w:rPr>
        <w:t xml:space="preserve">Объем валовых накоплений в основной капитал, исходя из прогнозируемого уровня капитальных вложений, номинально возрастет в 1,4 раза (с 86,4 млрд. сомов в 2012 году до 122,3 млрд. сомов в 2014 году). Их удельный вес составит 31,7% к ВВП в среднем за год, а среднегодовой темп реального роста прогнозируется на уровне 11,1%. Рост валовых инвестиций должен стать надежным источником прогнозируемого экономического роста в 2012-2014 годы на уровне 5,6% в среднем за год. При этом, удельный вес частных инвестиций возрастет с 83,7% в 2012 году до 88,5% в 2014 году от общего объема валовых инвестиций, в то время как государственные инвестиции, включая ПГИ, снизятся с 16,3% в 2012 году до 11,5% в 2014 году. Ресурсы ПГИ, в основном, будут направляться на финансирование проектов транспортной инфраструктуры, сельского хозяйства, включая ирригацию и сельское водоснабжение.</w:t>
      </w:r>
    </w:p>
    <w:p>
      <w:pPr>
        <w:spacing w:after="120"/>
        <w:jc w:val="both"/>
      </w:pPr>
      <w:r>
        <w:rPr>
          <w:rFonts w:ascii="Arial" w:cs="Arial" w:eastAsia="Arial" w:hAnsi="Arial"/>
          <w:sz w:val="24"/>
          <w:szCs w:val="24"/>
        </w:rPr>
        <w:t xml:space="preserve">При этом, приток прямых иностранных инвестиций в ближайшие три года возрастет в 1,9 раза и составит 46,6 млрд. сомов или 970,5 млн. долларов США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 Объем притока прямых иностранных инвестиций в 2010-2014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3"/>
        <w:gridCol w:w="1177"/>
        <w:gridCol w:w="1177"/>
        <w:gridCol w:w="1177"/>
        <w:gridCol w:w="1177"/>
        <w:gridCol w:w="1177"/>
      </w:tblGrid>
      <w:tr>
        <w:tc>
          <w:tcPr>
            <w:tcW w:type="dxa" w:w="42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w:t>
            </w:r>
          </w:p>
        </w:tc>
      </w:tr>
      <w:tr>
        <w:tc>
          <w:tcPr>
            <w:tcW w:type="dxa" w:w="4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ПИИ (млн. долл.)</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446,0</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517,4</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754,6</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912,4</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условии создания и эффективного функционирования институтов развития, включая институт по привлечению и продвижению прямых иностранных инвестиций, объем привлеченных инвестиций может превысить их уровень, прогнозируемый к 2014 году. Привлекательными направлениями привлечения прямых иностранных инвестиций в этот период будут сфера горнодобычи, энергетика, переработка сельскохозяйственной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 Использование ВВП в 2012-2014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3"/>
        <w:gridCol w:w="1372"/>
        <w:gridCol w:w="1372"/>
        <w:gridCol w:w="1372"/>
      </w:tblGrid>
      <w:tr>
        <w:tc>
          <w:tcPr>
            <w:tcW w:type="dxa" w:w="606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3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13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w:t>
            </w:r>
          </w:p>
        </w:tc>
        <w:tc>
          <w:tcPr>
            <w:tcW w:type="dxa" w:w="13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рыночных ценах</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Потребление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ПГИ (внешние)</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(товары и нефакторные услуги)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(товары и нефакторные услуги)</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83,2</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81,4</w:t>
            </w:r>
          </w:p>
        </w:tc>
      </w:tr>
      <w:tr>
        <w:tc>
          <w:tcPr>
            <w:tcW w:type="dxa" w:w="60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влияющими факторами на развитие внешнеэкономической деятельности в 2012-2014 годы будут: (а) преимущества членства республики в ВТО; (б) сближение с Таможенным союзом и последующее вступление в эту организацию; (в) двустороннее сотрудничество на взаимовыгодной основе; (г) участие Кыргызстана в ЕврАзЭС и (д) углубление внешнеэкономического сотрудничества с Россией и Китаем. Возрастающее значение будет иметь экспорт услуг, в т.ч. туристических.</w:t>
      </w:r>
    </w:p>
    <w:p>
      <w:pPr>
        <w:spacing w:after="120"/>
        <w:jc w:val="both"/>
      </w:pPr>
      <w:r>
        <w:rPr>
          <w:rFonts w:ascii="Arial" w:cs="Arial" w:eastAsia="Arial" w:hAnsi="Arial"/>
          <w:sz w:val="24"/>
          <w:szCs w:val="24"/>
        </w:rPr>
        <w:t xml:space="preserve">Прогнозируется, что номинальный объем внешнеторгового оборота с учетом всех этих факторов достигнет в 2014 году 8,0 млрд. долларов США и возрастет относительно 2011 года в 1,5 раза. Отрицательное сальдо торгового баланса за этот период существенно не сократится, и составит в 2014 году 1200 млн. долларов США относительно 1400 млн. долларов США в 2011 году. Номинальный объем экспорта товаров составит 3400 млн. долларов США, а импорта - 4600 млн. долларов США. Как и прежде, основной статьей экспорта будет золото, хотя его удельный вес в 2014 году снизится до 31% от общего объема экспорта из-за прогнозируемого снижения добычи золота на месторождении Кумтор на 11,6%. При этом возрастут экспортные поставки овощей и фруктов, цемента, швейных изделий. Рост импорта будет традиционно связан с возрастающими поставками нефтепродуктов, инвестиционных и промежуточных товаров. Импорт инвестиционных товаров в условиях прогнозируемого улучшения бизнес-среды будет увеличиваться на 10,6% в среднем за год. В структуре импорта доля инвестиционных товаров увеличится с 15,9% в 2012 году до 18,4% в 2014 году. При этом доля потребительских товаров будет постепенно снижаться.</w:t>
      </w:r>
    </w:p>
    <w:p>
      <w:pPr>
        <w:spacing w:after="120"/>
        <w:jc w:val="both"/>
      </w:pPr>
      <w:r>
        <w:rPr>
          <w:rFonts w:ascii="Arial" w:cs="Arial" w:eastAsia="Arial" w:hAnsi="Arial"/>
          <w:sz w:val="24"/>
          <w:szCs w:val="24"/>
        </w:rPr>
        <w:t xml:space="preserve">Исходя из прогнозных показателей роста экспорта и импорта, сальдо чистого экспорта товаров и услуг сократится с (-31,0%) к ВВП в 2012 году до (-30,0%) к ВВП в 2014 году.</w:t>
      </w:r>
    </w:p>
    <w:p>
      <w:pPr>
        <w:spacing w:after="120"/>
        <w:jc w:val="both"/>
      </w:pPr>
      <w:r>
        <w:rPr>
          <w:rFonts w:ascii="Arial" w:cs="Arial" w:eastAsia="Arial" w:hAnsi="Arial"/>
          <w:sz w:val="24"/>
          <w:szCs w:val="24"/>
        </w:rPr>
        <w:t xml:space="preserve">Политика социального развития в среднесрочной перспективе будет направлена: (а) на улучшение качества жизни населения и снижение масштабов бедности; (б) на обеспечение системы социальных гарантий и денежных компенсаций; (б) на поддержку уязвимых категорий граждан со стороны государства; (в) на повышение эффективности пенсионного обеспечения через постепенное увеличение размеров пенсий и развитие накопительной пенсионной системы; (г) на активные меры государственного регулирования рынка труда и повышение качества трудовых ресурсов; (д) на снижение смертности населения, особенно младенческой и материнской; (е) на предоставление качественного образования; (ж) на существенное улучшение социальной инфраструктуры, особенно в сельской местности.</w:t>
      </w:r>
    </w:p>
    <w:p>
      <w:pPr>
        <w:spacing w:after="120"/>
        <w:jc w:val="both"/>
      </w:pPr>
      <w:r>
        <w:rPr>
          <w:rFonts w:ascii="Arial" w:cs="Arial" w:eastAsia="Arial" w:hAnsi="Arial"/>
          <w:sz w:val="24"/>
          <w:szCs w:val="24"/>
        </w:rPr>
        <w:t xml:space="preserve">Прогнозируется, что денежные доходы населения номинально возрастут на 52,2% к уровню 2011 года и их объем в 2014 году составит 307515 млн. сомов. С учетом прогнозируемого роста потребительских цен реальный темп роста денежных доходов составит 5,4% в среднем за год. Источником роста денежных доходов будет устойчивый экономический рост, прогнозируемый на период 2012-2014 годы. В структуре денежных доходов номинальный размер средней заработной платы возрастет на 61,3% к уровню 2011 года и составит в 2014 году 15553 сом. Номинальный размер пенсий увеличится относительно 2011 года на 34,3% и составит в 2014 году 4225 сомов. Относительно роста денежных доходов реальный темп роста частного потребления прогнозируется более умеренным, на 3,6% в среднем за год, что является благоприятным фактором накопления сбережений и их трансформации в инвестиции для поддержания экономического роста.</w:t>
      </w:r>
    </w:p>
    <w:p>
      <w:pPr>
        <w:spacing w:after="120"/>
        <w:jc w:val="both"/>
      </w:pPr>
      <w:r>
        <w:rPr>
          <w:rFonts w:ascii="Arial" w:cs="Arial" w:eastAsia="Arial" w:hAnsi="Arial"/>
          <w:sz w:val="24"/>
          <w:szCs w:val="24"/>
        </w:rPr>
        <w:t xml:space="preserve">Политика регулирования рынка труда будет ориентирована: (а) на повышение качества трудовых ресурсов; (б) содействие созданию рабочих мест во всех регионах через запуск производства и проектов на местах; (в) на повышение эффективности государственного регулирования миграционных процессов. Прогнозируется, что уровень общей безработицы в 2014 году снизится и составит в 2014 году 7,9% относительно 8,6%, фактически сложившегося уровня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6"/>
        <w:gridCol w:w="1030"/>
        <w:gridCol w:w="957"/>
        <w:gridCol w:w="770"/>
        <w:gridCol w:w="715"/>
        <w:gridCol w:w="715"/>
        <w:gridCol w:w="715"/>
        <w:gridCol w:w="770"/>
        <w:gridCol w:w="770"/>
        <w:gridCol w:w="770"/>
      </w:tblGrid>
      <w:tr>
        <w:tc>
          <w:tcPr>
            <w:tcW w:type="dxa" w:w="2966"/>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измер.</w:t>
            </w:r>
          </w:p>
        </w:tc>
        <w:tc>
          <w:tcPr>
            <w:tcW w:type="dxa" w:w="9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14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 ПРОИЗВОДСТВО ВВП:</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Номинальный ВВП</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46968,5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98667,9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173521,5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286743,3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325630,4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367117,7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Дефлятор</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Добавленная стоимость</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41093,3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48423,4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13268,3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22283,7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31690,2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53035,6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57946,4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61584,9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39334,8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44385,4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3958,0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10470,8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33202,2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49659,9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55664,0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62624,5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16841,9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21663,2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26801,1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31924,4</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97397,5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114505,8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22526,8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49368,1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79417,1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131098,9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149405,8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170321,0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Справка: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192273,4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228566,9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40271,5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88229,4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264033,3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302842,4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346683,2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Дефлятор</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ИСПОЛЬЗОВАНИЕ ВВП:</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Конечное потребление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218780,9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257577,0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289128,7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320287,5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355154,0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 потребление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177796,1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210236,7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236897,9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292970,4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потребление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40 984,8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47 340,3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52230,8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56990,3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62183,6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54237,9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70243,0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86411,7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103054,0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122276,9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16 233,5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14 114,9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15 062,1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14 061,8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5 979,5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10 373,9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9 480,2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10 098,4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8 358,9</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54009,5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72296,8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87991,9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108215,1</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-76626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-110313</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товаров и услуг</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123033,1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140712,9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155726,1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173304,4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188365,2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 и услуг</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183874,5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217338,7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244523,2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271015,5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298678,5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СОЦИАЛЬНЫЕ ПОКАЗАТЕЛИ</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67,7</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1265,7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Уровень бедности</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164296,7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202084,9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232507,8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266889,2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307515,0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4220,7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4647,0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5490,7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w:t>
            </w:r>
          </w:p>
          <w:p>
            <w:pPr>
              <w:jc w:val="left"/>
            </w:pPr>
            <w:r>
              <w:rPr>
                <w:rFonts w:ascii="Arial" w:cs="Arial" w:eastAsia="Arial" w:hAnsi="Arial"/>
                <w:sz w:val="24"/>
                <w:szCs w:val="24"/>
              </w:rPr>
              <w:t xml:space="preserve">на взрослое население</w:t>
            </w:r>
          </w:p>
          <w:p>
            <w:pPr>
              <w:jc w:val="left"/>
            </w:pPr>
            <w:r>
              <w:rPr>
                <w:rFonts w:ascii="Arial" w:cs="Arial" w:eastAsia="Arial" w:hAnsi="Arial"/>
                <w:sz w:val="24"/>
                <w:szCs w:val="24"/>
              </w:rPr>
              <w:t xml:space="preserve">трудоспособного возраста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6122,1</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w:t>
            </w:r>
          </w:p>
          <w:p>
            <w:pPr>
              <w:jc w:val="left"/>
            </w:pPr>
            <w:r>
              <w:rPr>
                <w:rFonts w:ascii="Arial" w:cs="Arial" w:eastAsia="Arial" w:hAnsi="Arial"/>
                <w:sz w:val="24"/>
                <w:szCs w:val="24"/>
              </w:rPr>
              <w:t xml:space="preserve">на взрослое население</w:t>
            </w:r>
          </w:p>
          <w:p>
            <w:pPr>
              <w:jc w:val="left"/>
            </w:pPr>
            <w:r>
              <w:rPr>
                <w:rFonts w:ascii="Arial" w:cs="Arial" w:eastAsia="Arial" w:hAnsi="Arial"/>
                <w:sz w:val="24"/>
                <w:szCs w:val="24"/>
              </w:rPr>
              <w:t xml:space="preserve">пенсионного возраста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4933,0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Среднегодовая наличная</w:t>
            </w:r>
          </w:p>
          <w:p>
            <w:pPr>
              <w:jc w:val="left"/>
            </w:pPr>
            <w:r>
              <w:rPr>
                <w:rFonts w:ascii="Arial" w:cs="Arial" w:eastAsia="Arial" w:hAnsi="Arial"/>
                <w:sz w:val="24"/>
                <w:szCs w:val="24"/>
              </w:rPr>
              <w:t xml:space="preserve">численность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5192,8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5249,0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5418,8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Среднемесячная заработная плата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9645,0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13293,1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15553,0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ПМ на трудоспособное население</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Среднемесячный размер пенсий</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4225</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ПМ пенсионера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потребительских цен (ИПЦ)</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 декабрю предыдущего года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 предыдущему году</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сом/долл.</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45,96</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ТРУДОВЫЕ РЕСУРСЫ</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экономически</w:t>
            </w:r>
          </w:p>
          <w:p>
            <w:pPr>
              <w:jc w:val="left"/>
            </w:pPr>
            <w:r>
              <w:rPr>
                <w:rFonts w:ascii="Arial" w:cs="Arial" w:eastAsia="Arial" w:hAnsi="Arial"/>
                <w:sz w:val="24"/>
                <w:szCs w:val="24"/>
              </w:rPr>
              <w:t xml:space="preserve">активного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2488,7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2611,7</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занятого населения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2379,4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2318,5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2405,4</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безработных (общая)</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206,3</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Уровень общей безработицы</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Без учета малых предприятий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5"/>
        <w:gridCol w:w="997"/>
        <w:gridCol w:w="778"/>
        <w:gridCol w:w="827"/>
        <w:gridCol w:w="827"/>
        <w:gridCol w:w="827"/>
        <w:gridCol w:w="869"/>
        <w:gridCol w:w="861"/>
        <w:gridCol w:w="926"/>
      </w:tblGrid>
      <w:tr>
        <w:tc>
          <w:tcPr>
            <w:tcW w:type="dxa" w:w="326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9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48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ВВП</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Справка:</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учета предприятий</w:t>
            </w:r>
          </w:p>
          <w:p>
            <w:pPr>
              <w:jc w:val="left"/>
            </w:pPr>
            <w:r>
              <w:rPr>
                <w:rFonts w:ascii="Arial" w:cs="Arial" w:eastAsia="Arial" w:hAnsi="Arial"/>
                <w:sz w:val="24"/>
                <w:szCs w:val="24"/>
              </w:rPr>
              <w:t xml:space="preserve"> по разработке месторождения «Кумтор»</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Налоги на продукты</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83,8</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53,2</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86,7</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83,2</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81,4</w:t>
            </w:r>
          </w:p>
        </w:tc>
      </w:tr>
      <w:tr>
        <w:tc>
          <w:tcPr>
            <w:tcW w:type="dxa" w:w="3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 товаров и услуг (% от ВВП)</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w:t>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3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методике Международного Валютного Фонда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1"/>
        <w:gridCol w:w="855"/>
        <w:gridCol w:w="940"/>
        <w:gridCol w:w="940"/>
        <w:gridCol w:w="793"/>
        <w:gridCol w:w="793"/>
        <w:gridCol w:w="793"/>
        <w:gridCol w:w="971"/>
        <w:gridCol w:w="971"/>
        <w:gridCol w:w="981"/>
      </w:tblGrid>
      <w:tr>
        <w:tc>
          <w:tcPr>
            <w:tcW w:type="dxa" w:w="2141"/>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измер.</w:t>
            </w:r>
          </w:p>
        </w:tc>
        <w:tc>
          <w:tcPr>
            <w:tcW w:type="dxa" w:w="9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37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8"/>
            <w:gridSpan w:val="1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14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Налоговые поступления ГНС и ГТС</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39362,4</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50540,0</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55636,2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60024,8</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67201,3</w:t>
            </w:r>
          </w:p>
        </w:tc>
      </w:tr>
      <w:tr>
        <w:tc>
          <w:tcPr>
            <w:tcW w:type="dxa" w:w="214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109,04</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128,40</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107,89</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111,96</w:t>
            </w:r>
          </w:p>
        </w:tc>
      </w:tr>
      <w:tr>
        <w:tc>
          <w:tcPr>
            <w:tcW w:type="dxa" w:w="214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 вес к ВВП</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18,55</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998"/>
        <w:gridCol w:w="770"/>
        <w:gridCol w:w="715"/>
        <w:gridCol w:w="715"/>
        <w:gridCol w:w="715"/>
        <w:gridCol w:w="770"/>
        <w:gridCol w:w="813"/>
        <w:gridCol w:w="770"/>
      </w:tblGrid>
      <w:tr>
        <w:tc>
          <w:tcPr>
            <w:tcW w:type="dxa" w:w="39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14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116048,0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130948,6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11656,5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29663,7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93909,0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146509,8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164223,6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184758,9</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ПРОМЫШЛЕННОСТЬ1,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126081,2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148571,2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40658,9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68340,6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97380,9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162722,3</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177789,4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188952,8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ПРОМЫШЛЕННОСТЬ2,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124411,5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146373,0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39833,1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67519,8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96216,1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159921,4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174163,8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184648,0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2950,1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3427,2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3878,8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4499,5</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117384,7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29833,6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52915,0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75368,4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127741,3</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138449,1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144164,8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w:t>
            </w:r>
          </w:p>
          <w:p>
            <w:pPr>
              <w:jc w:val="left"/>
            </w:pPr>
            <w:r>
              <w:rPr>
                <w:rFonts w:ascii="Arial" w:cs="Arial" w:eastAsia="Arial" w:hAnsi="Arial"/>
                <w:sz w:val="24"/>
                <w:szCs w:val="24"/>
              </w:rPr>
              <w:t xml:space="preserve"> включая напитки и табак</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19 958,0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4 054,5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8 623,3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14 046,3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23 051,5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26 833,0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31 008,2</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w:t>
            </w:r>
          </w:p>
          <w:p>
            <w:pPr>
              <w:jc w:val="left"/>
            </w:pPr>
            <w:r>
              <w:rPr>
                <w:rFonts w:ascii="Arial" w:cs="Arial" w:eastAsia="Arial" w:hAnsi="Arial"/>
                <w:sz w:val="24"/>
                <w:szCs w:val="24"/>
              </w:rPr>
              <w:t xml:space="preserve">электроэнергии, газа и воды</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21 645,8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26 038,1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9 574,4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13635,9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18 991,3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28 752,8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31 835,9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35 983,7</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w:t>
            </w:r>
          </w:p>
          <w:p>
            <w:pPr>
              <w:jc w:val="left"/>
            </w:pPr>
            <w:r>
              <w:rPr>
                <w:rFonts w:ascii="Arial" w:cs="Arial" w:eastAsia="Arial" w:hAnsi="Arial"/>
                <w:sz w:val="24"/>
                <w:szCs w:val="24"/>
              </w:rPr>
              <w:t xml:space="preserve"> по разработке месторождения «Кумтор»</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61809,9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75206,0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18636,4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34633,0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53586,7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88494,5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102 491,4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120377,9</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w:t>
            </w:r>
          </w:p>
          <w:p>
            <w:pPr>
              <w:jc w:val="left"/>
            </w:pPr>
            <w:r>
              <w:rPr>
                <w:rFonts w:ascii="Arial" w:cs="Arial" w:eastAsia="Arial" w:hAnsi="Arial"/>
                <w:sz w:val="24"/>
                <w:szCs w:val="24"/>
              </w:rPr>
              <w:t xml:space="preserve"> по разработке месторождения</w:t>
            </w:r>
          </w:p>
          <w:p>
            <w:pPr>
              <w:jc w:val="left"/>
            </w:pPr>
            <w:r>
              <w:rPr>
                <w:rFonts w:ascii="Arial" w:cs="Arial" w:eastAsia="Arial" w:hAnsi="Arial"/>
                <w:sz w:val="24"/>
                <w:szCs w:val="24"/>
              </w:rPr>
              <w:t xml:space="preserve"> «Кумтор» и энергетики</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40 164,1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49 167,9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9 062,0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20997,1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34 595,4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59 741,7</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70 655,5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84 394,2</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по разработке месторождения</w:t>
            </w:r>
          </w:p>
          <w:p>
            <w:pPr>
              <w:jc w:val="left"/>
            </w:pPr>
            <w:r>
              <w:rPr>
                <w:rFonts w:ascii="Arial" w:cs="Arial" w:eastAsia="Arial" w:hAnsi="Arial"/>
                <w:sz w:val="24"/>
                <w:szCs w:val="24"/>
              </w:rPr>
              <w:t xml:space="preserve"> «Кумтор»</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62 601,6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71 167,0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21196,6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32886,8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42629,4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71426,9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64270,1</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35989,5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50515,7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10204,2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15679,4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64976,8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80387,3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95754,3</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180162,3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211808,6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41312,4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89299,1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145131,1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242501,9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276365,2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315053,4</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торговля; ремонт автомоб., бытовых изделий</w:t>
            </w:r>
          </w:p>
          <w:p>
            <w:pPr>
              <w:jc w:val="left"/>
            </w:pPr>
            <w:r>
              <w:rPr>
                <w:rFonts w:ascii="Arial" w:cs="Arial" w:eastAsia="Arial" w:hAnsi="Arial"/>
                <w:sz w:val="24"/>
                <w:szCs w:val="24"/>
              </w:rPr>
              <w:t xml:space="preserve">и предметов личного пользования,</w:t>
            </w:r>
          </w:p>
          <w:p>
            <w:pPr>
              <w:jc w:val="left"/>
            </w:pPr>
            <w:r>
              <w:rPr>
                <w:rFonts w:ascii="Arial" w:cs="Arial" w:eastAsia="Arial" w:hAnsi="Arial"/>
                <w:sz w:val="24"/>
                <w:szCs w:val="24"/>
              </w:rPr>
              <w:t xml:space="preserve">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57109,2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72716,8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13217,1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27122,1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46890,4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86297,2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100734,4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117267,9</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10801,8</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12575,6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14609,7</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 и связь, млн. сомов</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39551,2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45087,0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9716,1</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20002,2</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31811,0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52418,4</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61219,8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71681,4</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391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5"/>
        <w:gridCol w:w="770"/>
        <w:gridCol w:w="770"/>
        <w:gridCol w:w="688"/>
        <w:gridCol w:w="688"/>
        <w:gridCol w:w="688"/>
        <w:gridCol w:w="770"/>
        <w:gridCol w:w="770"/>
        <w:gridCol w:w="770"/>
      </w:tblGrid>
      <w:tr>
        <w:tc>
          <w:tcPr>
            <w:tcW w:type="dxa" w:w="42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06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w:t>
            </w:r>
          </w:p>
          <w:p>
            <w:pPr>
              <w:jc w:val="left"/>
            </w:pPr>
            <w:r>
              <w:rPr>
                <w:rFonts w:ascii="Arial" w:cs="Arial" w:eastAsia="Arial" w:hAnsi="Arial"/>
                <w:sz w:val="24"/>
                <w:szCs w:val="24"/>
              </w:rPr>
              <w:t xml:space="preserve">(включая рыбное хозяйство),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116048,0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130948,6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11656,5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29663,7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93909,0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146509,8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164223,6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184758,9</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61485,3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71465,9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3721,4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51854,8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82515,6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94082,1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106077,1</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19425,1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21728,7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29025,3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Зерно (в весе после доработки),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Хлопок (в зачетном весе),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3629,0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5064,0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Хлопок (в зачетном весе),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(в зачетном весе),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749,2</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(в зачетном весе),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Сахарная свекла (фабричная),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2033,7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Сахарная свекла (фабричная),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Масличные культуры,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1698,2</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Масличные культуры ,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Картофель,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11679,5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13387,7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17182,0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21016,0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24633,0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Картофель,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1339,4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Овощи,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13867,2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15840,0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17179,0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18778,5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Овощи,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834,6</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Бахчи продовольственные,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1384,1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1646,4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Бахчи продовольственные,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Плоды и ягоды,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5597,0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6968,5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8022,0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9130,0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Плоды и ягоды,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Виноград,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685,3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Виноград,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в действ. ценах</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9414,6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9943,8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11079,8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Животноводство,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52050,3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56970,3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11215,2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25291,9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40565,3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61481,8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67629,1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76169,5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Скот и птица на убой (в живом весе),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32086,0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35702,1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38612,6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42876,0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48960,0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Скот и птица на убой (в живом весе),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377,8</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397,0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408,0</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Молоко сырое,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17045,0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18017,3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19258,8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20808,2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22752,0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Молоко сырое,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1569,1</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Яйца,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1690,7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1978,1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2577,3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3035,3</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Яйца, млн. штук</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404,7</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Шерсть, млн. сомов</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275,1</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327,8</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Шерсть, тыс. тонн</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966,3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1094,5</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4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Услуги</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141,9</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2288,7</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Охота и лесное хозяйство</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210,4</w:t>
            </w:r>
          </w:p>
        </w:tc>
      </w:tr>
      <w:tr>
        <w:tc>
          <w:tcPr>
            <w:tcW w:type="dxa" w:w="426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Рыбоводство, рыболовство</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 Кыргызской Республики на 2011-2014 годы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0"/>
        <w:gridCol w:w="947"/>
        <w:gridCol w:w="947"/>
        <w:gridCol w:w="837"/>
        <w:gridCol w:w="837"/>
        <w:gridCol w:w="837"/>
        <w:gridCol w:w="877"/>
        <w:gridCol w:w="947"/>
        <w:gridCol w:w="879"/>
      </w:tblGrid>
      <w:tr>
        <w:tc>
          <w:tcPr>
            <w:tcW w:type="dxa" w:w="3070"/>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51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w:t>
            </w:r>
          </w:p>
          <w:p>
            <w:pPr>
              <w:jc w:val="left"/>
            </w:pPr>
            <w:r>
              <w:rPr>
                <w:rFonts w:ascii="Arial" w:cs="Arial" w:eastAsia="Arial" w:hAnsi="Arial"/>
                <w:sz w:val="24"/>
                <w:szCs w:val="24"/>
              </w:rPr>
              <w:t xml:space="preserve">факт</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полуг.</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млн. сомов</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126081,2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148571,2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40658,9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68340,6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97380,9</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162722,3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177789,4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188952,8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КУМТОР,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62 601,6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71 167,0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21196,6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32886,8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42 629,4</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71 426,9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71 672,4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64 270,1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Кумтора,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63 479,6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77 404,2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19462,3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35453,7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54 751,5</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91 295,4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106117,0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124 682,7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 Горнодобывающая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2 614,4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2 951,0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3 428,2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3 879,9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4 500,7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 Добыча топливно-энергетических полезных ископаемых</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1 758,9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2 013,4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2 394,5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2 740,4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3 244,5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Добыча полезных ископаемых, кроме топливно-энергетических</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937,6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1 033,7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1 139,5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1 256,2</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108293,0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127374,4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139 153,2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151619,8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159 275,5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 Переработка с/х продуктов</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20 676,5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26 974,6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31 155,6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36 266,5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41 909,6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2. Текстильная и швейная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7 300,1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8 430,9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9 631,7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10 869,6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12 242,1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3. Производство кожи, изделий из кожи</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261,9</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4. Производство древесины и дер. изделий</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578,4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5.Произ-во бумаги и картона, издат. дело</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1 283,2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1 391,4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1 534,6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1 696,0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1 883,8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6. Переработка нефти, пр-во ядер. матер.</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2 775,6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2 874,7</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3 161,7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3 535,5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3 938,6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7. Химическая промышленность</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670,8</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8. Производство резиновых и пластм. изд.</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1 050,5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1 150,2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1 256,3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1 368,6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1 497,0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9. Произ-во прочих неметал .мин. прод.</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5 996,4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7 065,4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9 437,9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13 226,2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16 604,3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10. Металлург-кая пром-ть и обраб. метал.</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64 723,1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74 493,0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77 444,5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78 575,0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74 507,7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11. Производство машин и оборудования</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873,6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952,2</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1 050,9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1 164,7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1 297,3</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12. Пр-во электрич. и электронного об-я</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1 539,8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1 704,5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1 889,0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2 106,0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2 339,2</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13. Пр-во транспортного оборудования</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14. Прочие отрасли промышленности</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547,3</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Производство и распределение электроэнергии, газа и воды</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15 173,8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18 245,9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20 140,9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22 289,7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25 176,7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 производство и распределение электроэнергии, газа, пара и горячей воды</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14 428,5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17 372,0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19 199,3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21 282,2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24 093,1</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8"/>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 сбор, очистка и распределение воды</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873,9</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1 007,5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1 083,6</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r>
        <w:tc>
          <w:tcPr>
            <w:tcW w:type="dxa" w:w="307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 Кыргызской Республики на 2011-2014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8"/>
        <w:gridCol w:w="928"/>
        <w:gridCol w:w="928"/>
        <w:gridCol w:w="833"/>
        <w:gridCol w:w="833"/>
        <w:gridCol w:w="833"/>
        <w:gridCol w:w="928"/>
        <w:gridCol w:w="928"/>
        <w:gridCol w:w="928"/>
      </w:tblGrid>
      <w:tr>
        <w:tc>
          <w:tcPr>
            <w:tcW w:type="dxa" w:w="3038"/>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49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факт.</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 кв</w:t>
            </w:r>
          </w:p>
        </w:tc>
        <w:tc>
          <w:tcPr>
            <w:tcW w:type="dxa" w:w="833"/>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I полуг.</w:t>
            </w:r>
          </w:p>
        </w:tc>
        <w:tc>
          <w:tcPr>
            <w:tcW w:type="dxa" w:w="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мес.</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промышленности, млн. сомов</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124411,5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146373,0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39833,1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67519,8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96216,1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159921,4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174163,8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184648,0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КУМТОР,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62601,6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71167,0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21196,6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32886,8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42629,4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71672,4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64 270,1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Кумтора,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61809,9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75206,0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18636,4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34633,0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53586,7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88494,5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102491,4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120377,9</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Горнодобывающая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2 613,6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2 950,1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3 427,2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3 878,8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4 499,5</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Добыча топливно-энергетических полезных ископаемых</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1 758,9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2 013,4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2 394,5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2 740,4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3 244,5</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Добыча полезных ископаемых, кроме топливно-энергетических</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854,7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1 032,7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1 138,4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1 255,0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76,9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Обрабатывающая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117384,7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127741,3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138449,1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144164,8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Переработка с/х продуктов</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15298,2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19 958,0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23 051,5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26 833,0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31 008,2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Текстильная и швейная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6 238,1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7 230,0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8 277,9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9 323,4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10 476,2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Производство кожи, изделий из кожи</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261,9</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89,9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95,3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Производство древесины и дер. изделий</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116,4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Произ-во бумаги и картона, издат. дело</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1 283,2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1 391,4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1 534,6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1 696,0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1 883,8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106,1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Переработка нефти, пр-во ядер.  матер.</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1 215,2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1 258,6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1 384,2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1 547,9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1 724,4</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Химическая промышленность</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121,0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99,30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Производство резиновых и пластм. изд.</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1 050,5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1 150,2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1 368,6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1 497,0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120,4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Произ-во прочих неметал. мин. прод.</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5 970,2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7 034,6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9 396,6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13 168,4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16 531,8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139,8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Металлург-кая пром-ть и обраб. метал.</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64 723,0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74 492,9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77 444,4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78 574,9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74 507,6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 Производство машин и оборудования</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1 034,7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1 146,7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1 277,2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 Пр-во электрич. и электронного об-я</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1 539,8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1 704,5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1 889,0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2 339,2</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135,6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 Пр-во транспортного оборудования</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197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 Прочие отрасли промышленности</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129,5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58,9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Производство и распределение электроэнергии, газа и воды</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21 645,8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26 038,1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28 752,8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31 835,9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35 983,7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а).производство и распределение электроэнергии, газа, пара и горячей воды</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20 900,2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25 163,8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27 810,8</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30 827,9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34 899,6</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112,3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121,9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сбор, очистка и распределение воды</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млн. сом.</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874,3</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942,0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1 008,0</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1 084,1</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97,2</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r>
        <w:tc>
          <w:tcPr>
            <w:tcW w:type="dxa" w:w="303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w:t>
            </w:r>
          </w:p>
        </w:tc>
        <w:tc>
          <w:tcPr>
            <w:tcW w:type="dxa" w:w="9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132,1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натуральных видов продукции промышленности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8"/>
        <w:gridCol w:w="1105"/>
        <w:gridCol w:w="967"/>
        <w:gridCol w:w="999"/>
        <w:gridCol w:w="999"/>
        <w:gridCol w:w="999"/>
      </w:tblGrid>
      <w:tr>
        <w:tc>
          <w:tcPr>
            <w:tcW w:type="dxa" w:w="510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1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Горнодобывающая промышленность</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613,3</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1 060,0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тыс. куб.м</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Природные пески,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701,6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Глина и каолин,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Обрабатывающая промышленность</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15 600,0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15 770,0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1 277,3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1 866,3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2 011,0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 подслащенные и не ароматизированные,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1 867,1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1 870,0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5 493,6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5 495,0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355 716,3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360 300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375 500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380 500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390 600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тонн</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3 529,0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3 571,0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3 581,0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3 585,0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3 600,0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промышленно изготовленный и его заменители,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8 251,3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Волокно хлопковое кардо- и гребнечесанное,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Ткани готовые всех видов, тыс. м2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1 002,9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1 103,1</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1 213,4</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1 334,7</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1 468,1</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Швейные и текстильные изделия, млн. сом.</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6 238,1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7230,0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8277,9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9323,4</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10476,2</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Кожсырье, изделия из кожи, млн.</w:t>
            </w:r>
          </w:p>
          <w:p>
            <w:pPr>
              <w:jc w:val="left"/>
            </w:pPr>
            <w:r>
              <w:rPr>
                <w:rFonts w:ascii="Arial" w:cs="Arial" w:eastAsia="Arial" w:hAnsi="Arial"/>
                <w:sz w:val="24"/>
                <w:szCs w:val="24"/>
              </w:rPr>
              <w:t xml:space="preserve">сом.</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261,9</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Цемент,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2 653,3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20,77</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21,62</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22,09</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842,4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Трансформаторы, тыс.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электрические, млн. шт.</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168,2</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172,0</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и распределение электроэнергии, газа и воды</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 час</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12113,6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14 253,0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14250,0</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14339,3</w:t>
            </w:r>
          </w:p>
        </w:tc>
      </w:tr>
      <w:tr>
        <w:tc>
          <w:tcPr>
            <w:tcW w:type="dxa" w:w="510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тыс. Гкал</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2 815,3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2 185,9</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2 204,5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2 294,5</w:t>
            </w:r>
          </w:p>
        </w:tc>
        <w:tc>
          <w:tcPr>
            <w:tcW w:type="dxa" w:w="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2 394,5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Среднесрочный прогноз производства золота*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7"/>
        <w:gridCol w:w="1630"/>
        <w:gridCol w:w="1223"/>
        <w:gridCol w:w="1219"/>
        <w:gridCol w:w="1370"/>
        <w:gridCol w:w="1419"/>
      </w:tblGrid>
      <w:tr>
        <w:tc>
          <w:tcPr>
            <w:tcW w:type="dxa" w:w="3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p>
            <w:pPr>
              <w:jc w:val="left"/>
            </w:pPr>
            <w:r>
              <w:rPr>
                <w:rFonts w:ascii="Arial" w:cs="Arial" w:eastAsia="Arial" w:hAnsi="Arial"/>
                <w:sz w:val="24"/>
                <w:szCs w:val="24"/>
              </w:rPr>
              <w:t xml:space="preserve">пред. факт</w:t>
            </w:r>
          </w:p>
        </w:tc>
        <w:tc>
          <w:tcPr>
            <w:tcW w:type="dxa" w:w="12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w:t>
            </w:r>
          </w:p>
          <w:p>
            <w:pPr>
              <w:jc w:val="left"/>
            </w:pPr>
            <w:r>
              <w:rPr>
                <w:rFonts w:ascii="Arial" w:cs="Arial" w:eastAsia="Arial" w:hAnsi="Arial"/>
                <w:sz w:val="24"/>
                <w:szCs w:val="24"/>
              </w:rPr>
              <w:t xml:space="preserve">ожид.</w:t>
            </w:r>
          </w:p>
        </w:tc>
        <w:tc>
          <w:tcPr>
            <w:tcW w:type="dxa" w:w="12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p>
            <w:pPr>
              <w:jc w:val="left"/>
            </w:pPr>
            <w:r>
              <w:rPr>
                <w:rFonts w:ascii="Arial" w:cs="Arial" w:eastAsia="Arial" w:hAnsi="Arial"/>
                <w:sz w:val="24"/>
                <w:szCs w:val="24"/>
              </w:rPr>
              <w:t xml:space="preserve">прогноз</w:t>
            </w:r>
          </w:p>
        </w:tc>
        <w:tc>
          <w:tcPr>
            <w:tcW w:type="dxa" w:w="13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w:t>
            </w:r>
          </w:p>
          <w:p>
            <w:pPr>
              <w:jc w:val="left"/>
            </w:pPr>
            <w:r>
              <w:rPr>
                <w:rFonts w:ascii="Arial" w:cs="Arial" w:eastAsia="Arial" w:hAnsi="Arial"/>
                <w:sz w:val="24"/>
                <w:szCs w:val="24"/>
              </w:rPr>
              <w:t xml:space="preserve">прогноз</w:t>
            </w:r>
          </w:p>
        </w:tc>
        <w:tc>
          <w:tcPr>
            <w:tcW w:type="dxa" w:w="14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прогноз</w:t>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кг</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16767,2</w:t>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20772,7</w:t>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21624,7</w:t>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23295,1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22087,7</w:t>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 «Кумтор Голд Компани»</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кг</w:t>
            </w:r>
          </w:p>
        </w:tc>
        <w:tc>
          <w:tcPr>
            <w:tcW w:type="dxa" w:w="1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17661,2</w:t>
            </w:r>
          </w:p>
        </w:tc>
        <w:tc>
          <w:tcPr>
            <w:tcW w:type="dxa" w:w="12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18040,6</w:t>
            </w:r>
          </w:p>
        </w:tc>
        <w:tc>
          <w:tcPr>
            <w:tcW w:type="dxa" w:w="12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17842,2</w:t>
            </w:r>
          </w:p>
        </w:tc>
        <w:tc>
          <w:tcPr>
            <w:tcW w:type="dxa" w:w="13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17645,9</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15599,0</w:t>
            </w:r>
          </w:p>
        </w:tc>
      </w:tr>
    </w:tbl>
    <w:p>
      <w:pPr>
        <w:spacing w:after="120"/>
        <w:jc w:val="both"/>
      </w:pPr>
      <w:r>
        <w:rPr>
          <w:rFonts w:ascii="Arial" w:cs="Arial" w:eastAsia="Arial" w:hAnsi="Arial"/>
          <w:sz w:val="24"/>
          <w:szCs w:val="24"/>
        </w:rPr>
        <w:t xml:space="preserve">*В связи с тем, что данный вид продукции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сферы услуг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8"/>
        <w:gridCol w:w="973"/>
        <w:gridCol w:w="973"/>
        <w:gridCol w:w="904"/>
        <w:gridCol w:w="904"/>
        <w:gridCol w:w="904"/>
        <w:gridCol w:w="973"/>
        <w:gridCol w:w="973"/>
        <w:gridCol w:w="973"/>
      </w:tblGrid>
      <w:tr>
        <w:tc>
          <w:tcPr>
            <w:tcW w:type="dxa" w:w="2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71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Валовой выпуск сферы услуг всего,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180162,3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211808,6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41312,4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89299,1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145131,1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242501,9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276365,2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315053,4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Торговля, ремонт автомобилей, бытовых изделий и предметов личного польз.,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57109,2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72716,8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13217,1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27122,1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46890,4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86297,2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100734,4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117267,9</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9106,1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5832,7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10801,7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12575,6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14609,7</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 и связь,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39551,2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45087,0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9716,1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20002,2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31811,0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52417,8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61219,1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71681,4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22606,9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26689,7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5716,9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11464,3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18313,3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31864,6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38278,8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46085,9</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Связь,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16944,3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18397,4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3999,2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8537,8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13497,7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20553,1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22940,3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25595,5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Финансовая деятельность,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12986,2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2953,0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5986,9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9489,7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14362,7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15720,8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17254,8</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 имущ., аренда и предоставление услуг,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16186,4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17493,3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3553,8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7755,0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12394,1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18448,7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19404,6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20426,4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Госуправление,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19051,6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21206,8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3566,7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8535,4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14679,5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23034,9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24991,9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27103,3</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12945,4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14892,0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3060,8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8050,0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10805,2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16695,0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18886,9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21285,3</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социальные услуги,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8305,3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9301,8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1744,4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4408,0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6947,9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10360,3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12809,5</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r>
      <w:tr>
        <w:tc>
          <w:tcPr>
            <w:tcW w:type="dxa" w:w="25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Предоставление ком-ных, соц. и перс. услуг, млн. сом.</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7950,9</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9018,7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1699,7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3894,2</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6280,7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10083,7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11299,7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12615,1</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2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9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Оборот торговли, ремонта автомобилей, бытовых изделий и предметов личного пользования и объем услуг гостиниц и ресторанов Кыргызской Республики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1"/>
        <w:gridCol w:w="957"/>
        <w:gridCol w:w="770"/>
        <w:gridCol w:w="761"/>
        <w:gridCol w:w="761"/>
        <w:gridCol w:w="761"/>
        <w:gridCol w:w="823"/>
        <w:gridCol w:w="823"/>
        <w:gridCol w:w="823"/>
      </w:tblGrid>
      <w:tr>
        <w:tc>
          <w:tcPr>
            <w:tcW w:type="dxa" w:w="37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28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оказанных рыночных услуг,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267633,0</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326164,0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61537,4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123070,9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210975,2</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378313,8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434616,8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499306,9</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109,1</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116,4</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Оборот торговли, ремонта автомобилей,</w:t>
            </w:r>
          </w:p>
          <w:p>
            <w:pPr>
              <w:jc w:val="left"/>
            </w:pPr>
            <w:r>
              <w:rPr>
                <w:rFonts w:ascii="Arial" w:cs="Arial" w:eastAsia="Arial" w:hAnsi="Arial"/>
                <w:sz w:val="24"/>
                <w:szCs w:val="24"/>
              </w:rPr>
              <w:t xml:space="preserve"> бытовых изделий</w:t>
            </w:r>
          </w:p>
          <w:p>
            <w:pPr>
              <w:jc w:val="left"/>
            </w:pPr>
            <w:r>
              <w:rPr>
                <w:rFonts w:ascii="Arial" w:cs="Arial" w:eastAsia="Arial" w:hAnsi="Arial"/>
                <w:sz w:val="24"/>
                <w:szCs w:val="24"/>
              </w:rPr>
              <w:t xml:space="preserve">и предметов личного</w:t>
            </w:r>
          </w:p>
          <w:p>
            <w:pPr>
              <w:jc w:val="left"/>
            </w:pPr>
            <w:r>
              <w:rPr>
                <w:rFonts w:ascii="Arial" w:cs="Arial" w:eastAsia="Arial" w:hAnsi="Arial"/>
                <w:sz w:val="24"/>
                <w:szCs w:val="24"/>
              </w:rPr>
              <w:t xml:space="preserve">пользования,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193660,2</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243077,4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46095,9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90088,4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154515,5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284291,6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328225,5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378703,3</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93,2</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119,2</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118,8</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109,1</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услуг гостиниц и ресторанов,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7852,8</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9197,9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1813,0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3722,0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6103,8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10785,8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12440,4</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14326,4</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92,6</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112,3</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109,9</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108,2</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млн. сомов</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66120,0</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73888,7</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13628,5</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29260,4</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50355,8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83236,4</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93950,9</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106277,1</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94,5</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99,1</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r>
      <w:tr>
        <w:tc>
          <w:tcPr>
            <w:tcW w:type="dxa" w:w="37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Индекс цен, %</w:t>
            </w:r>
          </w:p>
        </w:tc>
        <w:tc>
          <w:tcPr>
            <w:tcW w:type="dxa" w:w="9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w:t>
            </w:r>
          </w:p>
        </w:tc>
        <w:tc>
          <w:tcPr>
            <w:tcW w:type="dxa" w:w="7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114,5</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111,0</w:t>
            </w:r>
          </w:p>
        </w:tc>
        <w:tc>
          <w:tcPr>
            <w:tcW w:type="dxa" w:w="7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107,6</w:t>
            </w:r>
          </w:p>
        </w:tc>
        <w:tc>
          <w:tcPr>
            <w:tcW w:type="dxa" w:w="8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за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6"/>
        <w:gridCol w:w="896"/>
        <w:gridCol w:w="896"/>
        <w:gridCol w:w="860"/>
        <w:gridCol w:w="860"/>
        <w:gridCol w:w="860"/>
        <w:gridCol w:w="922"/>
        <w:gridCol w:w="922"/>
        <w:gridCol w:w="997"/>
      </w:tblGrid>
      <w:tr>
        <w:tc>
          <w:tcPr>
            <w:tcW w:type="dxa" w:w="29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5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44079,7</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59077,1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6912,1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14060,3</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18432,0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75995,2</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92914,3</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110671,7</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темп роста, %</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33760,8</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45432,7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5315,7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10813,0</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14175,0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58518,6</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71825,0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85883,3</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119,6</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ЧС</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3202,4</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4252,8</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497,6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1326,9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5243,0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5853,0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6529,1</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646,8</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886,0</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210,9</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276,4</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1063,8</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1438,6</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16001,7</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21559,3</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2522,5</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5131,1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6726,5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27962,5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34839,2</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41830,3</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3093,6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4193,7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490,7</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998,1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1308,4</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5470,9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6782,0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8299,7</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другие</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10805,6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14530,4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3458,2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4533,5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18768,3</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23133,2</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27776,2</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Благотворительная помощь</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10318,9</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13644,4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3247,4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4257,0</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17476,6</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21089,3</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24788,4</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82,5</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163,6</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128,1</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117,5</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5536,6</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7147,1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836,2</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1701,0</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2229,9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9194,2</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10962,7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12726,2</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3228,3</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4370,9</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511,4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1040,3</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1363,7</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5622,9</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6967,8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8410,3</w:t>
            </w:r>
          </w:p>
        </w:tc>
      </w:tr>
      <w:tr>
        <w:tc>
          <w:tcPr>
            <w:tcW w:type="dxa" w:w="29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1544,0</w:t>
            </w:r>
          </w:p>
        </w:tc>
        <w:tc>
          <w:tcPr>
            <w:tcW w:type="dxa" w:w="8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2126,4</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248,8</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506,1</w:t>
            </w:r>
          </w:p>
        </w:tc>
        <w:tc>
          <w:tcPr>
            <w:tcW w:type="dxa" w:w="8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663,4</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2659,5</w:t>
            </w:r>
          </w:p>
        </w:tc>
        <w:tc>
          <w:tcPr>
            <w:tcW w:type="dxa" w:w="9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3158,8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3651,9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5"/>
        <w:gridCol w:w="1068"/>
        <w:gridCol w:w="863"/>
        <w:gridCol w:w="828"/>
        <w:gridCol w:w="828"/>
        <w:gridCol w:w="828"/>
        <w:gridCol w:w="828"/>
        <w:gridCol w:w="895"/>
        <w:gridCol w:w="895"/>
        <w:gridCol w:w="889"/>
      </w:tblGrid>
      <w:tr>
        <w:tc>
          <w:tcPr>
            <w:tcW w:type="dxa" w:w="2255"/>
            <w:vMerge w:val="restart"/>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6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Ед. изм.</w:t>
            </w:r>
          </w:p>
        </w:tc>
        <w:tc>
          <w:tcPr>
            <w:tcW w:type="dxa" w:w="8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8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248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8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кв.</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полуг.</w:t>
            </w:r>
          </w:p>
        </w:tc>
        <w:tc>
          <w:tcPr>
            <w:tcW w:type="dxa" w:w="8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мес.</w:t>
            </w:r>
          </w:p>
        </w:tc>
        <w:tc>
          <w:tcPr>
            <w:tcW w:type="dxa" w:w="8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225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-1463,3</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-1211,8</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95,7%</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87,6%</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97,3%</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95,7%</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89,6%</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4982,9</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3612,0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6860,0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108,4%</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108,4%</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111,1%</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114,3%</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116,6%</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в том числе:</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1759,8</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113,6%</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123,2%</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3223,1</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2412,0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3700,0</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4600,0</w:t>
            </w:r>
          </w:p>
        </w:tc>
      </w:tr>
      <w:tr>
        <w:tc>
          <w:tcPr>
            <w:tcW w:type="dxa" w:w="22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темп роста</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8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w:t>
            </w:r>
          </w:p>
        </w:tc>
        <w:tc>
          <w:tcPr>
            <w:tcW w:type="dxa" w:w="8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8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основных видов продукции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2"/>
        <w:gridCol w:w="1175"/>
        <w:gridCol w:w="871"/>
        <w:gridCol w:w="871"/>
        <w:gridCol w:w="872"/>
        <w:gridCol w:w="872"/>
        <w:gridCol w:w="872"/>
        <w:gridCol w:w="941"/>
        <w:gridCol w:w="941"/>
        <w:gridCol w:w="941"/>
      </w:tblGrid>
      <w:tr>
        <w:tc>
          <w:tcPr>
            <w:tcW w:type="dxa" w:w="1822"/>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vMerge w:val="restart"/>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 измер.</w:t>
            </w:r>
          </w:p>
        </w:tc>
        <w:tc>
          <w:tcPr>
            <w:tcW w:type="dxa" w:w="87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2010 г.</w:t>
            </w:r>
          </w:p>
        </w:tc>
        <w:tc>
          <w:tcPr>
            <w:tcW w:type="dxa" w:w="87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 г.</w:t>
            </w:r>
          </w:p>
        </w:tc>
        <w:tc>
          <w:tcPr>
            <w:tcW w:type="dxa" w:w="2616"/>
            <w:gridSpan w:val="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94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г.</w:t>
            </w:r>
          </w:p>
        </w:tc>
        <w:tc>
          <w:tcPr>
            <w:tcW w:type="dxa" w:w="94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2013 г.</w:t>
            </w:r>
          </w:p>
        </w:tc>
        <w:tc>
          <w:tcPr>
            <w:tcW w:type="dxa" w:w="94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пред.</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ожид.</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п/г</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мес.</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прогноз</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прогноз</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прогноз</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 ВСЕГО</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1759,8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123,2%</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него:</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Золото</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668,3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846,2</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946,0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1013,7</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1054,1</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126,2%</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111,8%</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144,7%</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19,7</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Стекло листовое</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125,8%</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125,6%</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Цемент</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42,9%</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Одежда и ее принадлежости</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124,9</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238,0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125,7%</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124,8%</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123,5%</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112,5%</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79,5%</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w:t>
            </w:r>
          </w:p>
        </w:tc>
      </w:tr>
      <w:tr>
        <w:tc>
          <w:tcPr>
            <w:tcW w:type="dxa" w:w="1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131,4</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206,3</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w:t>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122,6%</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127,9%</w:t>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r>
      <w:tr>
        <w:tc>
          <w:tcPr>
            <w:tcW w:type="dxa" w:w="1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129,3%</w:t>
            </w:r>
          </w:p>
        </w:tc>
        <w:tc>
          <w:tcPr>
            <w:tcW w:type="dxa" w:w="8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158,3%</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142,9%</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143,5%</w:t>
            </w:r>
          </w:p>
        </w:tc>
        <w:tc>
          <w:tcPr>
            <w:tcW w:type="dxa" w:w="8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158,3%</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117,3%</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112,4%</w:t>
            </w:r>
          </w:p>
        </w:tc>
        <w:tc>
          <w:tcPr>
            <w:tcW w:type="dxa" w:w="9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импорта основных товаров в Кыргызскую Республику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0"/>
        <w:gridCol w:w="1036"/>
        <w:gridCol w:w="869"/>
        <w:gridCol w:w="869"/>
        <w:gridCol w:w="869"/>
        <w:gridCol w:w="869"/>
        <w:gridCol w:w="869"/>
        <w:gridCol w:w="951"/>
        <w:gridCol w:w="951"/>
        <w:gridCol w:w="945"/>
      </w:tblGrid>
      <w:tr>
        <w:tc>
          <w:tcPr>
            <w:tcW w:type="dxa" w:w="19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60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п/г</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т.ч.</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1089</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110,5%</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Оборудование и мех. устройства для промышленности</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442</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508</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 машины, оборудование и аппаратура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248</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 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 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 из нее</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Древесина и изделия из нее</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 из них</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111,1%</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114,3%</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Продтовары (вкл. сельхозсырье)</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545,4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615</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долл.</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76,0</w:t>
            </w:r>
          </w:p>
        </w:tc>
      </w:tr>
      <w:tr>
        <w:tc>
          <w:tcPr>
            <w:tcW w:type="dxa" w:w="195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8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9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регионов на 2011-2014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6"/>
        <w:gridCol w:w="1356"/>
        <w:gridCol w:w="1040"/>
        <w:gridCol w:w="1036"/>
        <w:gridCol w:w="1208"/>
        <w:gridCol w:w="1245"/>
        <w:gridCol w:w="925"/>
      </w:tblGrid>
      <w:tr>
        <w:tc>
          <w:tcPr>
            <w:tcW w:type="dxa" w:w="336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3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 г.</w:t>
            </w:r>
          </w:p>
        </w:tc>
        <w:tc>
          <w:tcPr>
            <w:tcW w:type="dxa" w:w="10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1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2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2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35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104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0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20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2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Валовый региональный продукт,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6859,7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7988,1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9118,6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10355,2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23436,1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26414,1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30152,3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34241,4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42842,3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29852,8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37649,5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42977,7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48806,1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48770,9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7946,8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11370,6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12912,6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15288,5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18053,4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22222,5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25367,4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28807,6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36570,1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6716,9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7902,1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9020,4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10243,7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15202,6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34901,4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38179,1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43582,2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49492,7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55475,1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78327,8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92280,4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105340,0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119625,8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128436,3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6082,5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9814,2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11145,2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12565,2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 всего</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212177,4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251194,2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286743,3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325630,4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367117,7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Дефлятор</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124411,5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146373,0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159921,4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174163,8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184648,0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3198,4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3693,0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11226,6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13564,8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15190,6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17899,7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20157,8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34653,3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39520,7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43178,8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47024,2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49855,0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1279,4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2243,2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2781,1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3038,5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3309,1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3508,3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799,6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923,2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46946,2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54791,4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59492,7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63434,8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65572,9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23520,4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28689,1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31344,6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34136,1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36191,0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2195,6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116034,7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130948,6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146509,8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164223,6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184758,9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10651,0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11817,9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13170,6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21195,8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21901,9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24504,7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27467,4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30902,1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15856,2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18902,2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21148,5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23705,4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26669,7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7479,6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9543,4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10677,5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11968,5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13465,1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21868,9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24199,6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27075,4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30348,9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34143,9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12446,8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13925,9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15609,6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17561,5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28806,7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32837,8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36858,9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41436,2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46742,7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844,6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646,2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723,0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оказанных рыночных услуг,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267633,0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326164,0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378313,8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434616,8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499306,9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5926,7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7214,7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8330,5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9565,9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19899,9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24234,0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27995,2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32161,6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36948,7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12928,4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15763,5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18272,6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20992,0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4161,7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5055,5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5826,0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6684,4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7679,3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15528,3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18894,7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21790,9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24947,0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28660,2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5903,6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6847,5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7866,6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9037,5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28142,6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34361,4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39874,3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45808,6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52626,9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160187,8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195215,7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226791,6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260687,5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299489,3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16007,9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19520,9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22585,3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25903,2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29758,7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действующих ценах</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193660,2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243077,4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284291,6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328225,5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378703,3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4596,3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5760,9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6823,0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7893,8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9100,2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16989,7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21390,8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25017,7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28916,7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33325,9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8644,3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10889,9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12821,6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14770,1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16965,9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3116,9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3913,5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4662,4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5396,0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13704,7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17161,3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23451,7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27020,5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4912,6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5759,7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6649,8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7657,4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24776,7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31284,1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36758,9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42505,2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49117,8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105030,4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131551,1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153801,8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177570,0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205052,7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12907,9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16213,3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18319,8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21072,1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24237,0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инвестиций в основной капитал, млн.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44079,7</w:t>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59077,1</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75995,2</w:t>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92914,3</w:t>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110671,7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1505,9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1795,6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2195,3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2614,9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7499,4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7646,9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12929,3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15807,8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18828,9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11821,1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16374,0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20380,1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24917,3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29479,4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1762,9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4287,1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5865,7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10763,7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1298,1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1528,4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4142,8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5702,3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7142,4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8732,5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10401,4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12453,8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15954,0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19470,9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24251,0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29268,0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3775,8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4284,4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4792,9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5326,7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Среднемесячная оплата труда, сомов</w:t>
            </w:r>
          </w:p>
        </w:tc>
        <w:tc>
          <w:tcPr>
            <w:tcW w:type="dxa" w:w="13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6870,0</w:t>
            </w:r>
          </w:p>
        </w:tc>
        <w:tc>
          <w:tcPr>
            <w:tcW w:type="dxa" w:w="104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9645,0</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11381,1</w:t>
            </w:r>
          </w:p>
        </w:tc>
        <w:tc>
          <w:tcPr>
            <w:tcW w:type="dxa" w:w="12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13293,1</w:t>
            </w:r>
          </w:p>
        </w:tc>
        <w:tc>
          <w:tcPr>
            <w:tcW w:type="dxa" w:w="1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15553,0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6365,7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7511,5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8773,5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10265,0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7619,6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10501,6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12286,8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4840,0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7908,9</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11697,9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13686,6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7523,1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8877,3</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12131,3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4919,0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5804,4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6779,5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7932,0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5273,0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6944,4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8194,4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9571,0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11198,1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5994,0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8031,7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9477,4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11069,6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10338,0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12152,7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14340,2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16749,3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6679,0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8487,6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11697,9</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13686,6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реальный рост,  %</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 сомов</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3502,7</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4220,7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5490,7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3046,6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3587,6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3950,0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4667,1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Джалал-Абадская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3271,1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3840,8</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4596,7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4996,5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3323,9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4389,5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4832,9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5253,4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3303,9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4321,7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4697,7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5106,4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3369,4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4009,7</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4414,7</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4798,7</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5216,2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3212,6</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3883,0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4275,2</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4647,2</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5051,4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3493,3</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4136,3</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4554,1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4950,3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5380,9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Бишкек</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3625,9</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4980,4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5483,5</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5960,5</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6479,0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 Ош</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4045,4</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4558,4</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5018,8</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5455,4</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5930,0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 к пред. году</w:t>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1За 2010 г. официальные данные по бедности будут к концу 2011 года.</w:t>
      </w:r>
    </w:p>
    <w:p>
      <w:pPr>
        <w:spacing w:after="120"/>
        <w:jc w:val="both"/>
      </w:pPr>
      <w:r>
        <w:rPr>
          <w:rFonts w:ascii="Arial" w:cs="Arial" w:eastAsia="Arial" w:hAnsi="Arial"/>
          <w:sz w:val="24"/>
          <w:szCs w:val="24"/>
        </w:rPr>
        <w:t xml:space="preserve">2Темпы прироста приведены по ВДС</w:t>
      </w:r>
    </w:p>
    <w:p>
      <w:pPr>
        <w:spacing w:after="120"/>
        <w:jc w:val="both"/>
      </w:pPr>
      <w:r>
        <w:rPr>
          <w:rFonts w:ascii="Arial" w:cs="Arial" w:eastAsia="Arial" w:hAnsi="Arial"/>
          <w:sz w:val="24"/>
          <w:szCs w:val="24"/>
        </w:rPr>
        <w:t xml:space="preserve">3Без учета стоимости переработанного давальческого сырья</w:t>
      </w:r>
    </w:p>
    <w:p>
      <w:pPr>
        <w:spacing w:after="120"/>
        <w:jc w:val="both"/>
      </w:pPr>
      <w:r>
        <w:rPr>
          <w:rFonts w:ascii="Arial" w:cs="Arial" w:eastAsia="Arial" w:hAnsi="Arial"/>
          <w:sz w:val="24"/>
          <w:szCs w:val="24"/>
        </w:rPr>
        <w:t xml:space="preserve">4Автодороги Ош - Сарыташ - Иркештам, автодороги Южного регионального коридора, Бишкек - Нарын - Торугарт, Тараз - Талас - Суусамыр, Ош - Исфана, Сарыташ - Карамык, Каракол - Тюп - Кеген</w:t>
      </w:r>
    </w:p>
    <w:p>
      <w:pPr>
        <w:spacing w:after="120"/>
        <w:jc w:val="both"/>
      </w:pPr>
      <w:r>
        <w:rPr>
          <w:rFonts w:ascii="Arial" w:cs="Arial" w:eastAsia="Arial" w:hAnsi="Arial"/>
          <w:sz w:val="24"/>
          <w:szCs w:val="24"/>
        </w:rPr>
        <w:t xml:space="preserve">5Автодороги Ош - Сарыташ - Иркештам, автодороги Южного регионального коридора, Бишкек - Нарын - Торугарт, Тараз - Талас - Суусамыр, Ош - Исфана, Сарыташ - Карамык, Каракол - Тюп - Кеген</w:t>
      </w:r>
    </w:p>
    <w:p>
      <w:pPr>
        <w:spacing w:after="120"/>
        <w:jc w:val="both"/>
      </w:pPr>
      <w:r>
        <w:rPr>
          <w:rFonts w:ascii="Arial" w:cs="Arial" w:eastAsia="Arial" w:hAnsi="Arial"/>
          <w:sz w:val="24"/>
          <w:szCs w:val="24"/>
        </w:rPr>
        <w:t xml:space="preserve">6Без учета давальческого сырья</w:t>
      </w:r>
    </w:p>
    <w:p>
      <w:pPr>
        <w:spacing w:after="120"/>
        <w:jc w:val="both"/>
      </w:pPr>
      <w:r>
        <w:rPr>
          <w:rFonts w:ascii="Arial" w:cs="Arial" w:eastAsia="Arial" w:hAnsi="Arial"/>
          <w:sz w:val="24"/>
          <w:szCs w:val="24"/>
        </w:rPr>
        <w:t xml:space="preserve">7В 2014 году к уровню 2011 года. Ежегодный рост добычи угля составит в среднем около 20%</w:t>
      </w:r>
    </w:p>
    <w:p>
      <w:pPr>
        <w:spacing w:after="120"/>
        <w:jc w:val="both"/>
      </w:pPr>
      <w:r>
        <w:rPr>
          <w:rFonts w:ascii="Arial" w:cs="Arial" w:eastAsia="Arial" w:hAnsi="Arial"/>
          <w:sz w:val="24"/>
          <w:szCs w:val="24"/>
        </w:rPr>
        <w:t xml:space="preserve">8В 2014 году к уровню 2011 года.</w:t>
      </w:r>
    </w:p>
    <w:p>
      <w:pPr>
        <w:spacing w:after="120"/>
        <w:jc w:val="both"/>
      </w:pPr>
      <w:r>
        <w:rPr>
          <w:rFonts w:ascii="Arial" w:cs="Arial" w:eastAsia="Arial" w:hAnsi="Arial"/>
          <w:sz w:val="24"/>
          <w:szCs w:val="24"/>
        </w:rPr>
        <w:t xml:space="preserve">9Автодороги Ош - Сарыташ - Иркештам, автодороги Южного регионального коридора, Бишкек - Нарын - Торугарт, Тараз - Талас - Суусамыр, Ош - Исфана, Сарыташ - Карамык, Каракол - Тюп - Кеген.</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t3ffi1lq6qow9bovzqf">
      <w:r>
        <w:rPr>
          <w:rFonts w:ascii="Arial" w:cs="Arial" w:eastAsia="Arial" w:hAnsi="Arial"/>
          <w:color w:val="132D3F"/>
          <w:sz w:val="16"/>
          <w:szCs w:val="16"/>
          <w:u w:val="single"/>
        </w:rPr>
        <w:t xml:space="preserve">dalil.kg/document/92659</w:t>
      </w:r>
    </w:hyperlink>
  </w:p>
  <w:p>
    <w:pPr>
      <w:spacing w:after="0" w:before="40"/>
      <w:jc w:val="center"/>
    </w:pPr>
    <w:hyperlink w:history="1" r:id="rIdrrnakchk-oh07qlghjhq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n_ieixqaikc956ya6oz" Type="http://schemas.openxmlformats.org/officeDocument/2006/relationships/hyperlink" Target="https://dalil.kg/document/95259" TargetMode="External"/><Relationship Id="rIdi_4wvelobmmc4hchc9ckt" Type="http://schemas.openxmlformats.org/officeDocument/2006/relationships/hyperlink" Target="https://dalil.kg/document/92659#p1" TargetMode="External"/><Relationship Id="rIdptcs5nnawcljpa7cdynhg" Type="http://schemas.openxmlformats.org/officeDocument/2006/relationships/hyperlink" Target="https://dalil.kg/document/92453" TargetMode="External"/><Relationship Id="rId7gpwtl3d7afhpsdryb0uu" Type="http://schemas.openxmlformats.org/officeDocument/2006/relationships/hyperlink" Target="https://dalil.kg/document/926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t3ffi1lq6qow9bovzqf" Type="http://schemas.openxmlformats.org/officeDocument/2006/relationships/hyperlink" Target="https://dalil.kg/document/92659" TargetMode="External"/><Relationship Id="rIdrrnakchk-oh07qlghjhq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2026-09-23T16:17:16.661Z</dcterms:created>
  <dcterms:modified xsi:type="dcterms:W3CDTF">2026-09-23T16:17:16.661Z</dcterms:modified>
</cp:coreProperties>
</file>

<file path=docProps/custom.xml><?xml version="1.0" encoding="utf-8"?>
<Properties xmlns="http://schemas.openxmlformats.org/officeDocument/2006/custom-properties" xmlns:vt="http://schemas.openxmlformats.org/officeDocument/2006/docPropsVTypes"/>
</file>