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июля 2011 года № 409</w:t>
      </w:r>
    </w:p>
    <w:p>
      <w:pPr>
        <w:spacing w:after="120"/>
        <w:jc w:val="both"/>
      </w:pPr>
      <w:r>
        <w:rPr>
          <w:rFonts w:ascii="Arial" w:cs="Arial" w:eastAsia="Arial" w:hAnsi="Arial"/>
          <w:sz w:val="24"/>
          <w:szCs w:val="24"/>
        </w:rPr>
        <w:t xml:space="preserve">Об утверждении стандартов внутреннего учета операций с ценными бумагами в брокерских компаниях</w:t>
      </w:r>
    </w:p>
    <w:p>
      <w:pPr>
        <w:spacing w:after="120"/>
        <w:jc w:val="both"/>
      </w:pPr>
      <w:r>
        <w:rPr>
          <w:rFonts w:ascii="Arial" w:cs="Arial" w:eastAsia="Arial" w:hAnsi="Arial"/>
          <w:sz w:val="24"/>
          <w:szCs w:val="24"/>
        </w:rPr>
        <w:t xml:space="preserve">В соответствии с </w:t>
      </w:r>
      <w:hyperlink w:history="1" r:id="rId_sv-rn0xjjnuidcaf9cd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Правительство Кыргызской Республики постановляет:</w:t>
      </w:r>
    </w:p>
    <w:p>
      <w:pPr>
        <w:spacing w:after="120"/>
        <w:jc w:val="both"/>
      </w:pPr>
      <w:r>
        <w:rPr>
          <w:rFonts w:ascii="Arial" w:cs="Arial" w:eastAsia="Arial" w:hAnsi="Arial"/>
          <w:sz w:val="24"/>
          <w:szCs w:val="24"/>
        </w:rPr>
        <w:t xml:space="preserve">1. Утвердить прилагаемые </w:t>
      </w:r>
      <w:hyperlink w:history="1" r:id="rIdqbuch3deei073bd61yblz">
        <w:r>
          <w:rPr>
            <w:rFonts w:ascii="Arial" w:cs="Arial" w:eastAsia="Arial" w:hAnsi="Arial"/>
            <w:color w:val="1D4ED8"/>
            <w:sz w:val="24"/>
            <w:szCs w:val="24"/>
            <w:u w:val="single"/>
          </w:rPr>
          <w:t xml:space="preserve">стандарты</w:t>
        </w:r>
      </w:hyperlink>
      <w:r>
        <w:rPr>
          <w:rFonts w:ascii="Arial" w:cs="Arial" w:eastAsia="Arial" w:hAnsi="Arial"/>
          <w:sz w:val="24"/>
          <w:szCs w:val="24"/>
        </w:rPr>
        <w:t xml:space="preserve"> внутреннего учета операций с ценными бумагами в брокерских компаниях.</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Утверждены</w:t>
      </w:r>
      <w:hyperlink w:history="1" r:id="rIdofjujgtqb5t0nedvvxzt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июля 2011 года № 409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внутреннего учета операций с ценными бумагами в брокерских компаниях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Настоящие стандарты разработаны в соответствии с </w:t>
      </w:r>
      <w:hyperlink w:history="1" r:id="rIdnpvj3je2vduxut1bxyj-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рынке ценных бумаг», Кодексом Кыргызской Республики об административной ответственности, </w:t>
      </w:r>
      <w:hyperlink w:history="1" r:id="rIdcdylcah1uqsxwp7rxoio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государственной службе по регулированию и надзору за финансовым рынком Кыргызской Республики».</w:t>
      </w:r>
    </w:p>
    <w:p>
      <w:pPr>
        <w:spacing w:after="120"/>
        <w:jc w:val="both"/>
      </w:pPr>
      <w:r>
        <w:rPr>
          <w:rFonts w:ascii="Arial" w:cs="Arial" w:eastAsia="Arial" w:hAnsi="Arial"/>
          <w:sz w:val="24"/>
          <w:szCs w:val="24"/>
        </w:rPr>
        <w:t xml:space="preserve">2. Настоящие стандарты устанавливают единые принципы организации и ведения внутреннего учета операций с ценными бумагами для юридических лиц, осуществляющих брокерскую деятельность, созданных согласно законодательству Кыргызской Республики, имеющих лицензию уполномоченного государственного органа по рынку ценных бумаг на осуществление профессиональной деятельности по ценным бумагам. Настоящие стандарты определяют основные требования к внутреннему учету операций с ценными бумагами, проводимых брокерами в процессе осуществления своей деятельности, порядок организации и ведения этого учета, основные принципы отчетности перед клиентами, призванные обеспечить защиту интересов клиентов брокеров, а также устанавливают ответственность перед уполномоченным государственным органом по рынку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Термины и определения, используемые в настоящих стандартах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Уполномоченный орган - уполномоченный государственный орган по рынку ценных бумаг.</w:t>
      </w:r>
    </w:p>
    <w:p>
      <w:pPr>
        <w:spacing w:after="120"/>
        <w:jc w:val="both"/>
      </w:pPr>
      <w:r>
        <w:rPr>
          <w:rFonts w:ascii="Arial" w:cs="Arial" w:eastAsia="Arial" w:hAnsi="Arial"/>
          <w:sz w:val="24"/>
          <w:szCs w:val="24"/>
        </w:rPr>
        <w:t xml:space="preserve">Клиент - физическое или юридическое лицо, не являющееся должностным лицом или учредителем брокера, выступающее в качестве инвестора на рынке ценных бумаг и связанное с брокером договором, регламентирующим условия и порядок предоставления ему услуг на рынке ценных бумаг.</w:t>
      </w:r>
    </w:p>
    <w:p>
      <w:pPr>
        <w:spacing w:after="120"/>
        <w:jc w:val="both"/>
      </w:pPr>
      <w:r>
        <w:rPr>
          <w:rFonts w:ascii="Arial" w:cs="Arial" w:eastAsia="Arial" w:hAnsi="Arial"/>
          <w:sz w:val="24"/>
          <w:szCs w:val="24"/>
        </w:rPr>
        <w:t xml:space="preserve">Ценные бумаги клиента - любые ценные бумаги, приобретенные брокером для и по поручению клиента, поставка которых клиенту еще не совершена; сертификаты ценных бумаг, зарегистрированные на имя клиента или на компанию как номинального держателя бумаг для клиента и находящиеся на ответственном хранении компании, ценные бумаги в бездокументарной форме, в отношении которых компания является номинальным держателем для клиента.</w:t>
      </w:r>
    </w:p>
    <w:p>
      <w:pPr>
        <w:spacing w:after="120"/>
        <w:jc w:val="both"/>
      </w:pPr>
      <w:r>
        <w:rPr>
          <w:rFonts w:ascii="Arial" w:cs="Arial" w:eastAsia="Arial" w:hAnsi="Arial"/>
          <w:sz w:val="24"/>
          <w:szCs w:val="24"/>
        </w:rPr>
        <w:t xml:space="preserve">Договор брокера с клиентом - договор, заключенный между клиентом и компанией, определяющий условия предоставления последней услуг клиенту на рынке ценных бумаг. Договором брокера с клиентом может являться договор по управлению ценными бумагами (проведение операций по усмотрению брокера с предоставлением или без предоставления услуг номинального держателя), договор на брокерское обслуживание (проведение операций по поручению клиента) или любой иной вид договора, предусмотренный действующим законодательством.</w:t>
      </w:r>
    </w:p>
    <w:p>
      <w:pPr>
        <w:spacing w:after="120"/>
        <w:jc w:val="both"/>
      </w:pPr>
      <w:r>
        <w:rPr>
          <w:rFonts w:ascii="Arial" w:cs="Arial" w:eastAsia="Arial" w:hAnsi="Arial"/>
          <w:sz w:val="24"/>
          <w:szCs w:val="24"/>
        </w:rPr>
        <w:t xml:space="preserve">Контрагент - физическое или юридическое лицо, с которым брокер заключает договор в отношении проведения операций с ценными бумагами.</w:t>
      </w:r>
    </w:p>
    <w:p>
      <w:pPr>
        <w:spacing w:after="120"/>
        <w:jc w:val="both"/>
      </w:pPr>
      <w:r>
        <w:rPr>
          <w:rFonts w:ascii="Arial" w:cs="Arial" w:eastAsia="Arial" w:hAnsi="Arial"/>
          <w:sz w:val="24"/>
          <w:szCs w:val="24"/>
        </w:rPr>
        <w:t xml:space="preserve">4. Поставка ценных бумаг:</w:t>
      </w:r>
    </w:p>
    <w:p>
      <w:pPr>
        <w:spacing w:after="120"/>
        <w:jc w:val="both"/>
      </w:pPr>
      <w:r>
        <w:rPr>
          <w:rFonts w:ascii="Arial" w:cs="Arial" w:eastAsia="Arial" w:hAnsi="Arial"/>
          <w:sz w:val="24"/>
          <w:szCs w:val="24"/>
        </w:rPr>
        <w:t xml:space="preserve">поставка документарных ценных бумаг - передача одной стороной другой стороне ценной бумаги на предъявителя или совершение на ордерной ценной бумаге передаточной надписи (индоссамента);</w:t>
      </w:r>
    </w:p>
    <w:p>
      <w:pPr>
        <w:spacing w:after="120"/>
        <w:jc w:val="both"/>
      </w:pPr>
      <w:r>
        <w:rPr>
          <w:rFonts w:ascii="Arial" w:cs="Arial" w:eastAsia="Arial" w:hAnsi="Arial"/>
          <w:sz w:val="24"/>
          <w:szCs w:val="24"/>
        </w:rPr>
        <w:t xml:space="preserve">поставка бездокументарных ценных бумаг - передача одной стороной другой стороне надлежащим образом оформленного документа (выписки из реестра акционеров), удостоверяющего факт перерегистрации права собственности на ценные бумаги;</w:t>
      </w:r>
    </w:p>
    <w:p>
      <w:pPr>
        <w:spacing w:after="120"/>
        <w:jc w:val="both"/>
      </w:pPr>
      <w:r>
        <w:rPr>
          <w:rFonts w:ascii="Arial" w:cs="Arial" w:eastAsia="Arial" w:hAnsi="Arial"/>
          <w:sz w:val="24"/>
          <w:szCs w:val="24"/>
        </w:rPr>
        <w:t xml:space="preserve">поставка сертификатов именных ценных бумаг - передача одной стороной другой стороне сертификата именной ценной бумаги и должным образом оформленного передаточного распоряжения, а также иных документов, необходимых для осуществления перерегистрации права собственности.</w:t>
      </w:r>
    </w:p>
    <w:p>
      <w:pPr>
        <w:spacing w:after="120"/>
        <w:jc w:val="both"/>
      </w:pPr>
      <w:r>
        <w:rPr>
          <w:rFonts w:ascii="Arial" w:cs="Arial" w:eastAsia="Arial" w:hAnsi="Arial"/>
          <w:sz w:val="24"/>
          <w:szCs w:val="24"/>
        </w:rPr>
        <w:t xml:space="preserve">Сделка с ценными бумагами - заключение соглашения между брокером и другой стороной, при которой одна сторона соглашается продать (подарить, поменять), а другая соглашается купить (поменять или принять в подарок) ценные бумаги по оговоренной цене и на оговоренных условиях.</w:t>
      </w:r>
    </w:p>
    <w:p>
      <w:pPr>
        <w:spacing w:after="120"/>
        <w:jc w:val="both"/>
      </w:pPr>
      <w:r>
        <w:rPr>
          <w:rFonts w:ascii="Arial" w:cs="Arial" w:eastAsia="Arial" w:hAnsi="Arial"/>
          <w:sz w:val="24"/>
          <w:szCs w:val="24"/>
        </w:rPr>
        <w:t xml:space="preserve">Операция с ценными бумагами - любое действие с ценными бумагами и/или денежными средствами, производимое брокером для обеспечения выполнения его обязательств перед клиентами или контрагентами в отношении ценных бумаг, а также обязательств клиентов и контрагентов перед компанией, в результате которого происходит движение денежных средств или ценных бумаг.</w:t>
      </w:r>
    </w:p>
    <w:p>
      <w:pPr>
        <w:spacing w:after="120"/>
        <w:jc w:val="both"/>
      </w:pPr>
      <w:r>
        <w:rPr>
          <w:rFonts w:ascii="Arial" w:cs="Arial" w:eastAsia="Arial" w:hAnsi="Arial"/>
          <w:sz w:val="24"/>
          <w:szCs w:val="24"/>
        </w:rPr>
        <w:t xml:space="preserve">Момент совершения сделки или операции - момент достижения сторонами устного соглашения о всех существенных условиях сделки или операции или подписания письменного договора о заключении сделки или произведения операции, в результате которого возникают обязательства в отношении ценных бумаг и/или денежных средств.</w:t>
      </w:r>
    </w:p>
    <w:p>
      <w:pPr>
        <w:spacing w:after="120"/>
        <w:jc w:val="both"/>
      </w:pPr>
      <w:r>
        <w:rPr>
          <w:rFonts w:ascii="Arial" w:cs="Arial" w:eastAsia="Arial" w:hAnsi="Arial"/>
          <w:sz w:val="24"/>
          <w:szCs w:val="24"/>
        </w:rPr>
        <w:t xml:space="preserve">Завершение сделки - момент исполнения всех обязательств по договору между покупателем и продавцом.</w:t>
      </w:r>
    </w:p>
    <w:p>
      <w:pPr>
        <w:spacing w:after="120"/>
        <w:jc w:val="both"/>
      </w:pPr>
      <w:r>
        <w:rPr>
          <w:rFonts w:ascii="Arial" w:cs="Arial" w:eastAsia="Arial" w:hAnsi="Arial"/>
          <w:sz w:val="24"/>
          <w:szCs w:val="24"/>
        </w:rPr>
        <w:t xml:space="preserve">Место заключения сделки - фондовая биржа, внебиржевой рынок, торговая система или иная торговая площадка.</w:t>
      </w:r>
    </w:p>
    <w:p>
      <w:pPr>
        <w:spacing w:after="120"/>
        <w:jc w:val="both"/>
      </w:pPr>
      <w:r>
        <w:rPr>
          <w:rFonts w:ascii="Arial" w:cs="Arial" w:eastAsia="Arial" w:hAnsi="Arial"/>
          <w:sz w:val="24"/>
          <w:szCs w:val="24"/>
        </w:rPr>
        <w:t xml:space="preserve">Бэк-офис - подразделение, ответственное лицо или группа лиц, на которых возложена функция ведения внутреннего учета операций с ценными бумагами брокера.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Основные правила и требования к ведению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Брокеры обязаны вести точный и своевременный учет проводимых ими операций с ценными бумагами в денежном и количественном выражении путем сплошного, непрерывного, документального и взаимосвязанного их отражения в регистрах внутреннего учета. Главными задачами внутреннего учета являются формирование полной и достоверной информации о результатах операций с ценными бумагами, необходимой для оперативного руководства и управления компанией, для составления точной и своевременной отчетности перед клиентами компаний, своевременного предупреждения негативных явлений в деятельности компаний, а также для обеспечения контроля со стороны регулирующих органов за деятельностью компаний на рынке ценных бумаг.</w:t>
      </w:r>
    </w:p>
    <w:p>
      <w:pPr>
        <w:spacing w:after="120"/>
        <w:jc w:val="both"/>
      </w:pPr>
      <w:r>
        <w:rPr>
          <w:rFonts w:ascii="Arial" w:cs="Arial" w:eastAsia="Arial" w:hAnsi="Arial"/>
          <w:sz w:val="24"/>
          <w:szCs w:val="24"/>
        </w:rPr>
        <w:t xml:space="preserve">6. Внутренний учет операций с ценными бумагами ведется брокерами отдельно и в дополнение к бухгалтерскому учету их финансово-хозяйственной деятельности для целей более точного отражения специфических операций, проводимых этими компаниями на рынке ценных бумаг.</w:t>
      </w:r>
    </w:p>
    <w:p>
      <w:pPr>
        <w:spacing w:after="120"/>
        <w:jc w:val="both"/>
      </w:pPr>
      <w:r>
        <w:rPr>
          <w:rFonts w:ascii="Arial" w:cs="Arial" w:eastAsia="Arial" w:hAnsi="Arial"/>
          <w:sz w:val="24"/>
          <w:szCs w:val="24"/>
        </w:rPr>
        <w:t xml:space="preserve">7. Брокеры обязаны:</w:t>
      </w:r>
    </w:p>
    <w:p>
      <w:pPr>
        <w:spacing w:after="120"/>
        <w:jc w:val="both"/>
      </w:pPr>
      <w:r>
        <w:rPr>
          <w:rFonts w:ascii="Arial" w:cs="Arial" w:eastAsia="Arial" w:hAnsi="Arial"/>
          <w:sz w:val="24"/>
          <w:szCs w:val="24"/>
        </w:rPr>
        <w:t xml:space="preserve">- отражать все операции с ценными бумагами, проводимые ими от собственного имени или по поручению клиента, в ведомостях внутреннего учета на день совершения операции, т.е. не позднее конца рабочего дня, когда операция была совершена. В случае, если компания получает информацию о факте совершения операции с ценными бумагами позднее конца рабочего дня, когда операция была совершена, то указанная операция отражается в ведомостях внутреннего учета не позднее конца рабочего дня, когда информация о совершении операции была получена;</w:t>
      </w:r>
    </w:p>
    <w:p>
      <w:pPr>
        <w:spacing w:after="120"/>
        <w:jc w:val="both"/>
      </w:pPr>
      <w:r>
        <w:rPr>
          <w:rFonts w:ascii="Arial" w:cs="Arial" w:eastAsia="Arial" w:hAnsi="Arial"/>
          <w:sz w:val="24"/>
          <w:szCs w:val="24"/>
        </w:rPr>
        <w:t xml:space="preserve">- разделять во внутреннем учете собственные денежные средства и ценные бумаги, денежные средства и ценные бумаги своих клиентов. Для достижения данной цели брокеры обязаны открывать и вести в системе внутреннего учета отдельные счета по ценным бумагам и счета аналитического учета по денежным средствам, уникально пронумерованные в соответствии с внутренними принципами нумерации счетов в системе учета, для каждого клиента и контрагента компании;</w:t>
      </w:r>
    </w:p>
    <w:p>
      <w:pPr>
        <w:spacing w:after="120"/>
        <w:jc w:val="both"/>
      </w:pPr>
      <w:r>
        <w:rPr>
          <w:rFonts w:ascii="Arial" w:cs="Arial" w:eastAsia="Arial" w:hAnsi="Arial"/>
          <w:sz w:val="24"/>
          <w:szCs w:val="24"/>
        </w:rPr>
        <w:t xml:space="preserve">- предоставлять своим клиентам регулярную отчетность по результатам операций с ценными бумагами, которые были совершены для данного клиента. Названная отчетность должна отражать все операции, произведенные для клиента с использованием его средств и ценных бумаг, а также остаток денежных средств и ценных бумаг на счете клиента согласно данным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Организация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Внутренний учет брокера может осуществляться работником компании, самостоятельным подразделением или может быть поручен специализированной организации или специалисту на договорных началах. При этом ответственность за точность, полноту, адекватность и своевременность ведения ведомостей внутреннего учета полностью возлагается на брокера.</w:t>
      </w:r>
    </w:p>
    <w:p>
      <w:pPr>
        <w:spacing w:after="120"/>
        <w:jc w:val="both"/>
      </w:pPr>
      <w:r>
        <w:rPr>
          <w:rFonts w:ascii="Arial" w:cs="Arial" w:eastAsia="Arial" w:hAnsi="Arial"/>
          <w:sz w:val="24"/>
          <w:szCs w:val="24"/>
        </w:rPr>
        <w:t xml:space="preserve">9. Ответственность за организацию внутреннего учета брокера несет руководитель компании. Руководитель компании обязан обеспечить неукоснительное соблюдение всеми подразделениями компании, имеющими отношение к внутреннему учету, требований по его организации, предоставлению должным образом задокументированных сведений для надлежащей организации учета, а также формированию необходимой внутренней отчетности и отчетности перед клиентами.</w:t>
      </w:r>
    </w:p>
    <w:p>
      <w:pPr>
        <w:spacing w:after="120"/>
        <w:jc w:val="both"/>
      </w:pPr>
      <w:r>
        <w:rPr>
          <w:rFonts w:ascii="Arial" w:cs="Arial" w:eastAsia="Arial" w:hAnsi="Arial"/>
          <w:sz w:val="24"/>
          <w:szCs w:val="24"/>
        </w:rPr>
        <w:t xml:space="preserve">10. Брокеры, осуществляя организацию внутреннего учета, самостоятельно устанавливают количество и конкретную форму внутренних учетных регистров с соблюдением настоящих стандартов и с учетом технологических условий и возможностей обработки учетной информации, имеющихся в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Документирование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Основанием для записей в регистрах внутреннего учета являются следующие первичные документы, фиксирующие факт совершения операции с ценными бумагами (заключения сделки, движения ценных бумаг, движения денежных средств):</w:t>
      </w:r>
    </w:p>
    <w:p>
      <w:pPr>
        <w:spacing w:after="120"/>
        <w:jc w:val="both"/>
      </w:pPr>
      <w:r>
        <w:rPr>
          <w:rFonts w:ascii="Arial" w:cs="Arial" w:eastAsia="Arial" w:hAnsi="Arial"/>
          <w:sz w:val="24"/>
          <w:szCs w:val="24"/>
        </w:rPr>
        <w:t xml:space="preserve">- договора, контракты, соглашения на осуществление сделки с ценными бумагами;</w:t>
      </w:r>
    </w:p>
    <w:p>
      <w:pPr>
        <w:spacing w:after="120"/>
        <w:jc w:val="both"/>
      </w:pPr>
      <w:r>
        <w:rPr>
          <w:rFonts w:ascii="Arial" w:cs="Arial" w:eastAsia="Arial" w:hAnsi="Arial"/>
          <w:sz w:val="24"/>
          <w:szCs w:val="24"/>
        </w:rPr>
        <w:t xml:space="preserve">- платежные документы (ордера, поручения, требования и другие документы, являющиеся основанием для признания платежей согласно действующему законодательству);</w:t>
      </w:r>
    </w:p>
    <w:p>
      <w:pPr>
        <w:spacing w:after="120"/>
        <w:jc w:val="both"/>
      </w:pPr>
      <w:r>
        <w:rPr>
          <w:rFonts w:ascii="Arial" w:cs="Arial" w:eastAsia="Arial" w:hAnsi="Arial"/>
          <w:sz w:val="24"/>
          <w:szCs w:val="24"/>
        </w:rPr>
        <w:t xml:space="preserve">- документы, удостоверяющие перерегистрацию права собственности на ценные бумаги (выписки из реестра акционеров, выписки депозитария со счета депо), передаточные распоряжения и другие документы, являющиеся необходимыми для перерегистрации права собственности на ценные бумаги согласно действующему законодательству, а также акты приема-передачи сертификатов ценных бумаг.</w:t>
      </w:r>
    </w:p>
    <w:p>
      <w:pPr>
        <w:spacing w:after="120"/>
        <w:jc w:val="both"/>
      </w:pPr>
      <w:r>
        <w:rPr>
          <w:rFonts w:ascii="Arial" w:cs="Arial" w:eastAsia="Arial" w:hAnsi="Arial"/>
          <w:sz w:val="24"/>
          <w:szCs w:val="24"/>
        </w:rPr>
        <w:t xml:space="preserve">12. Надлежащее документирование первичного учета сделок обеспечивается путем заполнения документа, удостоверяющего факт получения приказа клиента на совершение сделки с ценными бумагами, и документа, удостоверяющего факт совершения сделки с ценными бумагами.</w:t>
      </w:r>
    </w:p>
    <w:p>
      <w:pPr>
        <w:spacing w:after="120"/>
        <w:jc w:val="both"/>
      </w:pPr>
      <w:r>
        <w:rPr>
          <w:rFonts w:ascii="Arial" w:cs="Arial" w:eastAsia="Arial" w:hAnsi="Arial"/>
          <w:sz w:val="24"/>
          <w:szCs w:val="24"/>
        </w:rPr>
        <w:t xml:space="preserve">13. Ответственность за своевременное создание первичных документов и достоверность содержащейся в них информации, а также за их передачу в установленные сроки для дальнейшего учета произведенных операций несут лица, подписавшие эти первичные документы.</w:t>
      </w:r>
    </w:p>
    <w:p>
      <w:pPr>
        <w:spacing w:after="120"/>
        <w:jc w:val="both"/>
      </w:pPr>
      <w:r>
        <w:rPr>
          <w:rFonts w:ascii="Arial" w:cs="Arial" w:eastAsia="Arial" w:hAnsi="Arial"/>
          <w:sz w:val="24"/>
          <w:szCs w:val="24"/>
        </w:rPr>
        <w:t xml:space="preserve">Содержащаяся в принятых к учету первичных документах информация, необходимая для отражения во внутреннем учете, накапливается и систематизируется в учетных регистрах.</w:t>
      </w:r>
    </w:p>
    <w:p>
      <w:pPr>
        <w:spacing w:after="120"/>
        <w:jc w:val="both"/>
      </w:pPr>
      <w:r>
        <w:rPr>
          <w:rFonts w:ascii="Arial" w:cs="Arial" w:eastAsia="Arial" w:hAnsi="Arial"/>
          <w:sz w:val="24"/>
          <w:szCs w:val="24"/>
        </w:rPr>
        <w:t xml:space="preserve">Исправление ошибки в первичных документах и учетных регистрах должно быть подтверждено подписью лиц, подписавших документ, с указанием даты исправления.</w:t>
      </w:r>
    </w:p>
    <w:p>
      <w:pPr>
        <w:spacing w:after="120"/>
        <w:jc w:val="both"/>
      </w:pPr>
      <w:r>
        <w:rPr>
          <w:rFonts w:ascii="Arial" w:cs="Arial" w:eastAsia="Arial" w:hAnsi="Arial"/>
          <w:sz w:val="24"/>
          <w:szCs w:val="24"/>
        </w:rPr>
        <w:t xml:space="preserve">Первичные документы и регистры внутреннего учета подлежат обязательному хранению в течение срока, установленного в соответствии с Правилами организации государственного архивного дела, но не менее 5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Регистры внутреннего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Каждый участник рынка ценных бумаг, осуществляющий брокерскую деятельность, обязан вести на постоянной основе следующие журналы внутреннего учета:</w:t>
      </w:r>
    </w:p>
    <w:p>
      <w:pPr>
        <w:spacing w:after="120"/>
        <w:jc w:val="both"/>
      </w:pPr>
      <w:r>
        <w:rPr>
          <w:rFonts w:ascii="Arial" w:cs="Arial" w:eastAsia="Arial" w:hAnsi="Arial"/>
          <w:sz w:val="24"/>
          <w:szCs w:val="24"/>
        </w:rPr>
        <w:t xml:space="preserve">- журнал сделок;</w:t>
      </w:r>
    </w:p>
    <w:p>
      <w:pPr>
        <w:spacing w:after="120"/>
        <w:jc w:val="both"/>
      </w:pPr>
      <w:r>
        <w:rPr>
          <w:rFonts w:ascii="Arial" w:cs="Arial" w:eastAsia="Arial" w:hAnsi="Arial"/>
          <w:sz w:val="24"/>
          <w:szCs w:val="24"/>
        </w:rPr>
        <w:t xml:space="preserve">- журнал ежедневного учета денежных средств;</w:t>
      </w:r>
    </w:p>
    <w:p>
      <w:pPr>
        <w:spacing w:after="120"/>
        <w:jc w:val="both"/>
      </w:pPr>
      <w:r>
        <w:rPr>
          <w:rFonts w:ascii="Arial" w:cs="Arial" w:eastAsia="Arial" w:hAnsi="Arial"/>
          <w:sz w:val="24"/>
          <w:szCs w:val="24"/>
        </w:rPr>
        <w:t xml:space="preserve">- книгу (ведомость) учета денежных средств;</w:t>
      </w:r>
    </w:p>
    <w:p>
      <w:pPr>
        <w:spacing w:after="120"/>
        <w:jc w:val="both"/>
      </w:pPr>
      <w:r>
        <w:rPr>
          <w:rFonts w:ascii="Arial" w:cs="Arial" w:eastAsia="Arial" w:hAnsi="Arial"/>
          <w:sz w:val="24"/>
          <w:szCs w:val="24"/>
        </w:rPr>
        <w:t xml:space="preserve">- журнал ежедневного учета ценных бумаг;</w:t>
      </w:r>
    </w:p>
    <w:p>
      <w:pPr>
        <w:spacing w:after="120"/>
        <w:jc w:val="both"/>
      </w:pPr>
      <w:r>
        <w:rPr>
          <w:rFonts w:ascii="Arial" w:cs="Arial" w:eastAsia="Arial" w:hAnsi="Arial"/>
          <w:sz w:val="24"/>
          <w:szCs w:val="24"/>
        </w:rPr>
        <w:t xml:space="preserve">- книгу (ведомость) учета ценных бумаг.</w:t>
      </w:r>
    </w:p>
    <w:p>
      <w:pPr>
        <w:spacing w:after="120"/>
        <w:jc w:val="both"/>
      </w:pPr>
      <w:r>
        <w:rPr>
          <w:rFonts w:ascii="Arial" w:cs="Arial" w:eastAsia="Arial" w:hAnsi="Arial"/>
          <w:sz w:val="24"/>
          <w:szCs w:val="24"/>
        </w:rPr>
        <w:t xml:space="preserve">Кроме того, брокерам дополнительно рекомендуется вести следующие внутренние учетные ведомости:</w:t>
      </w:r>
    </w:p>
    <w:p>
      <w:pPr>
        <w:spacing w:after="120"/>
        <w:jc w:val="both"/>
      </w:pPr>
      <w:r>
        <w:rPr>
          <w:rFonts w:ascii="Arial" w:cs="Arial" w:eastAsia="Arial" w:hAnsi="Arial"/>
          <w:sz w:val="24"/>
          <w:szCs w:val="24"/>
        </w:rPr>
        <w:t xml:space="preserve">- журнал незавершенных операций;</w:t>
      </w:r>
    </w:p>
    <w:p>
      <w:pPr>
        <w:spacing w:after="120"/>
        <w:jc w:val="both"/>
      </w:pPr>
      <w:r>
        <w:rPr>
          <w:rFonts w:ascii="Arial" w:cs="Arial" w:eastAsia="Arial" w:hAnsi="Arial"/>
          <w:sz w:val="24"/>
          <w:szCs w:val="24"/>
        </w:rPr>
        <w:t xml:space="preserve">- журнал учета клиентских операций.</w:t>
      </w:r>
    </w:p>
    <w:p>
      <w:pPr>
        <w:spacing w:after="120"/>
        <w:jc w:val="both"/>
      </w:pPr>
      <w:r>
        <w:rPr>
          <w:rFonts w:ascii="Arial" w:cs="Arial" w:eastAsia="Arial" w:hAnsi="Arial"/>
          <w:sz w:val="24"/>
          <w:szCs w:val="24"/>
        </w:rPr>
        <w:t xml:space="preserve">Компания выбирает способ ведения журналов внутреннего учета в зависимости от объема операций и возможностей программного обеспечения:</w:t>
      </w:r>
    </w:p>
    <w:p>
      <w:pPr>
        <w:spacing w:after="120"/>
        <w:jc w:val="both"/>
      </w:pPr>
      <w:r>
        <w:rPr>
          <w:rFonts w:ascii="Arial" w:cs="Arial" w:eastAsia="Arial" w:hAnsi="Arial"/>
          <w:sz w:val="24"/>
          <w:szCs w:val="24"/>
        </w:rPr>
        <w:t xml:space="preserve">- на бумажном носителе в виде журнала или карточек учета;</w:t>
      </w:r>
    </w:p>
    <w:p>
      <w:pPr>
        <w:spacing w:after="120"/>
        <w:jc w:val="both"/>
      </w:pPr>
      <w:r>
        <w:rPr>
          <w:rFonts w:ascii="Arial" w:cs="Arial" w:eastAsia="Arial" w:hAnsi="Arial"/>
          <w:sz w:val="24"/>
          <w:szCs w:val="24"/>
        </w:rPr>
        <w:t xml:space="preserve">- в форме электронной таблицы;</w:t>
      </w:r>
    </w:p>
    <w:p>
      <w:pPr>
        <w:spacing w:after="120"/>
        <w:jc w:val="both"/>
      </w:pPr>
      <w:r>
        <w:rPr>
          <w:rFonts w:ascii="Arial" w:cs="Arial" w:eastAsia="Arial" w:hAnsi="Arial"/>
          <w:sz w:val="24"/>
          <w:szCs w:val="24"/>
        </w:rPr>
        <w:t xml:space="preserve">- в виде компьютерных баз данных, являющихся частью автоматизированной системы обработки информации бэк-офиса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Регистры дополнительного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Журнал незавершенных операций - предназначен для контроля за каждым этапом совершения операции или расчетов по сделке, начиная с момента их совершения и до момента их завершения.</w:t>
      </w:r>
    </w:p>
    <w:p>
      <w:pPr>
        <w:spacing w:after="120"/>
        <w:jc w:val="both"/>
      </w:pPr>
      <w:r>
        <w:rPr>
          <w:rFonts w:ascii="Arial" w:cs="Arial" w:eastAsia="Arial" w:hAnsi="Arial"/>
          <w:sz w:val="24"/>
          <w:szCs w:val="24"/>
        </w:rPr>
        <w:t xml:space="preserve">16. Журнал учета клиентских операций - предназначен для отражения информации об операциях и сделках, совершенных компанией с клиентами, от собственного имени по их поручению или от имени и по поручению клиентов. Журнал содержит информацию о любом изменении состояния счета каждого клиента, как в отношении денежных остатков, так и позиций по ценным бумагам. Журнал учета клиентских операций ведется в разрезе счетов аналитического учета денежных средств по каждому клиенту и в разрезе счетов по ценным бумагам каждого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Ответственность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Использование брокерами денежных средств и ценных бумаг клиентов.</w:t>
      </w:r>
    </w:p>
    <w:p>
      <w:pPr>
        <w:spacing w:after="120"/>
        <w:jc w:val="both"/>
      </w:pPr>
      <w:r>
        <w:rPr>
          <w:rFonts w:ascii="Arial" w:cs="Arial" w:eastAsia="Arial" w:hAnsi="Arial"/>
          <w:sz w:val="24"/>
          <w:szCs w:val="24"/>
        </w:rPr>
        <w:t xml:space="preserve">Настоящие стандарты не разрешают использование брокерами денежных средств клиентов, находящихся на банковских счетах брокера, без распоряжения клиента, кроме случаев, специально оговоренных в договоре на брокерское обслуживание клиента. Не допускается также использование ценных бумаг клиентов без распоряжения клиента, кроме случаев, специально оговоренных в договоре на брокерское обслуживание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Отчетность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Брокеры обязаны предоставлять клиентам периодическую отчетность по операциям, произведенным для данного клиента в соответствии с настоящими стандартами.</w:t>
      </w:r>
    </w:p>
    <w:p>
      <w:pPr>
        <w:spacing w:after="120"/>
        <w:jc w:val="both"/>
      </w:pPr>
      <w:r>
        <w:rPr>
          <w:rFonts w:ascii="Arial" w:cs="Arial" w:eastAsia="Arial" w:hAnsi="Arial"/>
          <w:sz w:val="24"/>
          <w:szCs w:val="24"/>
        </w:rPr>
        <w:t xml:space="preserve">Брокеры обязаны предоставить клиентам, ценные бумаги которых находятся в его номинальном держании, документы и информацию, полученную от эмитента ценных бумаг или его агента, необходимую для реализации прав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Периодические сверки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Сверка наличия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Каждый брокер должен ежеквартально проводить сверку наличия ценных бумаг с записями книги учета ценных бумаг в соответствии с настоящими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Сверка наличия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Все брокеры должны не реже одного раза в месяц сверять записи по внутренним счетам с данными бухгалтерского учета.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Доступность журналов и книг учета регулирующим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Все компании, осуществляющие брокерскую деятельность по ценным бумагам, должны предоставлять для проверок уполномоченным лицам по их требованию всю информацию (документацию) о внутренней учетной политике, учетные регистры и отчетность в соответствии с нормативными документами, регулирующими деятельность брокеров.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Ответственность за нарушение требований, устанавливаемых настоящими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Ответственность за нарушение требований, установленных настоящими стандартами, устанавливается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первичного учета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Журнал сделок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Назначение и ведение журнала сделок.</w:t>
      </w:r>
    </w:p>
    <w:p>
      <w:pPr>
        <w:spacing w:after="120"/>
        <w:jc w:val="both"/>
      </w:pPr>
      <w:r>
        <w:rPr>
          <w:rFonts w:ascii="Arial" w:cs="Arial" w:eastAsia="Arial" w:hAnsi="Arial"/>
          <w:sz w:val="24"/>
          <w:szCs w:val="24"/>
        </w:rPr>
        <w:t xml:space="preserve">Журнал сделок является ежедневным журналом, в котором фиксируется основная информация о заключенных компанией сделках.</w:t>
      </w:r>
    </w:p>
    <w:p>
      <w:pPr>
        <w:spacing w:after="120"/>
        <w:jc w:val="both"/>
      </w:pPr>
      <w:r>
        <w:rPr>
          <w:rFonts w:ascii="Arial" w:cs="Arial" w:eastAsia="Arial" w:hAnsi="Arial"/>
          <w:sz w:val="24"/>
          <w:szCs w:val="24"/>
        </w:rPr>
        <w:t xml:space="preserve">Источником данных для осуществления записей в журнале сделок является биржевой контракт.</w:t>
      </w:r>
    </w:p>
    <w:p>
      <w:pPr>
        <w:spacing w:after="120"/>
        <w:jc w:val="both"/>
      </w:pPr>
      <w:r>
        <w:rPr>
          <w:rFonts w:ascii="Arial" w:cs="Arial" w:eastAsia="Arial" w:hAnsi="Arial"/>
          <w:sz w:val="24"/>
          <w:szCs w:val="24"/>
        </w:rPr>
        <w:t xml:space="preserve">Каждой заключенной сделке соответствует одна запись в журнале сделок.</w:t>
      </w:r>
    </w:p>
    <w:p>
      <w:pPr>
        <w:spacing w:after="120"/>
        <w:jc w:val="both"/>
      </w:pPr>
      <w:r>
        <w:rPr>
          <w:rFonts w:ascii="Arial" w:cs="Arial" w:eastAsia="Arial" w:hAnsi="Arial"/>
          <w:sz w:val="24"/>
          <w:szCs w:val="24"/>
        </w:rPr>
        <w:t xml:space="preserve">Информация о сделках заносится в журнал в день совершения сделки в хронологическом порядке.</w:t>
      </w:r>
    </w:p>
    <w:p>
      <w:pPr>
        <w:spacing w:after="120"/>
        <w:jc w:val="both"/>
      </w:pPr>
      <w:r>
        <w:rPr>
          <w:rFonts w:ascii="Arial" w:cs="Arial" w:eastAsia="Arial" w:hAnsi="Arial"/>
          <w:sz w:val="24"/>
          <w:szCs w:val="24"/>
        </w:rPr>
        <w:t xml:space="preserve">24. Данные журнала сделок (приложение, </w:t>
      </w:r>
      <w:hyperlink w:history="1" r:id="rIdricrlk8nmow6ngan0e5gl">
        <w:r>
          <w:rPr>
            <w:rFonts w:ascii="Arial" w:cs="Arial" w:eastAsia="Arial" w:hAnsi="Arial"/>
            <w:color w:val="1D4ED8"/>
            <w:sz w:val="24"/>
            <w:szCs w:val="24"/>
            <w:u w:val="single"/>
          </w:rPr>
          <w:t xml:space="preserve">форма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Журнал сделок должен содержать следующую информацию о сделке:</w:t>
      </w:r>
    </w:p>
    <w:p>
      <w:pPr>
        <w:spacing w:after="120"/>
        <w:jc w:val="both"/>
      </w:pPr>
      <w:r>
        <w:rPr>
          <w:rFonts w:ascii="Arial" w:cs="Arial" w:eastAsia="Arial" w:hAnsi="Arial"/>
          <w:sz w:val="24"/>
          <w:szCs w:val="24"/>
        </w:rPr>
        <w:t xml:space="preserve">- дата сделки;</w:t>
      </w:r>
    </w:p>
    <w:p>
      <w:pPr>
        <w:spacing w:after="120"/>
        <w:jc w:val="both"/>
      </w:pPr>
      <w:r>
        <w:rPr>
          <w:rFonts w:ascii="Arial" w:cs="Arial" w:eastAsia="Arial" w:hAnsi="Arial"/>
          <w:sz w:val="24"/>
          <w:szCs w:val="24"/>
        </w:rPr>
        <w:t xml:space="preserve">- дата подписания договора;</w:t>
      </w:r>
    </w:p>
    <w:p>
      <w:pPr>
        <w:spacing w:after="120"/>
        <w:jc w:val="both"/>
      </w:pPr>
      <w:r>
        <w:rPr>
          <w:rFonts w:ascii="Arial" w:cs="Arial" w:eastAsia="Arial" w:hAnsi="Arial"/>
          <w:sz w:val="24"/>
          <w:szCs w:val="24"/>
        </w:rPr>
        <w:t xml:space="preserve">- дата перерегистрации ценных бумаг;</w:t>
      </w:r>
    </w:p>
    <w:p>
      <w:pPr>
        <w:spacing w:after="120"/>
        <w:jc w:val="both"/>
      </w:pPr>
      <w:r>
        <w:rPr>
          <w:rFonts w:ascii="Arial" w:cs="Arial" w:eastAsia="Arial" w:hAnsi="Arial"/>
          <w:sz w:val="24"/>
          <w:szCs w:val="24"/>
        </w:rPr>
        <w:t xml:space="preserve">- дата оплаты суммы сделки (дата прихода денежных средств на счет продавца);</w:t>
      </w:r>
    </w:p>
    <w:p>
      <w:pPr>
        <w:spacing w:after="120"/>
        <w:jc w:val="both"/>
      </w:pPr>
      <w:r>
        <w:rPr>
          <w:rFonts w:ascii="Arial" w:cs="Arial" w:eastAsia="Arial" w:hAnsi="Arial"/>
          <w:sz w:val="24"/>
          <w:szCs w:val="24"/>
        </w:rPr>
        <w:t xml:space="preserve">- номер договора;</w:t>
      </w:r>
    </w:p>
    <w:p>
      <w:pPr>
        <w:spacing w:after="120"/>
        <w:jc w:val="both"/>
      </w:pPr>
      <w:r>
        <w:rPr>
          <w:rFonts w:ascii="Arial" w:cs="Arial" w:eastAsia="Arial" w:hAnsi="Arial"/>
          <w:sz w:val="24"/>
          <w:szCs w:val="24"/>
        </w:rPr>
        <w:t xml:space="preserve">- наименование продавца;</w:t>
      </w:r>
    </w:p>
    <w:p>
      <w:pPr>
        <w:spacing w:after="120"/>
        <w:jc w:val="both"/>
      </w:pPr>
      <w:r>
        <w:rPr>
          <w:rFonts w:ascii="Arial" w:cs="Arial" w:eastAsia="Arial" w:hAnsi="Arial"/>
          <w:sz w:val="24"/>
          <w:szCs w:val="24"/>
        </w:rPr>
        <w:t xml:space="preserve">- номер счета продавца в системе внутреннего учета;</w:t>
      </w:r>
    </w:p>
    <w:p>
      <w:pPr>
        <w:spacing w:after="120"/>
        <w:jc w:val="both"/>
      </w:pPr>
      <w:r>
        <w:rPr>
          <w:rFonts w:ascii="Arial" w:cs="Arial" w:eastAsia="Arial" w:hAnsi="Arial"/>
          <w:sz w:val="24"/>
          <w:szCs w:val="24"/>
        </w:rPr>
        <w:t xml:space="preserve">- наименование покупателя;</w:t>
      </w:r>
    </w:p>
    <w:p>
      <w:pPr>
        <w:spacing w:after="120"/>
        <w:jc w:val="both"/>
      </w:pPr>
      <w:r>
        <w:rPr>
          <w:rFonts w:ascii="Arial" w:cs="Arial" w:eastAsia="Arial" w:hAnsi="Arial"/>
          <w:sz w:val="24"/>
          <w:szCs w:val="24"/>
        </w:rPr>
        <w:t xml:space="preserve">- номер счета покупателя в системе внутреннего учета;</w:t>
      </w:r>
    </w:p>
    <w:p>
      <w:pPr>
        <w:spacing w:after="120"/>
        <w:jc w:val="both"/>
      </w:pPr>
      <w:r>
        <w:rPr>
          <w:rFonts w:ascii="Arial" w:cs="Arial" w:eastAsia="Arial" w:hAnsi="Arial"/>
          <w:sz w:val="24"/>
          <w:szCs w:val="24"/>
        </w:rPr>
        <w:t xml:space="preserve">- вид ценной бумаги;</w:t>
      </w:r>
    </w:p>
    <w:p>
      <w:pPr>
        <w:spacing w:after="120"/>
        <w:jc w:val="both"/>
      </w:pPr>
      <w:r>
        <w:rPr>
          <w:rFonts w:ascii="Arial" w:cs="Arial" w:eastAsia="Arial" w:hAnsi="Arial"/>
          <w:sz w:val="24"/>
          <w:szCs w:val="24"/>
        </w:rPr>
        <w:t xml:space="preserve">- цена;</w:t>
      </w:r>
    </w:p>
    <w:p>
      <w:pPr>
        <w:spacing w:after="120"/>
        <w:jc w:val="both"/>
      </w:pPr>
      <w:r>
        <w:rPr>
          <w:rFonts w:ascii="Arial" w:cs="Arial" w:eastAsia="Arial" w:hAnsi="Arial"/>
          <w:sz w:val="24"/>
          <w:szCs w:val="24"/>
        </w:rPr>
        <w:t xml:space="preserve">- валюта платежа;</w:t>
      </w:r>
    </w:p>
    <w:p>
      <w:pPr>
        <w:spacing w:after="120"/>
        <w:jc w:val="both"/>
      </w:pPr>
      <w:r>
        <w:rPr>
          <w:rFonts w:ascii="Arial" w:cs="Arial" w:eastAsia="Arial" w:hAnsi="Arial"/>
          <w:sz w:val="24"/>
          <w:szCs w:val="24"/>
        </w:rPr>
        <w:t xml:space="preserve">- количество ценных бумаг;</w:t>
      </w:r>
    </w:p>
    <w:p>
      <w:pPr>
        <w:spacing w:after="120"/>
        <w:jc w:val="both"/>
      </w:pPr>
      <w:r>
        <w:rPr>
          <w:rFonts w:ascii="Arial" w:cs="Arial" w:eastAsia="Arial" w:hAnsi="Arial"/>
          <w:sz w:val="24"/>
          <w:szCs w:val="24"/>
        </w:rPr>
        <w:t xml:space="preserve">- общая сумма сделки;</w:t>
      </w:r>
    </w:p>
    <w:p>
      <w:pPr>
        <w:spacing w:after="120"/>
        <w:jc w:val="both"/>
      </w:pPr>
      <w:r>
        <w:rPr>
          <w:rFonts w:ascii="Arial" w:cs="Arial" w:eastAsia="Arial" w:hAnsi="Arial"/>
          <w:sz w:val="24"/>
          <w:szCs w:val="24"/>
        </w:rPr>
        <w:t xml:space="preserve">- брокерская комиссия;</w:t>
      </w:r>
    </w:p>
    <w:p>
      <w:pPr>
        <w:spacing w:after="120"/>
        <w:jc w:val="both"/>
      </w:pPr>
      <w:r>
        <w:rPr>
          <w:rFonts w:ascii="Arial" w:cs="Arial" w:eastAsia="Arial" w:hAnsi="Arial"/>
          <w:sz w:val="24"/>
          <w:szCs w:val="24"/>
        </w:rPr>
        <w:t xml:space="preserve">- регистрационный сбор;</w:t>
      </w:r>
    </w:p>
    <w:p>
      <w:pPr>
        <w:spacing w:after="120"/>
        <w:jc w:val="both"/>
      </w:pPr>
      <w:r>
        <w:rPr>
          <w:rFonts w:ascii="Arial" w:cs="Arial" w:eastAsia="Arial" w:hAnsi="Arial"/>
          <w:sz w:val="24"/>
          <w:szCs w:val="24"/>
        </w:rPr>
        <w:t xml:space="preserve">- итоговая сумма сделки.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учета движения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Принципы системы учета движения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Система учета движения денежных средств бэк-офиса предназначена для учета движения денежных средств по операциям с ценными бумагами по счетам внутреннего учета бэк-офиса.</w:t>
      </w:r>
    </w:p>
    <w:p>
      <w:pPr>
        <w:spacing w:after="120"/>
        <w:jc w:val="both"/>
      </w:pPr>
      <w:r>
        <w:rPr>
          <w:rFonts w:ascii="Arial" w:cs="Arial" w:eastAsia="Arial" w:hAnsi="Arial"/>
          <w:sz w:val="24"/>
          <w:szCs w:val="24"/>
        </w:rPr>
        <w:t xml:space="preserve">Целью ведения системы является формирование полной и достоверной информации о результатах операций с ценными бумагами в денежном выражении, определение активов компании в ценных бумагах и денежных средствах, ее задолженности по отношению к клиентам и контрагентам, задолженности клиентов и контрагентов по отношению к компании, прибылей и убытков, возникающих в связи с операциями с ценными бумагами.</w:t>
      </w:r>
    </w:p>
    <w:p>
      <w:pPr>
        <w:spacing w:after="120"/>
        <w:jc w:val="both"/>
      </w:pPr>
      <w:r>
        <w:rPr>
          <w:rFonts w:ascii="Arial" w:cs="Arial" w:eastAsia="Arial" w:hAnsi="Arial"/>
          <w:sz w:val="24"/>
          <w:szCs w:val="24"/>
        </w:rPr>
        <w:t xml:space="preserve">Ведение системы осуществляется с соблюдением основных принципов учета, а именно:</w:t>
      </w:r>
    </w:p>
    <w:p>
      <w:pPr>
        <w:spacing w:after="120"/>
        <w:jc w:val="both"/>
      </w:pPr>
      <w:r>
        <w:rPr>
          <w:rFonts w:ascii="Arial" w:cs="Arial" w:eastAsia="Arial" w:hAnsi="Arial"/>
          <w:sz w:val="24"/>
          <w:szCs w:val="24"/>
        </w:rPr>
        <w:t xml:space="preserve">- приоритета содержания операции над ее формой;</w:t>
      </w:r>
    </w:p>
    <w:p>
      <w:pPr>
        <w:spacing w:after="120"/>
        <w:jc w:val="both"/>
      </w:pPr>
      <w:r>
        <w:rPr>
          <w:rFonts w:ascii="Arial" w:cs="Arial" w:eastAsia="Arial" w:hAnsi="Arial"/>
          <w:sz w:val="24"/>
          <w:szCs w:val="24"/>
        </w:rPr>
        <w:t xml:space="preserve">- существенности финансовой информации;</w:t>
      </w:r>
    </w:p>
    <w:p>
      <w:pPr>
        <w:spacing w:after="120"/>
        <w:jc w:val="both"/>
      </w:pPr>
      <w:r>
        <w:rPr>
          <w:rFonts w:ascii="Arial" w:cs="Arial" w:eastAsia="Arial" w:hAnsi="Arial"/>
          <w:sz w:val="24"/>
          <w:szCs w:val="24"/>
        </w:rPr>
        <w:t xml:space="preserve">- наращивания доходов и расходов;</w:t>
      </w:r>
    </w:p>
    <w:p>
      <w:pPr>
        <w:spacing w:after="120"/>
        <w:jc w:val="both"/>
      </w:pPr>
      <w:r>
        <w:rPr>
          <w:rFonts w:ascii="Arial" w:cs="Arial" w:eastAsia="Arial" w:hAnsi="Arial"/>
          <w:sz w:val="24"/>
          <w:szCs w:val="24"/>
        </w:rPr>
        <w:t xml:space="preserve">- раздельного отражения активов и пассивов;</w:t>
      </w:r>
    </w:p>
    <w:p>
      <w:pPr>
        <w:spacing w:after="120"/>
        <w:jc w:val="both"/>
      </w:pPr>
      <w:r>
        <w:rPr>
          <w:rFonts w:ascii="Arial" w:cs="Arial" w:eastAsia="Arial" w:hAnsi="Arial"/>
          <w:sz w:val="24"/>
          <w:szCs w:val="24"/>
        </w:rPr>
        <w:t xml:space="preserve">- постоянства правил учета;</w:t>
      </w:r>
    </w:p>
    <w:p>
      <w:pPr>
        <w:spacing w:after="120"/>
        <w:jc w:val="both"/>
      </w:pPr>
      <w:r>
        <w:rPr>
          <w:rFonts w:ascii="Arial" w:cs="Arial" w:eastAsia="Arial" w:hAnsi="Arial"/>
          <w:sz w:val="24"/>
          <w:szCs w:val="24"/>
        </w:rPr>
        <w:t xml:space="preserve">- двойной записи.</w:t>
      </w:r>
    </w:p>
    <w:p>
      <w:pPr>
        <w:spacing w:after="120"/>
        <w:jc w:val="both"/>
      </w:pPr>
      <w:r>
        <w:rPr>
          <w:rFonts w:ascii="Arial" w:cs="Arial" w:eastAsia="Arial" w:hAnsi="Arial"/>
          <w:sz w:val="24"/>
          <w:szCs w:val="24"/>
        </w:rPr>
        <w:t xml:space="preserve">Система обеспечивает сегрегацию во внутреннем учете собственных денежных средств и вложений в ценные бумаги компании и денежных средств и вложений в ценные бумаги ее клиентов.</w:t>
      </w:r>
    </w:p>
    <w:p>
      <w:pPr>
        <w:spacing w:after="120"/>
        <w:jc w:val="both"/>
      </w:pPr>
      <w:r>
        <w:rPr>
          <w:rFonts w:ascii="Arial" w:cs="Arial" w:eastAsia="Arial" w:hAnsi="Arial"/>
          <w:sz w:val="24"/>
          <w:szCs w:val="24"/>
        </w:rPr>
        <w:t xml:space="preserve">Система включает журнал ежедневного учета денежных средств, книгу (ведомость) учета денежных средств, баланс по денежным средствам.</w:t>
      </w:r>
    </w:p>
    <w:p>
      <w:pPr>
        <w:spacing w:after="120"/>
        <w:jc w:val="both"/>
      </w:pPr>
      <w:r>
        <w:rPr>
          <w:rFonts w:ascii="Arial" w:cs="Arial" w:eastAsia="Arial" w:hAnsi="Arial"/>
          <w:sz w:val="24"/>
          <w:szCs w:val="24"/>
        </w:rPr>
        <w:t xml:space="preserve">Журнал ежедневного учета денежных средств представляет собой ведомость ежедневного учета. Записи в журнале производятся по корреспондирующим счетам по принципу двойной записи и отражают все движения денежных средств и обязательств, произошедшие в течение данного операционного дня. Все операции заносятся в журнал на день их совершения, т.е. не позднее конца рабочего дня, когда операция была совершена.</w:t>
      </w:r>
    </w:p>
    <w:p>
      <w:pPr>
        <w:spacing w:after="120"/>
        <w:jc w:val="both"/>
      </w:pPr>
      <w:r>
        <w:rPr>
          <w:rFonts w:ascii="Arial" w:cs="Arial" w:eastAsia="Arial" w:hAnsi="Arial"/>
          <w:sz w:val="24"/>
          <w:szCs w:val="24"/>
        </w:rPr>
        <w:t xml:space="preserve">Книга (ведомость) учета денежных средств составляется на основе информации журнала ежедневного учета с периодичностью не реже одного раза в месяц. Книга организована по порядку номеров счетов и отражает остатки по всем счетам системы учета движения денежных средств бэк-офиса. Книга также служит инструментом для выявления ошибок и расхождений, допущенных во внутреннем учете.</w:t>
      </w:r>
    </w:p>
    <w:p>
      <w:pPr>
        <w:spacing w:after="120"/>
        <w:jc w:val="both"/>
      </w:pPr>
      <w:r>
        <w:rPr>
          <w:rFonts w:ascii="Arial" w:cs="Arial" w:eastAsia="Arial" w:hAnsi="Arial"/>
          <w:sz w:val="24"/>
          <w:szCs w:val="24"/>
        </w:rPr>
        <w:t xml:space="preserve">Баланс по денежным средствам содержит остатки по счетам регистров учета движения денежных средств на конец отчетного периода. Продолжительность отчетного периода устанавливается компанией в Положении о внутренней учетной политике. Баланс составляется на основе информации по сделкам, отраженной в регистрах учета на день совершения операции.</w:t>
      </w:r>
    </w:p>
    <w:p>
      <w:pPr>
        <w:spacing w:after="120"/>
        <w:jc w:val="both"/>
      </w:pPr>
      <w:r>
        <w:rPr>
          <w:rFonts w:ascii="Arial" w:cs="Arial" w:eastAsia="Arial" w:hAnsi="Arial"/>
          <w:sz w:val="24"/>
          <w:szCs w:val="24"/>
        </w:rPr>
        <w:t xml:space="preserve">Обороты по дебету и кредиту счетов, отражающих операции с ценными бумагами, осуществляемые с сотрудниками или руководителями компании, их ближайшими родственниками или аффилированными компаниями, показываются в балансе по денежным средствам отдельной строкой.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Внутренний план счетов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Для обеспечения своевременного и правильного учета и отчетности по операциям с ценными бумагами бэк-офис ведет счета внутреннего учета движения денежных средств и ценных бумаг. Правила и процедуры синтетического и аналитического учета по этим счетам определяются компанией на базе Положения о внутренней учетной политике, общепринятых принципов бухгалтерского учета, а также специальных потребностей учета компании.</w:t>
      </w:r>
    </w:p>
    <w:p>
      <w:pPr>
        <w:spacing w:after="120"/>
        <w:jc w:val="both"/>
      </w:pPr>
      <w:r>
        <w:rPr>
          <w:rFonts w:ascii="Arial" w:cs="Arial" w:eastAsia="Arial" w:hAnsi="Arial"/>
          <w:sz w:val="24"/>
          <w:szCs w:val="24"/>
        </w:rPr>
        <w:t xml:space="preserve">Счета внутреннего учета используются только в рамках бэк-офиса. Бэк-офис разрабатывает и вносит необходимые дополнения во внутренний план счетов с соблюдением основных правил учета и устанавливает корреспонденцию между счетами внутреннего учета. Счета внутреннего учета должны удовлетворять требованию корректного отражения сути операций с ценными бумагами. Нумерация открываемых счетов внутреннего учета и их названия определяются компанией самостоятельно, на основании плана счетов, рекомендованных уполномоченным государственным органом по стандартам финансовой отчетности и аудиту.</w:t>
      </w:r>
    </w:p>
    <w:p>
      <w:pPr>
        <w:spacing w:after="120"/>
        <w:jc w:val="both"/>
      </w:pPr>
      <w:r>
        <w:rPr>
          <w:rFonts w:ascii="Arial" w:cs="Arial" w:eastAsia="Arial" w:hAnsi="Arial"/>
          <w:sz w:val="24"/>
          <w:szCs w:val="24"/>
        </w:rPr>
        <w:t xml:space="preserve">План счетов бэк-офиса включает:</w:t>
      </w:r>
    </w:p>
    <w:p>
      <w:pPr>
        <w:spacing w:after="120"/>
        <w:jc w:val="both"/>
      </w:pPr>
      <w:r>
        <w:rPr>
          <w:rFonts w:ascii="Arial" w:cs="Arial" w:eastAsia="Arial" w:hAnsi="Arial"/>
          <w:sz w:val="24"/>
          <w:szCs w:val="24"/>
        </w:rPr>
        <w:t xml:space="preserve">а) счета денежных средств, доходов и расходов:</w:t>
      </w:r>
    </w:p>
    <w:p>
      <w:pPr>
        <w:spacing w:after="120"/>
        <w:jc w:val="both"/>
      </w:pPr>
      <w:r>
        <w:rPr>
          <w:rFonts w:ascii="Arial" w:cs="Arial" w:eastAsia="Arial" w:hAnsi="Arial"/>
          <w:sz w:val="24"/>
          <w:szCs w:val="24"/>
        </w:rPr>
        <w:t xml:space="preserve">счета учета денежных средств должны быть открыты для отражения денежных средств на расчетных и валютных счетах и в кассе компании, условно выделенные из денежных средств компании в целом для целей внутреннего учета. Они предназначены для отражения информации о наличии и движении денежных средств по операциям с ценными бумагами.</w:t>
      </w:r>
    </w:p>
    <w:p>
      <w:pPr>
        <w:spacing w:after="120"/>
        <w:jc w:val="both"/>
      </w:pPr>
      <w:r>
        <w:rPr>
          <w:rFonts w:ascii="Arial" w:cs="Arial" w:eastAsia="Arial" w:hAnsi="Arial"/>
          <w:sz w:val="24"/>
          <w:szCs w:val="24"/>
        </w:rPr>
        <w:t xml:space="preserve">Компания должна вести учет комиссионного дохода, начисленного и полученного компанией при проведении посреднических операций с ценными бумагами.</w:t>
      </w:r>
    </w:p>
    <w:p>
      <w:pPr>
        <w:spacing w:after="120"/>
        <w:jc w:val="both"/>
      </w:pPr>
      <w:r>
        <w:rPr>
          <w:rFonts w:ascii="Arial" w:cs="Arial" w:eastAsia="Arial" w:hAnsi="Arial"/>
          <w:sz w:val="24"/>
          <w:szCs w:val="24"/>
        </w:rPr>
        <w:t xml:space="preserve">Для отражения посреднических операций компании с ценными бумагами компания ведет счет, по которому учитывается сумма сделки (без учета регистрационных сборов, комиссионных и других начислений) в корреспонденции со счетами клиентов и контрагентов, выступающих в качестве продавца и покупателя по данной сделке.</w:t>
      </w:r>
    </w:p>
    <w:p>
      <w:pPr>
        <w:spacing w:after="120"/>
        <w:jc w:val="both"/>
      </w:pPr>
      <w:r>
        <w:rPr>
          <w:rFonts w:ascii="Arial" w:cs="Arial" w:eastAsia="Arial" w:hAnsi="Arial"/>
          <w:sz w:val="24"/>
          <w:szCs w:val="24"/>
        </w:rPr>
        <w:t xml:space="preserve">После проведения операции баланс по данному счету должен быть равен нулю.</w:t>
      </w:r>
    </w:p>
    <w:p>
      <w:pPr>
        <w:spacing w:after="120"/>
        <w:jc w:val="both"/>
      </w:pPr>
      <w:r>
        <w:rPr>
          <w:rFonts w:ascii="Arial" w:cs="Arial" w:eastAsia="Arial" w:hAnsi="Arial"/>
          <w:sz w:val="24"/>
          <w:szCs w:val="24"/>
        </w:rPr>
        <w:t xml:space="preserve">Компания должна вести учет дивидендов и процентов, полученных компанией по ценным бумагам, принадлежащим компании, и дивидендов и процентов по ценным бумагам клиентов, находящимся в номинальном владении компании. Дивиденды и проценты по ценным бумагам клиентов должны быть перечислены на счета клиентов сразу после их поступления.</w:t>
      </w:r>
    </w:p>
    <w:p>
      <w:pPr>
        <w:spacing w:after="120"/>
        <w:jc w:val="both"/>
      </w:pPr>
      <w:r>
        <w:rPr>
          <w:rFonts w:ascii="Arial" w:cs="Arial" w:eastAsia="Arial" w:hAnsi="Arial"/>
          <w:sz w:val="24"/>
          <w:szCs w:val="24"/>
        </w:rPr>
        <w:t xml:space="preserve">Компания также ведет учет прибылей и убытков, отражая в нем информацию о результатах, полученных компанией по операциям с ценными бумагами.</w:t>
      </w:r>
    </w:p>
    <w:p>
      <w:pPr>
        <w:spacing w:after="120"/>
        <w:jc w:val="both"/>
      </w:pPr>
      <w:r>
        <w:rPr>
          <w:rFonts w:ascii="Arial" w:cs="Arial" w:eastAsia="Arial" w:hAnsi="Arial"/>
          <w:sz w:val="24"/>
          <w:szCs w:val="24"/>
        </w:rPr>
        <w:t xml:space="preserve">Компания может вести учет расходов на перерегистрацию прав собственности на ценные бумаги. Компания может также учитывать регистрационные сборы, уплаченные ею от имени и за счет клиентов и контрагентов;</w:t>
      </w:r>
    </w:p>
    <w:p>
      <w:pPr>
        <w:spacing w:after="120"/>
        <w:jc w:val="both"/>
      </w:pPr>
      <w:r>
        <w:rPr>
          <w:rFonts w:ascii="Arial" w:cs="Arial" w:eastAsia="Arial" w:hAnsi="Arial"/>
          <w:sz w:val="24"/>
          <w:szCs w:val="24"/>
        </w:rPr>
        <w:t xml:space="preserve">б) счета вложений в ценные бумаги:</w:t>
      </w:r>
    </w:p>
    <w:p>
      <w:pPr>
        <w:spacing w:after="120"/>
        <w:jc w:val="both"/>
      </w:pPr>
      <w:r>
        <w:rPr>
          <w:rFonts w:ascii="Arial" w:cs="Arial" w:eastAsia="Arial" w:hAnsi="Arial"/>
          <w:sz w:val="24"/>
          <w:szCs w:val="24"/>
        </w:rPr>
        <w:t xml:space="preserve">Бэк-офис компании ведет счет по ценным бумагам для учета состояния портфеля компании.</w:t>
      </w:r>
    </w:p>
    <w:p>
      <w:pPr>
        <w:spacing w:after="120"/>
        <w:jc w:val="both"/>
      </w:pPr>
      <w:r>
        <w:rPr>
          <w:rFonts w:ascii="Arial" w:cs="Arial" w:eastAsia="Arial" w:hAnsi="Arial"/>
          <w:sz w:val="24"/>
          <w:szCs w:val="24"/>
        </w:rPr>
        <w:t xml:space="preserve">Компания также ведет учет реализации ценных бумаг без покрытия («коротких продаж»), осуществляемых от собственного имени и за собственный счет.</w:t>
      </w:r>
    </w:p>
    <w:p>
      <w:pPr>
        <w:spacing w:after="120"/>
        <w:jc w:val="both"/>
      </w:pPr>
      <w:r>
        <w:rPr>
          <w:rFonts w:ascii="Arial" w:cs="Arial" w:eastAsia="Arial" w:hAnsi="Arial"/>
          <w:sz w:val="24"/>
          <w:szCs w:val="24"/>
        </w:rPr>
        <w:t xml:space="preserve">РЕПО - соглашение о продаже (покупке) ценных бумаг с обязательством продавца (покупателя) об обратной их покупке (продаже) по оговоренной цене и в оговоренный срок.</w:t>
      </w:r>
    </w:p>
    <w:p>
      <w:pPr>
        <w:spacing w:after="120"/>
        <w:jc w:val="both"/>
      </w:pPr>
      <w:r>
        <w:rPr>
          <w:rFonts w:ascii="Arial" w:cs="Arial" w:eastAsia="Arial" w:hAnsi="Arial"/>
          <w:sz w:val="24"/>
          <w:szCs w:val="24"/>
        </w:rPr>
        <w:t xml:space="preserve">Во внутреннем учете также ведутся счета расчетов по операциям РЕПО и обратным РЕПО для отражения движения денежных средств по указанным операциям и счета обязательств по операциям РЕПО и обратным РЕПО для отражения движения обязательств по поставке ценных бумаг в денежном выражении по операциям РЕПО и обратным РЕПО;</w:t>
      </w:r>
    </w:p>
    <w:p>
      <w:pPr>
        <w:spacing w:after="120"/>
        <w:jc w:val="both"/>
      </w:pPr>
      <w:r>
        <w:rPr>
          <w:rFonts w:ascii="Arial" w:cs="Arial" w:eastAsia="Arial" w:hAnsi="Arial"/>
          <w:sz w:val="24"/>
          <w:szCs w:val="24"/>
        </w:rPr>
        <w:t xml:space="preserve">в) счета клиентов, контрагентов и расчетов с аффилированными лицами:</w:t>
      </w:r>
    </w:p>
    <w:p>
      <w:pPr>
        <w:spacing w:after="120"/>
        <w:jc w:val="both"/>
      </w:pPr>
      <w:r>
        <w:rPr>
          <w:rFonts w:ascii="Arial" w:cs="Arial" w:eastAsia="Arial" w:hAnsi="Arial"/>
          <w:sz w:val="24"/>
          <w:szCs w:val="24"/>
        </w:rPr>
        <w:t xml:space="preserve">счета клиентов, контрагентов и расчетов с аффилированными лицами предназначены для обобщения информации о расчетах компании с ее клиентами и контрагентами, а также с ее сотрудниками, директорами и аффилированными лицами по операциям с ценными бумагами. Расчеты компании с ее сотрудниками, директорами и аффилированными лицами должны быть выделены на самостоятельный счет и показаны в балансе отдельной строкой.</w:t>
      </w:r>
    </w:p>
    <w:p>
      <w:pPr>
        <w:spacing w:after="120"/>
        <w:jc w:val="both"/>
      </w:pPr>
      <w:r>
        <w:rPr>
          <w:rFonts w:ascii="Arial" w:cs="Arial" w:eastAsia="Arial" w:hAnsi="Arial"/>
          <w:sz w:val="24"/>
          <w:szCs w:val="24"/>
        </w:rPr>
        <w:t xml:space="preserve">Каждому клиенту, контрагенту и аффилированному лицу компании присваивается индивидуальный неповторяющийся номер;</w:t>
      </w:r>
    </w:p>
    <w:p>
      <w:pPr>
        <w:spacing w:after="120"/>
        <w:jc w:val="both"/>
      </w:pPr>
      <w:r>
        <w:rPr>
          <w:rFonts w:ascii="Arial" w:cs="Arial" w:eastAsia="Arial" w:hAnsi="Arial"/>
          <w:sz w:val="24"/>
          <w:szCs w:val="24"/>
        </w:rPr>
        <w:t xml:space="preserve">г) счет для сведения внутреннего баланса:</w:t>
      </w:r>
    </w:p>
    <w:p>
      <w:pPr>
        <w:spacing w:after="120"/>
        <w:jc w:val="both"/>
      </w:pPr>
      <w:r>
        <w:rPr>
          <w:rFonts w:ascii="Arial" w:cs="Arial" w:eastAsia="Arial" w:hAnsi="Arial"/>
          <w:sz w:val="24"/>
          <w:szCs w:val="24"/>
        </w:rPr>
        <w:t xml:space="preserve">в целях сведения внутреннего баланса по денежным средствам необходимо во внутреннем учете выделить денежные средства, условно предназначенные брокером под операции с ценными бумагами. Данные средства показываются в пассиве внутреннего баланса и призваны обеспечить равенство активов и пассивов баланса. Величина фонда средств, условно предназначенных под операции с ценными бумагами, устанавливается компанией самостоятельно и в течение отчетного периода, при необходимости, может быть увеличена или уменьшена.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Принципы ведения журнала ежедневного учета денежных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Журнал ежедневного учета денежных средств предназначен для отражения всех операций, связанных с движением денежных средств по счетам по операциям с ценными бумагами. Все операции, в результате которых происходит движение денежных средств в кассе, на банковских счетах или на иных счетах учета, а также изменение величины обязательств отражаются в данном журнале в хронологическом порядке по принципу двойной записи на счетах, пронумерованных в порядке возрастания.</w:t>
      </w:r>
    </w:p>
    <w:p>
      <w:pPr>
        <w:spacing w:after="120"/>
        <w:jc w:val="both"/>
      </w:pPr>
      <w:r>
        <w:rPr>
          <w:rFonts w:ascii="Arial" w:cs="Arial" w:eastAsia="Arial" w:hAnsi="Arial"/>
          <w:sz w:val="24"/>
          <w:szCs w:val="24"/>
        </w:rPr>
        <w:t xml:space="preserve">Журнал ежедневного учета денежных средств ведется в соответствии со следующими принципами:</w:t>
      </w:r>
    </w:p>
    <w:p>
      <w:pPr>
        <w:spacing w:after="120"/>
        <w:jc w:val="both"/>
      </w:pPr>
      <w:r>
        <w:rPr>
          <w:rFonts w:ascii="Arial" w:cs="Arial" w:eastAsia="Arial" w:hAnsi="Arial"/>
          <w:sz w:val="24"/>
          <w:szCs w:val="24"/>
        </w:rPr>
        <w:t xml:space="preserve">- учет операций на день их совершения;</w:t>
      </w:r>
    </w:p>
    <w:p>
      <w:pPr>
        <w:spacing w:after="120"/>
        <w:jc w:val="both"/>
      </w:pPr>
      <w:r>
        <w:rPr>
          <w:rFonts w:ascii="Arial" w:cs="Arial" w:eastAsia="Arial" w:hAnsi="Arial"/>
          <w:sz w:val="24"/>
          <w:szCs w:val="24"/>
        </w:rPr>
        <w:t xml:space="preserve">- сегрегация собственных денежных средств компании и денежных средств ее клиентов;</w:t>
      </w:r>
    </w:p>
    <w:p>
      <w:pPr>
        <w:spacing w:after="120"/>
        <w:jc w:val="both"/>
      </w:pPr>
      <w:r>
        <w:rPr>
          <w:rFonts w:ascii="Arial" w:cs="Arial" w:eastAsia="Arial" w:hAnsi="Arial"/>
          <w:sz w:val="24"/>
          <w:szCs w:val="24"/>
        </w:rPr>
        <w:t xml:space="preserve">- учет в нескольких валютах. Все стоимостные показатели могут рассчитываться в журнале как в национальной валюте, так и в нескольких валютах (сомах, долларах США и др.);</w:t>
      </w:r>
    </w:p>
    <w:p>
      <w:pPr>
        <w:spacing w:after="120"/>
        <w:jc w:val="both"/>
      </w:pPr>
      <w:r>
        <w:rPr>
          <w:rFonts w:ascii="Arial" w:cs="Arial" w:eastAsia="Arial" w:hAnsi="Arial"/>
          <w:sz w:val="24"/>
          <w:szCs w:val="24"/>
        </w:rPr>
        <w:t xml:space="preserve">- сверка с другими учетными регистрами. Данные журнала подлежат периодической сверке с данными журнала учета ценных бумаг, информацией, поступающей из торговых подразделений и бухгалтерии;</w:t>
      </w:r>
    </w:p>
    <w:p>
      <w:pPr>
        <w:spacing w:after="120"/>
        <w:jc w:val="both"/>
      </w:pPr>
      <w:r>
        <w:rPr>
          <w:rFonts w:ascii="Arial" w:cs="Arial" w:eastAsia="Arial" w:hAnsi="Arial"/>
          <w:sz w:val="24"/>
          <w:szCs w:val="24"/>
        </w:rPr>
        <w:t xml:space="preserve">- периодичность проведения сверок должна соответствовать периодичности составления баланса по денежным средствам.</w:t>
      </w:r>
    </w:p>
    <w:p>
      <w:pPr>
        <w:spacing w:after="120"/>
        <w:jc w:val="both"/>
      </w:pPr>
      <w:r>
        <w:rPr>
          <w:rFonts w:ascii="Arial" w:cs="Arial" w:eastAsia="Arial" w:hAnsi="Arial"/>
          <w:sz w:val="24"/>
          <w:szCs w:val="24"/>
        </w:rPr>
        <w:t xml:space="preserve">Журнал учета денежных средств отражает следующие операции:</w:t>
      </w:r>
    </w:p>
    <w:p>
      <w:pPr>
        <w:spacing w:after="120"/>
        <w:jc w:val="both"/>
      </w:pPr>
      <w:r>
        <w:rPr>
          <w:rFonts w:ascii="Arial" w:cs="Arial" w:eastAsia="Arial" w:hAnsi="Arial"/>
          <w:sz w:val="24"/>
          <w:szCs w:val="24"/>
        </w:rPr>
        <w:t xml:space="preserve">- движение денежных средств по счетам;</w:t>
      </w:r>
    </w:p>
    <w:p>
      <w:pPr>
        <w:spacing w:after="120"/>
        <w:jc w:val="both"/>
      </w:pPr>
      <w:r>
        <w:rPr>
          <w:rFonts w:ascii="Arial" w:cs="Arial" w:eastAsia="Arial" w:hAnsi="Arial"/>
          <w:sz w:val="24"/>
          <w:szCs w:val="24"/>
        </w:rPr>
        <w:t xml:space="preserve">- сделки;</w:t>
      </w:r>
    </w:p>
    <w:p>
      <w:pPr>
        <w:spacing w:after="120"/>
        <w:jc w:val="both"/>
      </w:pPr>
      <w:r>
        <w:rPr>
          <w:rFonts w:ascii="Arial" w:cs="Arial" w:eastAsia="Arial" w:hAnsi="Arial"/>
          <w:sz w:val="24"/>
          <w:szCs w:val="24"/>
        </w:rPr>
        <w:t xml:space="preserve">- платежи;</w:t>
      </w:r>
    </w:p>
    <w:p>
      <w:pPr>
        <w:spacing w:after="120"/>
        <w:jc w:val="both"/>
      </w:pPr>
      <w:r>
        <w:rPr>
          <w:rFonts w:ascii="Arial" w:cs="Arial" w:eastAsia="Arial" w:hAnsi="Arial"/>
          <w:sz w:val="24"/>
          <w:szCs w:val="24"/>
        </w:rPr>
        <w:t xml:space="preserve">- поступления;</w:t>
      </w:r>
    </w:p>
    <w:p>
      <w:pPr>
        <w:spacing w:after="120"/>
        <w:jc w:val="both"/>
      </w:pPr>
      <w:r>
        <w:rPr>
          <w:rFonts w:ascii="Arial" w:cs="Arial" w:eastAsia="Arial" w:hAnsi="Arial"/>
          <w:sz w:val="24"/>
          <w:szCs w:val="24"/>
        </w:rPr>
        <w:t xml:space="preserve">- переоценки;</w:t>
      </w:r>
    </w:p>
    <w:p>
      <w:pPr>
        <w:spacing w:after="120"/>
        <w:jc w:val="both"/>
      </w:pPr>
      <w:r>
        <w:rPr>
          <w:rFonts w:ascii="Arial" w:cs="Arial" w:eastAsia="Arial" w:hAnsi="Arial"/>
          <w:sz w:val="24"/>
          <w:szCs w:val="24"/>
        </w:rPr>
        <w:t xml:space="preserve">- обратные проводки.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Журнал ежедневного учета денежных средств (приложение, </w:t>
      </w:r>
      <w:hyperlink w:history="1" r:id="rIdv_-kfph7j8pah0zocponk">
        <w:r>
          <w:rPr>
            <w:rFonts w:ascii="Arial" w:cs="Arial" w:eastAsia="Arial" w:hAnsi="Arial"/>
            <w:color w:val="1D4ED8"/>
            <w:sz w:val="24"/>
            <w:szCs w:val="24"/>
            <w:u w:val="single"/>
          </w:rPr>
          <w:t xml:space="preserve">форма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Журнал ежедневного учета денежных средств включает следующую информацию:</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название счета;</w:t>
      </w:r>
    </w:p>
    <w:p>
      <w:pPr>
        <w:spacing w:after="120"/>
        <w:jc w:val="both"/>
      </w:pPr>
      <w:r>
        <w:rPr>
          <w:rFonts w:ascii="Arial" w:cs="Arial" w:eastAsia="Arial" w:hAnsi="Arial"/>
          <w:sz w:val="24"/>
          <w:szCs w:val="24"/>
        </w:rPr>
        <w:t xml:space="preserve">- порядковый номер операции;</w:t>
      </w:r>
    </w:p>
    <w:p>
      <w:pPr>
        <w:spacing w:after="120"/>
        <w:jc w:val="both"/>
      </w:pPr>
      <w:r>
        <w:rPr>
          <w:rFonts w:ascii="Arial" w:cs="Arial" w:eastAsia="Arial" w:hAnsi="Arial"/>
          <w:sz w:val="24"/>
          <w:szCs w:val="24"/>
        </w:rPr>
        <w:t xml:space="preserve">- краткое описание операции;</w:t>
      </w:r>
    </w:p>
    <w:p>
      <w:pPr>
        <w:spacing w:after="120"/>
        <w:jc w:val="both"/>
      </w:pPr>
      <w:r>
        <w:rPr>
          <w:rFonts w:ascii="Arial" w:cs="Arial" w:eastAsia="Arial" w:hAnsi="Arial"/>
          <w:sz w:val="24"/>
          <w:szCs w:val="24"/>
        </w:rPr>
        <w:t xml:space="preserve">- номер сопроводительного документа;</w:t>
      </w:r>
    </w:p>
    <w:p>
      <w:pPr>
        <w:spacing w:after="120"/>
        <w:jc w:val="both"/>
      </w:pPr>
      <w:r>
        <w:rPr>
          <w:rFonts w:ascii="Arial" w:cs="Arial" w:eastAsia="Arial" w:hAnsi="Arial"/>
          <w:sz w:val="24"/>
          <w:szCs w:val="24"/>
        </w:rPr>
        <w:t xml:space="preserve">- сальдо начальное.</w:t>
      </w:r>
    </w:p>
    <w:p>
      <w:pPr>
        <w:spacing w:after="120"/>
        <w:jc w:val="both"/>
      </w:pPr>
      <w:r>
        <w:rPr>
          <w:rFonts w:ascii="Arial" w:cs="Arial" w:eastAsia="Arial" w:hAnsi="Arial"/>
          <w:sz w:val="24"/>
          <w:szCs w:val="24"/>
        </w:rPr>
        <w:t xml:space="preserve">Начальное сальдо может быть дебетовым или кредитовым. Для учета в нескольких валютах начальное сальдо указывается и в сомах, и в валюте;</w:t>
      </w:r>
    </w:p>
    <w:p>
      <w:pPr>
        <w:spacing w:after="120"/>
        <w:jc w:val="both"/>
      </w:pPr>
      <w:r>
        <w:rPr>
          <w:rFonts w:ascii="Arial" w:cs="Arial" w:eastAsia="Arial" w:hAnsi="Arial"/>
          <w:sz w:val="24"/>
          <w:szCs w:val="24"/>
        </w:rPr>
        <w:t xml:space="preserve">- сумма проводки по дебету;</w:t>
      </w:r>
    </w:p>
    <w:p>
      <w:pPr>
        <w:spacing w:after="120"/>
        <w:jc w:val="both"/>
      </w:pPr>
      <w:r>
        <w:rPr>
          <w:rFonts w:ascii="Arial" w:cs="Arial" w:eastAsia="Arial" w:hAnsi="Arial"/>
          <w:sz w:val="24"/>
          <w:szCs w:val="24"/>
        </w:rPr>
        <w:t xml:space="preserve">- сумма проводки по кредиту.</w:t>
      </w:r>
    </w:p>
    <w:p>
      <w:pPr>
        <w:spacing w:after="120"/>
        <w:jc w:val="both"/>
      </w:pPr>
      <w:r>
        <w:rPr>
          <w:rFonts w:ascii="Arial" w:cs="Arial" w:eastAsia="Arial" w:hAnsi="Arial"/>
          <w:sz w:val="24"/>
          <w:szCs w:val="24"/>
        </w:rPr>
        <w:t xml:space="preserve">Для учета в нескольких валютах сумма проводки указывается и в сомах, и в валюте;</w:t>
      </w:r>
    </w:p>
    <w:p>
      <w:pPr>
        <w:spacing w:after="120"/>
        <w:jc w:val="both"/>
      </w:pPr>
      <w:r>
        <w:rPr>
          <w:rFonts w:ascii="Arial" w:cs="Arial" w:eastAsia="Arial" w:hAnsi="Arial"/>
          <w:sz w:val="24"/>
          <w:szCs w:val="24"/>
        </w:rPr>
        <w:t xml:space="preserve">- номер и/или название корреспондирующего счета;</w:t>
      </w:r>
    </w:p>
    <w:p>
      <w:pPr>
        <w:spacing w:after="120"/>
        <w:jc w:val="both"/>
      </w:pPr>
      <w:r>
        <w:rPr>
          <w:rFonts w:ascii="Arial" w:cs="Arial" w:eastAsia="Arial" w:hAnsi="Arial"/>
          <w:sz w:val="24"/>
          <w:szCs w:val="24"/>
        </w:rPr>
        <w:t xml:space="preserve">- сальдо конечное.</w:t>
      </w:r>
    </w:p>
    <w:p>
      <w:pPr>
        <w:spacing w:after="120"/>
        <w:jc w:val="both"/>
      </w:pPr>
      <w:r>
        <w:rPr>
          <w:rFonts w:ascii="Arial" w:cs="Arial" w:eastAsia="Arial" w:hAnsi="Arial"/>
          <w:sz w:val="24"/>
          <w:szCs w:val="24"/>
        </w:rPr>
        <w:t xml:space="preserve">Конечное сальдо может быть дебетовым или кредитовым.</w:t>
      </w:r>
    </w:p>
    <w:p>
      <w:pPr>
        <w:spacing w:after="120"/>
        <w:jc w:val="both"/>
      </w:pPr>
      <w:r>
        <w:rPr>
          <w:rFonts w:ascii="Arial" w:cs="Arial" w:eastAsia="Arial" w:hAnsi="Arial"/>
          <w:sz w:val="24"/>
          <w:szCs w:val="24"/>
        </w:rPr>
        <w:t xml:space="preserve">Для учета в нескольких валютах начальное сальдо указывается и в сомах, и в валюте.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Книга учета денежных средств (приложение, </w:t>
      </w:r>
      <w:hyperlink w:history="1" r:id="rIdxwnrfqmccvjpoi72cujcl">
        <w:r>
          <w:rPr>
            <w:rFonts w:ascii="Arial" w:cs="Arial" w:eastAsia="Arial" w:hAnsi="Arial"/>
            <w:color w:val="1D4ED8"/>
            <w:sz w:val="24"/>
            <w:szCs w:val="24"/>
            <w:u w:val="single"/>
          </w:rPr>
          <w:t xml:space="preserve">форма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Книга (ведомость) учета денежных средств составляется на основе информации журнала ежедневного учета денежных средств. Книга организована по порядку номеров счетов и отражает остатки по всем счетам системы учета движения денежных средств.</w:t>
      </w:r>
    </w:p>
    <w:p>
      <w:pPr>
        <w:spacing w:after="120"/>
        <w:jc w:val="both"/>
      </w:pPr>
      <w:r>
        <w:rPr>
          <w:rFonts w:ascii="Arial" w:cs="Arial" w:eastAsia="Arial" w:hAnsi="Arial"/>
          <w:sz w:val="24"/>
          <w:szCs w:val="24"/>
        </w:rPr>
        <w:t xml:space="preserve">Книга учета денежных средств содержит следующую информацию:</w:t>
      </w:r>
    </w:p>
    <w:p>
      <w:pPr>
        <w:spacing w:after="120"/>
        <w:jc w:val="both"/>
      </w:pPr>
      <w:r>
        <w:rPr>
          <w:rFonts w:ascii="Arial" w:cs="Arial" w:eastAsia="Arial" w:hAnsi="Arial"/>
          <w:sz w:val="24"/>
          <w:szCs w:val="24"/>
        </w:rPr>
        <w:t xml:space="preserve">- дата;</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название счета;</w:t>
      </w:r>
    </w:p>
    <w:p>
      <w:pPr>
        <w:spacing w:after="120"/>
        <w:jc w:val="both"/>
      </w:pPr>
      <w:r>
        <w:rPr>
          <w:rFonts w:ascii="Arial" w:cs="Arial" w:eastAsia="Arial" w:hAnsi="Arial"/>
          <w:sz w:val="24"/>
          <w:szCs w:val="24"/>
        </w:rPr>
        <w:t xml:space="preserve">- сальдо по дебету счета;</w:t>
      </w:r>
    </w:p>
    <w:p>
      <w:pPr>
        <w:spacing w:after="120"/>
        <w:jc w:val="both"/>
      </w:pPr>
      <w:r>
        <w:rPr>
          <w:rFonts w:ascii="Arial" w:cs="Arial" w:eastAsia="Arial" w:hAnsi="Arial"/>
          <w:sz w:val="24"/>
          <w:szCs w:val="24"/>
        </w:rPr>
        <w:t xml:space="preserve">- сальдо по кредиту счета;</w:t>
      </w:r>
    </w:p>
    <w:p>
      <w:pPr>
        <w:spacing w:after="120"/>
        <w:jc w:val="both"/>
      </w:pPr>
      <w:r>
        <w:rPr>
          <w:rFonts w:ascii="Arial" w:cs="Arial" w:eastAsia="Arial" w:hAnsi="Arial"/>
          <w:sz w:val="24"/>
          <w:szCs w:val="24"/>
        </w:rPr>
        <w:t xml:space="preserve">- итого оборот по дебету счетов за период;</w:t>
      </w:r>
    </w:p>
    <w:p>
      <w:pPr>
        <w:spacing w:after="120"/>
        <w:jc w:val="both"/>
      </w:pPr>
      <w:r>
        <w:rPr>
          <w:rFonts w:ascii="Arial" w:cs="Arial" w:eastAsia="Arial" w:hAnsi="Arial"/>
          <w:sz w:val="24"/>
          <w:szCs w:val="24"/>
        </w:rPr>
        <w:t xml:space="preserve">- итого оборот по кредиту счетов за период.</w:t>
      </w:r>
    </w:p>
    <w:p>
      <w:pPr>
        <w:spacing w:after="120"/>
        <w:jc w:val="both"/>
      </w:pPr>
      <w:r>
        <w:rPr>
          <w:rFonts w:ascii="Arial" w:cs="Arial" w:eastAsia="Arial" w:hAnsi="Arial"/>
          <w:sz w:val="24"/>
          <w:szCs w:val="24"/>
        </w:rPr>
        <w:t xml:space="preserve">Кроме этого, при необходимости, в книгу может быть включена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Баланс по денежным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Сальдо на конец отчетного периода счетов журнала учета денежных средств составляют баланс по денежным средствам за отчетный период.</w:t>
      </w:r>
    </w:p>
    <w:p>
      <w:pPr>
        <w:spacing w:after="120"/>
        <w:jc w:val="both"/>
      </w:pPr>
      <w:r>
        <w:rPr>
          <w:rFonts w:ascii="Arial" w:cs="Arial" w:eastAsia="Arial" w:hAnsi="Arial"/>
          <w:sz w:val="24"/>
          <w:szCs w:val="24"/>
        </w:rPr>
        <w:t xml:space="preserve">Баланс денежных средств включает:</w:t>
      </w:r>
    </w:p>
    <w:p>
      <w:pPr>
        <w:spacing w:after="120"/>
        <w:jc w:val="both"/>
      </w:pPr>
      <w:r>
        <w:rPr>
          <w:rFonts w:ascii="Arial" w:cs="Arial" w:eastAsia="Arial" w:hAnsi="Arial"/>
          <w:sz w:val="24"/>
          <w:szCs w:val="24"/>
        </w:rPr>
        <w:t xml:space="preserve">1. Активы:</w:t>
      </w:r>
    </w:p>
    <w:p>
      <w:pPr>
        <w:spacing w:after="120"/>
        <w:jc w:val="both"/>
      </w:pPr>
      <w:r>
        <w:rPr>
          <w:rFonts w:ascii="Arial" w:cs="Arial" w:eastAsia="Arial" w:hAnsi="Arial"/>
          <w:sz w:val="24"/>
          <w:szCs w:val="24"/>
        </w:rPr>
        <w:t xml:space="preserve">а) денежные средства:</w:t>
      </w:r>
    </w:p>
    <w:p>
      <w:pPr>
        <w:spacing w:after="120"/>
        <w:jc w:val="both"/>
      </w:pPr>
      <w:r>
        <w:rPr>
          <w:rFonts w:ascii="Arial" w:cs="Arial" w:eastAsia="Arial" w:hAnsi="Arial"/>
          <w:sz w:val="24"/>
          <w:szCs w:val="24"/>
        </w:rPr>
        <w:t xml:space="preserve">- касса;</w:t>
      </w:r>
    </w:p>
    <w:p>
      <w:pPr>
        <w:spacing w:after="120"/>
        <w:jc w:val="both"/>
      </w:pPr>
      <w:r>
        <w:rPr>
          <w:rFonts w:ascii="Arial" w:cs="Arial" w:eastAsia="Arial" w:hAnsi="Arial"/>
          <w:sz w:val="24"/>
          <w:szCs w:val="24"/>
        </w:rPr>
        <w:t xml:space="preserve">- расчетный счет;</w:t>
      </w:r>
    </w:p>
    <w:p>
      <w:pPr>
        <w:spacing w:after="120"/>
        <w:jc w:val="both"/>
      </w:pPr>
      <w:r>
        <w:rPr>
          <w:rFonts w:ascii="Arial" w:cs="Arial" w:eastAsia="Arial" w:hAnsi="Arial"/>
          <w:sz w:val="24"/>
          <w:szCs w:val="24"/>
        </w:rPr>
        <w:t xml:space="preserve">- валютный счет;</w:t>
      </w:r>
    </w:p>
    <w:p>
      <w:pPr>
        <w:spacing w:after="120"/>
        <w:jc w:val="both"/>
      </w:pPr>
      <w:r>
        <w:rPr>
          <w:rFonts w:ascii="Arial" w:cs="Arial" w:eastAsia="Arial" w:hAnsi="Arial"/>
          <w:sz w:val="24"/>
          <w:szCs w:val="24"/>
        </w:rPr>
        <w:t xml:space="preserve">б) вложения в ценные бумаги:</w:t>
      </w:r>
    </w:p>
    <w:p>
      <w:pPr>
        <w:spacing w:after="120"/>
        <w:jc w:val="both"/>
      </w:pPr>
      <w:r>
        <w:rPr>
          <w:rFonts w:ascii="Arial" w:cs="Arial" w:eastAsia="Arial" w:hAnsi="Arial"/>
          <w:sz w:val="24"/>
          <w:szCs w:val="24"/>
        </w:rPr>
        <w:t xml:space="preserve">- ценные бумаги;</w:t>
      </w:r>
    </w:p>
    <w:p>
      <w:pPr>
        <w:spacing w:after="120"/>
        <w:jc w:val="both"/>
      </w:pPr>
      <w:r>
        <w:rPr>
          <w:rFonts w:ascii="Arial" w:cs="Arial" w:eastAsia="Arial" w:hAnsi="Arial"/>
          <w:sz w:val="24"/>
          <w:szCs w:val="24"/>
        </w:rPr>
        <w:t xml:space="preserve">в) расчеты и прочие активы:</w:t>
      </w:r>
    </w:p>
    <w:p>
      <w:pPr>
        <w:spacing w:after="120"/>
        <w:jc w:val="both"/>
      </w:pPr>
      <w:r>
        <w:rPr>
          <w:rFonts w:ascii="Arial" w:cs="Arial" w:eastAsia="Arial" w:hAnsi="Arial"/>
          <w:sz w:val="24"/>
          <w:szCs w:val="24"/>
        </w:rPr>
        <w:t xml:space="preserve">- расчеты по операциям РЕПО;</w:t>
      </w:r>
    </w:p>
    <w:p>
      <w:pPr>
        <w:spacing w:after="120"/>
        <w:jc w:val="both"/>
      </w:pPr>
      <w:r>
        <w:rPr>
          <w:rFonts w:ascii="Arial" w:cs="Arial" w:eastAsia="Arial" w:hAnsi="Arial"/>
          <w:sz w:val="24"/>
          <w:szCs w:val="24"/>
        </w:rPr>
        <w:t xml:space="preserve">- обязательства по обратным операциям РЕПО;</w:t>
      </w:r>
    </w:p>
    <w:p>
      <w:pPr>
        <w:spacing w:after="120"/>
        <w:jc w:val="both"/>
      </w:pPr>
      <w:r>
        <w:rPr>
          <w:rFonts w:ascii="Arial" w:cs="Arial" w:eastAsia="Arial" w:hAnsi="Arial"/>
          <w:sz w:val="24"/>
          <w:szCs w:val="24"/>
        </w:rPr>
        <w:t xml:space="preserve">- расчеты с клиентами-дебеторами;</w:t>
      </w:r>
    </w:p>
    <w:p>
      <w:pPr>
        <w:spacing w:after="120"/>
        <w:jc w:val="both"/>
      </w:pPr>
      <w:r>
        <w:rPr>
          <w:rFonts w:ascii="Arial" w:cs="Arial" w:eastAsia="Arial" w:hAnsi="Arial"/>
          <w:sz w:val="24"/>
          <w:szCs w:val="24"/>
        </w:rPr>
        <w:t xml:space="preserve">- расчеты с контрагентами-дебеторами;</w:t>
      </w:r>
    </w:p>
    <w:p>
      <w:pPr>
        <w:spacing w:after="120"/>
        <w:jc w:val="both"/>
      </w:pPr>
      <w:r>
        <w:rPr>
          <w:rFonts w:ascii="Arial" w:cs="Arial" w:eastAsia="Arial" w:hAnsi="Arial"/>
          <w:sz w:val="24"/>
          <w:szCs w:val="24"/>
        </w:rPr>
        <w:t xml:space="preserve">- расчеты с аффилированными лицами-дебеторами;</w:t>
      </w:r>
    </w:p>
    <w:p>
      <w:pPr>
        <w:spacing w:after="120"/>
        <w:jc w:val="both"/>
      </w:pPr>
      <w:r>
        <w:rPr>
          <w:rFonts w:ascii="Arial" w:cs="Arial" w:eastAsia="Arial" w:hAnsi="Arial"/>
          <w:sz w:val="24"/>
          <w:szCs w:val="24"/>
        </w:rPr>
        <w:t xml:space="preserve">- убытки;</w:t>
      </w:r>
    </w:p>
    <w:p>
      <w:pPr>
        <w:spacing w:after="120"/>
        <w:jc w:val="both"/>
      </w:pPr>
      <w:r>
        <w:rPr>
          <w:rFonts w:ascii="Arial" w:cs="Arial" w:eastAsia="Arial" w:hAnsi="Arial"/>
          <w:sz w:val="24"/>
          <w:szCs w:val="24"/>
        </w:rPr>
        <w:t xml:space="preserve">г) итого активы.</w:t>
      </w:r>
    </w:p>
    <w:p>
      <w:pPr>
        <w:spacing w:after="120"/>
        <w:jc w:val="both"/>
      </w:pPr>
      <w:r>
        <w:rPr>
          <w:rFonts w:ascii="Arial" w:cs="Arial" w:eastAsia="Arial" w:hAnsi="Arial"/>
          <w:sz w:val="24"/>
          <w:szCs w:val="24"/>
        </w:rPr>
        <w:t xml:space="preserve">2. Обязательства:</w:t>
      </w:r>
    </w:p>
    <w:p>
      <w:pPr>
        <w:spacing w:after="120"/>
        <w:jc w:val="both"/>
      </w:pPr>
      <w:r>
        <w:rPr>
          <w:rFonts w:ascii="Arial" w:cs="Arial" w:eastAsia="Arial" w:hAnsi="Arial"/>
          <w:sz w:val="24"/>
          <w:szCs w:val="24"/>
        </w:rPr>
        <w:t xml:space="preserve">фонд средств под операции с ценными бумагами:</w:t>
      </w:r>
    </w:p>
    <w:p>
      <w:pPr>
        <w:spacing w:after="120"/>
        <w:jc w:val="both"/>
      </w:pPr>
      <w:r>
        <w:rPr>
          <w:rFonts w:ascii="Arial" w:cs="Arial" w:eastAsia="Arial" w:hAnsi="Arial"/>
          <w:sz w:val="24"/>
          <w:szCs w:val="24"/>
        </w:rPr>
        <w:t xml:space="preserve">а) специальные обязательства по ценным бумагам «короткие» продажи;</w:t>
      </w:r>
    </w:p>
    <w:p>
      <w:pPr>
        <w:spacing w:after="120"/>
        <w:jc w:val="both"/>
      </w:pPr>
      <w:r>
        <w:rPr>
          <w:rFonts w:ascii="Arial" w:cs="Arial" w:eastAsia="Arial" w:hAnsi="Arial"/>
          <w:sz w:val="24"/>
          <w:szCs w:val="24"/>
        </w:rPr>
        <w:t xml:space="preserve">б) расчеты и прочие обязательства;</w:t>
      </w:r>
    </w:p>
    <w:p>
      <w:pPr>
        <w:spacing w:after="120"/>
        <w:jc w:val="both"/>
      </w:pPr>
      <w:r>
        <w:rPr>
          <w:rFonts w:ascii="Arial" w:cs="Arial" w:eastAsia="Arial" w:hAnsi="Arial"/>
          <w:sz w:val="24"/>
          <w:szCs w:val="24"/>
        </w:rPr>
        <w:t xml:space="preserve">в) расчеты по обратным операциям РЕПО:</w:t>
      </w:r>
    </w:p>
    <w:p>
      <w:pPr>
        <w:spacing w:after="120"/>
        <w:jc w:val="both"/>
      </w:pPr>
      <w:r>
        <w:rPr>
          <w:rFonts w:ascii="Arial" w:cs="Arial" w:eastAsia="Arial" w:hAnsi="Arial"/>
          <w:sz w:val="24"/>
          <w:szCs w:val="24"/>
        </w:rPr>
        <w:t xml:space="preserve">- обязательства по операциям РЕПО;</w:t>
      </w:r>
    </w:p>
    <w:p>
      <w:pPr>
        <w:spacing w:after="120"/>
        <w:jc w:val="both"/>
      </w:pPr>
      <w:r>
        <w:rPr>
          <w:rFonts w:ascii="Arial" w:cs="Arial" w:eastAsia="Arial" w:hAnsi="Arial"/>
          <w:sz w:val="24"/>
          <w:szCs w:val="24"/>
        </w:rPr>
        <w:t xml:space="preserve">- расчеты с клиентами-кредиторами;</w:t>
      </w:r>
    </w:p>
    <w:p>
      <w:pPr>
        <w:spacing w:after="120"/>
        <w:jc w:val="both"/>
      </w:pPr>
      <w:r>
        <w:rPr>
          <w:rFonts w:ascii="Arial" w:cs="Arial" w:eastAsia="Arial" w:hAnsi="Arial"/>
          <w:sz w:val="24"/>
          <w:szCs w:val="24"/>
        </w:rPr>
        <w:t xml:space="preserve">- расчеты с контрагентами-кредиторами;</w:t>
      </w:r>
    </w:p>
    <w:p>
      <w:pPr>
        <w:spacing w:after="120"/>
        <w:jc w:val="both"/>
      </w:pPr>
      <w:r>
        <w:rPr>
          <w:rFonts w:ascii="Arial" w:cs="Arial" w:eastAsia="Arial" w:hAnsi="Arial"/>
          <w:sz w:val="24"/>
          <w:szCs w:val="24"/>
        </w:rPr>
        <w:t xml:space="preserve">- расчеты с аффилированными лицами-кредиторами;</w:t>
      </w:r>
    </w:p>
    <w:p>
      <w:pPr>
        <w:spacing w:after="120"/>
        <w:jc w:val="both"/>
      </w:pPr>
      <w:r>
        <w:rPr>
          <w:rFonts w:ascii="Arial" w:cs="Arial" w:eastAsia="Arial" w:hAnsi="Arial"/>
          <w:sz w:val="24"/>
          <w:szCs w:val="24"/>
        </w:rPr>
        <w:t xml:space="preserve">- прибыль;</w:t>
      </w:r>
    </w:p>
    <w:p>
      <w:pPr>
        <w:spacing w:after="120"/>
        <w:jc w:val="both"/>
      </w:pPr>
      <w:r>
        <w:rPr>
          <w:rFonts w:ascii="Arial" w:cs="Arial" w:eastAsia="Arial" w:hAnsi="Arial"/>
          <w:sz w:val="24"/>
          <w:szCs w:val="24"/>
        </w:rPr>
        <w:t xml:space="preserve">г) итого обязательства.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Система учета движения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Принципы системы учета движения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Система учета движения ценных бумаг предназначена для отражения движения ценных бумаг в количественном выражении.</w:t>
      </w:r>
    </w:p>
    <w:p>
      <w:pPr>
        <w:spacing w:after="120"/>
        <w:jc w:val="both"/>
      </w:pPr>
      <w:r>
        <w:rPr>
          <w:rFonts w:ascii="Arial" w:cs="Arial" w:eastAsia="Arial" w:hAnsi="Arial"/>
          <w:sz w:val="24"/>
          <w:szCs w:val="24"/>
        </w:rPr>
        <w:t xml:space="preserve">Целью ведения системы является формирование полной и достоверной информации о результатах операций с ценными бумагами в количественном выражении, определение активов компании в ценных бумагах, количества ценных бумаг клиентов в номинальном держании компании, задолженности по поставке бумаг компании в отношении клиентов и контрагентов, задолженности по поставке бумаг клиентов и контрагентов в отношении компании и фактического местонахождения ценных бумаг на каждый момент времени.</w:t>
      </w:r>
    </w:p>
    <w:p>
      <w:pPr>
        <w:spacing w:after="120"/>
        <w:jc w:val="both"/>
      </w:pPr>
      <w:r>
        <w:rPr>
          <w:rFonts w:ascii="Arial" w:cs="Arial" w:eastAsia="Arial" w:hAnsi="Arial"/>
          <w:sz w:val="24"/>
          <w:szCs w:val="24"/>
        </w:rPr>
        <w:t xml:space="preserve">Система состоит из журнала и книги (ведомости) учета ценных бумаг.</w:t>
      </w:r>
    </w:p>
    <w:p>
      <w:pPr>
        <w:spacing w:after="120"/>
        <w:jc w:val="both"/>
      </w:pPr>
      <w:r>
        <w:rPr>
          <w:rFonts w:ascii="Arial" w:cs="Arial" w:eastAsia="Arial" w:hAnsi="Arial"/>
          <w:sz w:val="24"/>
          <w:szCs w:val="24"/>
        </w:rPr>
        <w:t xml:space="preserve">Журнал ежедневного учета ценных бумаг представляет собой ведомость ежедневного учета. Все операции, в результате которых происходит движение ценных бумаг компании или клиентов, отражаются на корреспондирующих счетах по принципу двойной записи и отражают все движения ценных бумаг, произошедшие в течение данного операционного дня. Все операции заносятся в журнал на день их совершения, т.е. не позднее конца рабочего дня, когда операция была совершена.</w:t>
      </w:r>
    </w:p>
    <w:p>
      <w:pPr>
        <w:spacing w:after="120"/>
        <w:jc w:val="both"/>
      </w:pPr>
      <w:r>
        <w:rPr>
          <w:rFonts w:ascii="Arial" w:cs="Arial" w:eastAsia="Arial" w:hAnsi="Arial"/>
          <w:sz w:val="24"/>
          <w:szCs w:val="24"/>
        </w:rPr>
        <w:t xml:space="preserve">Книга (ведомость) учета ценных бумаг составляется на конец операционного дня на основе информации журнала ежедневного учета ценных бумаг. Книга организована по порядку номеров счетов и отражает остатки по всем счетам системы учета движения ценных бумаг. Книга также служит инструментом для выявления ошибок и расхождений, допущенных во внутреннем учете.</w:t>
      </w:r>
    </w:p>
    <w:p>
      <w:pPr>
        <w:spacing w:after="120"/>
        <w:jc w:val="both"/>
      </w:pPr>
      <w:r>
        <w:rPr>
          <w:rFonts w:ascii="Arial" w:cs="Arial" w:eastAsia="Arial" w:hAnsi="Arial"/>
          <w:sz w:val="24"/>
          <w:szCs w:val="24"/>
        </w:rPr>
        <w:t xml:space="preserve">При необходимости компания может объединить журнал ежедневного учета и книгу учета ценных бумаг в одну учетную ведомость при условии сохранения минимального необходимого предусмотренного настоящими стандартами состава информации, отражаемой в этих журналах.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Счета системы учета движения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Для каждого клиента, контрагента, каждого местонахождения ценных бумаг (реестр, депозитарий, ценные бумаги в пути и т.д.) и собственного портфеля ценных бумаг компании в системе учета движения ценных бумаг открывается счет с неповторяющимся номером.</w:t>
      </w:r>
    </w:p>
    <w:p>
      <w:pPr>
        <w:spacing w:after="120"/>
        <w:jc w:val="both"/>
      </w:pPr>
      <w:r>
        <w:rPr>
          <w:rFonts w:ascii="Arial" w:cs="Arial" w:eastAsia="Arial" w:hAnsi="Arial"/>
          <w:sz w:val="24"/>
          <w:szCs w:val="24"/>
        </w:rPr>
        <w:t xml:space="preserve">Счета, показывающие принадлежность ценных бумаг, т.е. счета ценных бумаг компании, клиентов, ценные бумаги которых находятся в номинальном держании компании и т.д., имеют остатки по дебету (или «длинной» стороне).</w:t>
      </w:r>
    </w:p>
    <w:p>
      <w:pPr>
        <w:spacing w:after="120"/>
        <w:jc w:val="both"/>
      </w:pPr>
      <w:r>
        <w:rPr>
          <w:rFonts w:ascii="Arial" w:cs="Arial" w:eastAsia="Arial" w:hAnsi="Arial"/>
          <w:sz w:val="24"/>
          <w:szCs w:val="24"/>
        </w:rPr>
        <w:t xml:space="preserve">Счета, показывающие местонахождение ценных бумаг - счета реестра, депозитария и т.д., а также ценные бумаги, проданные без покрытия, имеют остатки по кредиту (или «короткой» стороне).</w:t>
      </w:r>
    </w:p>
    <w:p>
      <w:pPr>
        <w:spacing w:after="120"/>
        <w:jc w:val="both"/>
      </w:pPr>
      <w:r>
        <w:rPr>
          <w:rFonts w:ascii="Arial" w:cs="Arial" w:eastAsia="Arial" w:hAnsi="Arial"/>
          <w:sz w:val="24"/>
          <w:szCs w:val="24"/>
        </w:rPr>
        <w:t xml:space="preserve">Счета, показывающие обязательства или смену местонахождения, - счета контрагентов, счета клиентов, отражающие ценные бумаги, зарегистрированные на имя клиентов, ценные бумаги «в пути», могут иметь остатки и по дебету, и по кредиту.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Принципы ведения журнала ежедневного учета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Журнал ежедневного учета ценных бумаг ведется в хронологическом порядке в соответствии со следующими принципами:</w:t>
      </w:r>
    </w:p>
    <w:p>
      <w:pPr>
        <w:spacing w:after="120"/>
        <w:jc w:val="both"/>
      </w:pPr>
      <w:r>
        <w:rPr>
          <w:rFonts w:ascii="Arial" w:cs="Arial" w:eastAsia="Arial" w:hAnsi="Arial"/>
          <w:sz w:val="24"/>
          <w:szCs w:val="24"/>
        </w:rPr>
        <w:t xml:space="preserve">- учет операций на день их совершения;</w:t>
      </w:r>
    </w:p>
    <w:p>
      <w:pPr>
        <w:spacing w:after="120"/>
        <w:jc w:val="both"/>
      </w:pPr>
      <w:r>
        <w:rPr>
          <w:rFonts w:ascii="Arial" w:cs="Arial" w:eastAsia="Arial" w:hAnsi="Arial"/>
          <w:sz w:val="24"/>
          <w:szCs w:val="24"/>
        </w:rPr>
        <w:t xml:space="preserve">- сегрегация собственных ценных бумаг компании и ценных бумаг ее клиентов;</w:t>
      </w:r>
    </w:p>
    <w:p>
      <w:pPr>
        <w:spacing w:after="120"/>
        <w:jc w:val="both"/>
      </w:pPr>
      <w:r>
        <w:rPr>
          <w:rFonts w:ascii="Arial" w:cs="Arial" w:eastAsia="Arial" w:hAnsi="Arial"/>
          <w:sz w:val="24"/>
          <w:szCs w:val="24"/>
        </w:rPr>
        <w:t xml:space="preserve">- сверка с другими учетными регистрами.</w:t>
      </w:r>
    </w:p>
    <w:p>
      <w:pPr>
        <w:spacing w:after="120"/>
        <w:jc w:val="both"/>
      </w:pPr>
      <w:r>
        <w:rPr>
          <w:rFonts w:ascii="Arial" w:cs="Arial" w:eastAsia="Arial" w:hAnsi="Arial"/>
          <w:sz w:val="24"/>
          <w:szCs w:val="24"/>
        </w:rPr>
        <w:t xml:space="preserve">Данные журнала подлежат периодической сверке с данными журнала учета денежных средств, информацией, поступающей из торговых подразделений.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Отражение операций с ценными бумагами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Операции с ценными бумагами отражаются следующим образом:</w:t>
      </w:r>
    </w:p>
    <w:p>
      <w:pPr>
        <w:spacing w:after="120"/>
        <w:jc w:val="both"/>
      </w:pPr>
      <w:r>
        <w:rPr>
          <w:rFonts w:ascii="Arial" w:cs="Arial" w:eastAsia="Arial" w:hAnsi="Arial"/>
          <w:sz w:val="24"/>
          <w:szCs w:val="24"/>
        </w:rPr>
        <w:t xml:space="preserve">а) покупка/продажа:</w:t>
      </w:r>
    </w:p>
    <w:p>
      <w:pPr>
        <w:spacing w:after="120"/>
        <w:jc w:val="both"/>
      </w:pPr>
      <w:r>
        <w:rPr>
          <w:rFonts w:ascii="Arial" w:cs="Arial" w:eastAsia="Arial" w:hAnsi="Arial"/>
          <w:sz w:val="24"/>
          <w:szCs w:val="24"/>
        </w:rPr>
        <w:t xml:space="preserve">- по дебету счета покупателя; и</w:t>
      </w:r>
    </w:p>
    <w:p>
      <w:pPr>
        <w:spacing w:after="120"/>
        <w:jc w:val="both"/>
      </w:pPr>
      <w:r>
        <w:rPr>
          <w:rFonts w:ascii="Arial" w:cs="Arial" w:eastAsia="Arial" w:hAnsi="Arial"/>
          <w:sz w:val="24"/>
          <w:szCs w:val="24"/>
        </w:rPr>
        <w:t xml:space="preserve">- по кредиту счета продавца;</w:t>
      </w:r>
    </w:p>
    <w:p>
      <w:pPr>
        <w:spacing w:after="120"/>
        <w:jc w:val="both"/>
      </w:pPr>
      <w:r>
        <w:rPr>
          <w:rFonts w:ascii="Arial" w:cs="Arial" w:eastAsia="Arial" w:hAnsi="Arial"/>
          <w:sz w:val="24"/>
          <w:szCs w:val="24"/>
        </w:rPr>
        <w:t xml:space="preserve">б) получение ценных бумаг компанией:</w:t>
      </w:r>
    </w:p>
    <w:p>
      <w:pPr>
        <w:spacing w:after="120"/>
        <w:jc w:val="both"/>
      </w:pPr>
      <w:r>
        <w:rPr>
          <w:rFonts w:ascii="Arial" w:cs="Arial" w:eastAsia="Arial" w:hAnsi="Arial"/>
          <w:sz w:val="24"/>
          <w:szCs w:val="24"/>
        </w:rPr>
        <w:t xml:space="preserve">- по дебету счета клиента, контрагента и др., от которого ценные бумаги получены; и</w:t>
      </w:r>
    </w:p>
    <w:p>
      <w:pPr>
        <w:spacing w:after="120"/>
        <w:jc w:val="both"/>
      </w:pPr>
      <w:r>
        <w:rPr>
          <w:rFonts w:ascii="Arial" w:cs="Arial" w:eastAsia="Arial" w:hAnsi="Arial"/>
          <w:sz w:val="24"/>
          <w:szCs w:val="24"/>
        </w:rPr>
        <w:t xml:space="preserve">- по кредиту счета местонахождения;</w:t>
      </w:r>
    </w:p>
    <w:p>
      <w:pPr>
        <w:spacing w:after="120"/>
        <w:jc w:val="both"/>
      </w:pPr>
      <w:r>
        <w:rPr>
          <w:rFonts w:ascii="Arial" w:cs="Arial" w:eastAsia="Arial" w:hAnsi="Arial"/>
          <w:sz w:val="24"/>
          <w:szCs w:val="24"/>
        </w:rPr>
        <w:t xml:space="preserve">в) поставка ценных бумаг компанией:</w:t>
      </w:r>
    </w:p>
    <w:p>
      <w:pPr>
        <w:spacing w:after="120"/>
        <w:jc w:val="both"/>
      </w:pPr>
      <w:r>
        <w:rPr>
          <w:rFonts w:ascii="Arial" w:cs="Arial" w:eastAsia="Arial" w:hAnsi="Arial"/>
          <w:sz w:val="24"/>
          <w:szCs w:val="24"/>
        </w:rPr>
        <w:t xml:space="preserve">- по дебету счета местонахождения;</w:t>
      </w:r>
    </w:p>
    <w:p>
      <w:pPr>
        <w:spacing w:after="120"/>
        <w:jc w:val="both"/>
      </w:pPr>
      <w:r>
        <w:rPr>
          <w:rFonts w:ascii="Arial" w:cs="Arial" w:eastAsia="Arial" w:hAnsi="Arial"/>
          <w:sz w:val="24"/>
          <w:szCs w:val="24"/>
        </w:rPr>
        <w:t xml:space="preserve">- по кредиту счета клиента, контрагента и др., которому осуществлена поставка;</w:t>
      </w:r>
    </w:p>
    <w:p>
      <w:pPr>
        <w:spacing w:after="120"/>
        <w:jc w:val="both"/>
      </w:pPr>
      <w:r>
        <w:rPr>
          <w:rFonts w:ascii="Arial" w:cs="Arial" w:eastAsia="Arial" w:hAnsi="Arial"/>
          <w:sz w:val="24"/>
          <w:szCs w:val="24"/>
        </w:rPr>
        <w:t xml:space="preserve">г) изменение местонахождения ценных бумаг:</w:t>
      </w:r>
    </w:p>
    <w:p>
      <w:pPr>
        <w:spacing w:after="120"/>
        <w:jc w:val="both"/>
      </w:pPr>
      <w:r>
        <w:rPr>
          <w:rFonts w:ascii="Arial" w:cs="Arial" w:eastAsia="Arial" w:hAnsi="Arial"/>
          <w:sz w:val="24"/>
          <w:szCs w:val="24"/>
        </w:rPr>
        <w:t xml:space="preserve">- по дебету счета местонахождения; и</w:t>
      </w:r>
    </w:p>
    <w:p>
      <w:pPr>
        <w:spacing w:after="120"/>
        <w:jc w:val="both"/>
      </w:pPr>
      <w:r>
        <w:rPr>
          <w:rFonts w:ascii="Arial" w:cs="Arial" w:eastAsia="Arial" w:hAnsi="Arial"/>
          <w:sz w:val="24"/>
          <w:szCs w:val="24"/>
        </w:rPr>
        <w:t xml:space="preserve">- по кредиту счета предыдущего местонахождения.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Журнал ежедневного учета ценных бумаг (приложение, </w:t>
      </w:r>
      <w:hyperlink w:history="1" r:id="rIdk3hxg0-r8dlwuf43breqy">
        <w:r>
          <w:rPr>
            <w:rFonts w:ascii="Arial" w:cs="Arial" w:eastAsia="Arial" w:hAnsi="Arial"/>
            <w:color w:val="1D4ED8"/>
            <w:sz w:val="24"/>
            <w:szCs w:val="24"/>
            <w:u w:val="single"/>
          </w:rPr>
          <w:t xml:space="preserve">форма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Журнал ежедневного учета ценных бумаг ведется отдельно по каждой ценной бумаге. В журнале отражаются только счета, задействованные в течение дня.</w:t>
      </w:r>
    </w:p>
    <w:p>
      <w:pPr>
        <w:spacing w:after="120"/>
        <w:jc w:val="both"/>
      </w:pPr>
      <w:r>
        <w:rPr>
          <w:rFonts w:ascii="Arial" w:cs="Arial" w:eastAsia="Arial" w:hAnsi="Arial"/>
          <w:sz w:val="24"/>
          <w:szCs w:val="24"/>
        </w:rPr>
        <w:t xml:space="preserve">Журнал ежедневного учета ценных бумаг содержит следующую информацию:</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наименование счета;</w:t>
      </w:r>
    </w:p>
    <w:p>
      <w:pPr>
        <w:spacing w:after="120"/>
        <w:jc w:val="both"/>
      </w:pPr>
      <w:r>
        <w:rPr>
          <w:rFonts w:ascii="Arial" w:cs="Arial" w:eastAsia="Arial" w:hAnsi="Arial"/>
          <w:sz w:val="24"/>
          <w:szCs w:val="24"/>
        </w:rPr>
        <w:t xml:space="preserve">- описание операции; в данное поле вносится полное или сокращенное название операции по данному счету, например:</w:t>
      </w:r>
    </w:p>
    <w:p>
      <w:pPr>
        <w:spacing w:after="120"/>
        <w:jc w:val="both"/>
      </w:pPr>
      <w:r>
        <w:rPr>
          <w:rFonts w:ascii="Arial" w:cs="Arial" w:eastAsia="Arial" w:hAnsi="Arial"/>
          <w:sz w:val="24"/>
          <w:szCs w:val="24"/>
        </w:rPr>
        <w:t xml:space="preserve">покупка, продажа - запись производится по счетам клиентов, контрагентов и счетам ценных бумаг компании;</w:t>
      </w:r>
    </w:p>
    <w:p>
      <w:pPr>
        <w:spacing w:after="120"/>
        <w:jc w:val="both"/>
      </w:pPr>
      <w:r>
        <w:rPr>
          <w:rFonts w:ascii="Arial" w:cs="Arial" w:eastAsia="Arial" w:hAnsi="Arial"/>
          <w:sz w:val="24"/>
          <w:szCs w:val="24"/>
        </w:rPr>
        <w:t xml:space="preserve">поставка - запись производится по счетам клиентов и контрагентов при получении выписки из реестра о перерегистрации ценных бумаг или при поставке сертификатов ценных бумаг;</w:t>
      </w:r>
    </w:p>
    <w:p>
      <w:pPr>
        <w:spacing w:after="120"/>
        <w:jc w:val="both"/>
      </w:pPr>
      <w:r>
        <w:rPr>
          <w:rFonts w:ascii="Arial" w:cs="Arial" w:eastAsia="Arial" w:hAnsi="Arial"/>
          <w:sz w:val="24"/>
          <w:szCs w:val="24"/>
        </w:rPr>
        <w:t xml:space="preserve">получение - запись производится по счетам клиентов и контрагентов при получении выписки из реестра о перерегистрации ценных бумаг или при получении сертификатов ценных бумаг;</w:t>
      </w:r>
    </w:p>
    <w:p>
      <w:pPr>
        <w:spacing w:after="120"/>
        <w:jc w:val="both"/>
      </w:pPr>
      <w:r>
        <w:rPr>
          <w:rFonts w:ascii="Arial" w:cs="Arial" w:eastAsia="Arial" w:hAnsi="Arial"/>
          <w:sz w:val="24"/>
          <w:szCs w:val="24"/>
        </w:rPr>
        <w:t xml:space="preserve">- номер договора - указывается при необходимости для счетов клиентов и контрагентов;</w:t>
      </w:r>
    </w:p>
    <w:p>
      <w:pPr>
        <w:spacing w:after="120"/>
        <w:jc w:val="both"/>
      </w:pPr>
      <w:r>
        <w:rPr>
          <w:rFonts w:ascii="Arial" w:cs="Arial" w:eastAsia="Arial" w:hAnsi="Arial"/>
          <w:sz w:val="24"/>
          <w:szCs w:val="24"/>
        </w:rPr>
        <w:t xml:space="preserve">- запись по дебету счета;</w:t>
      </w:r>
    </w:p>
    <w:p>
      <w:pPr>
        <w:spacing w:after="120"/>
        <w:jc w:val="both"/>
      </w:pPr>
      <w:r>
        <w:rPr>
          <w:rFonts w:ascii="Arial" w:cs="Arial" w:eastAsia="Arial" w:hAnsi="Arial"/>
          <w:sz w:val="24"/>
          <w:szCs w:val="24"/>
        </w:rPr>
        <w:t xml:space="preserve">- запись по кредиту счета. Отражает количество ценных бумаг, зачисляемых или списываемых с данного счета.</w:t>
      </w:r>
    </w:p>
    <w:p>
      <w:pPr>
        <w:spacing w:after="120"/>
        <w:jc w:val="both"/>
      </w:pPr>
      <w:r>
        <w:rPr>
          <w:rFonts w:ascii="Arial" w:cs="Arial" w:eastAsia="Arial" w:hAnsi="Arial"/>
          <w:sz w:val="24"/>
          <w:szCs w:val="24"/>
        </w:rPr>
        <w:t xml:space="preserve">Кроме вышеперечисленных данных, в журнал может быть включена дополнительная информация, необходимая компании.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Книга учета ценных бумаг (приложение, </w:t>
      </w:r>
      <w:hyperlink w:history="1" r:id="rIdi4nxdxztl1-seclnt3o3f">
        <w:r>
          <w:rPr>
            <w:rFonts w:ascii="Arial" w:cs="Arial" w:eastAsia="Arial" w:hAnsi="Arial"/>
            <w:color w:val="1D4ED8"/>
            <w:sz w:val="24"/>
            <w:szCs w:val="24"/>
            <w:u w:val="single"/>
          </w:rPr>
          <w:t xml:space="preserve">форма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Книга учета ценных бумаг составляется на основе информации из журнала учета ценных бумаг и организована в форме баланса. Книга отражает остатки по всем счетам системы учета ценных бумаг.</w:t>
      </w:r>
    </w:p>
    <w:p>
      <w:pPr>
        <w:spacing w:after="120"/>
        <w:jc w:val="both"/>
      </w:pPr>
      <w:r>
        <w:rPr>
          <w:rFonts w:ascii="Arial" w:cs="Arial" w:eastAsia="Arial" w:hAnsi="Arial"/>
          <w:sz w:val="24"/>
          <w:szCs w:val="24"/>
        </w:rPr>
        <w:t xml:space="preserve">Книга учета ценных бумаг организована по порядку номеров счетов системы учета ценных бумаг. Для каждого типа ценных бумаг ведется отдельная книга.</w:t>
      </w:r>
    </w:p>
    <w:p>
      <w:pPr>
        <w:spacing w:after="120"/>
        <w:jc w:val="both"/>
      </w:pPr>
      <w:r>
        <w:rPr>
          <w:rFonts w:ascii="Arial" w:cs="Arial" w:eastAsia="Arial" w:hAnsi="Arial"/>
          <w:sz w:val="24"/>
          <w:szCs w:val="24"/>
        </w:rPr>
        <w:t xml:space="preserve">В книге учета ценных бумаг содержится следующая информация:</w:t>
      </w:r>
    </w:p>
    <w:p>
      <w:pPr>
        <w:spacing w:after="120"/>
        <w:jc w:val="both"/>
      </w:pPr>
      <w:r>
        <w:rPr>
          <w:rFonts w:ascii="Arial" w:cs="Arial" w:eastAsia="Arial" w:hAnsi="Arial"/>
          <w:sz w:val="24"/>
          <w:szCs w:val="24"/>
        </w:rPr>
        <w:t xml:space="preserve">- номер счета;</w:t>
      </w:r>
    </w:p>
    <w:p>
      <w:pPr>
        <w:spacing w:after="120"/>
        <w:jc w:val="both"/>
      </w:pPr>
      <w:r>
        <w:rPr>
          <w:rFonts w:ascii="Arial" w:cs="Arial" w:eastAsia="Arial" w:hAnsi="Arial"/>
          <w:sz w:val="24"/>
          <w:szCs w:val="24"/>
        </w:rPr>
        <w:t xml:space="preserve">- название счета;</w:t>
      </w:r>
    </w:p>
    <w:p>
      <w:pPr>
        <w:spacing w:after="120"/>
        <w:jc w:val="both"/>
      </w:pPr>
      <w:r>
        <w:rPr>
          <w:rFonts w:ascii="Arial" w:cs="Arial" w:eastAsia="Arial" w:hAnsi="Arial"/>
          <w:sz w:val="24"/>
          <w:szCs w:val="24"/>
        </w:rPr>
        <w:t xml:space="preserve">- дата последней операции. Отражает дату последней операции с ценными бумагами по данному счету;</w:t>
      </w:r>
    </w:p>
    <w:p>
      <w:pPr>
        <w:spacing w:after="120"/>
        <w:jc w:val="both"/>
      </w:pPr>
      <w:r>
        <w:rPr>
          <w:rFonts w:ascii="Arial" w:cs="Arial" w:eastAsia="Arial" w:hAnsi="Arial"/>
          <w:sz w:val="24"/>
          <w:szCs w:val="24"/>
        </w:rPr>
        <w:t xml:space="preserve">- сальдо по дебету;</w:t>
      </w:r>
    </w:p>
    <w:p>
      <w:pPr>
        <w:spacing w:after="120"/>
        <w:jc w:val="both"/>
      </w:pPr>
      <w:r>
        <w:rPr>
          <w:rFonts w:ascii="Arial" w:cs="Arial" w:eastAsia="Arial" w:hAnsi="Arial"/>
          <w:sz w:val="24"/>
          <w:szCs w:val="24"/>
        </w:rPr>
        <w:t xml:space="preserve">- сальдо по кредиту. Отражает суммарный оборот по дебету или кредиту данного счета соответственно.</w:t>
      </w:r>
    </w:p>
    <w:p>
      <w:pPr>
        <w:spacing w:after="120"/>
        <w:jc w:val="both"/>
      </w:pPr>
      <w:r>
        <w:rPr>
          <w:rFonts w:ascii="Arial" w:cs="Arial" w:eastAsia="Arial" w:hAnsi="Arial"/>
          <w:sz w:val="24"/>
          <w:szCs w:val="24"/>
        </w:rPr>
        <w:t xml:space="preserve">Кроме этого, при необходимости в книгу может быть включена дополнительная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Периодическая сверка наличия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Каждый брокер должен ежеквартально проводить сверку наличия ценных бумаг с записями книги учета ценных бумаг. Не реже, чем один раз в квартал все брокеры обязаны:</w:t>
      </w:r>
    </w:p>
    <w:p>
      <w:pPr>
        <w:spacing w:after="120"/>
        <w:jc w:val="both"/>
      </w:pPr>
      <w:r>
        <w:rPr>
          <w:rFonts w:ascii="Arial" w:cs="Arial" w:eastAsia="Arial" w:hAnsi="Arial"/>
          <w:sz w:val="24"/>
          <w:szCs w:val="24"/>
        </w:rPr>
        <w:t xml:space="preserve">- в отношении ценных бумаг, выпущенных в обращение в бумажной форме, зарегистрированных на имя клиента и находящихся у брокера на хранении, или зарегистрированных на имя брокера как номинального держателя, проверить наличие и количество ценных бумаг;</w:t>
      </w:r>
    </w:p>
    <w:p>
      <w:pPr>
        <w:spacing w:after="120"/>
        <w:jc w:val="both"/>
      </w:pPr>
      <w:r>
        <w:rPr>
          <w:rFonts w:ascii="Arial" w:cs="Arial" w:eastAsia="Arial" w:hAnsi="Arial"/>
          <w:sz w:val="24"/>
          <w:szCs w:val="24"/>
        </w:rPr>
        <w:t xml:space="preserve">- в отношении ценных бумаг в бездокументарной форме, зарегистрированных на имя брокерской или инвестиционной компаний как номинального держателя и находящихся в реестре, получить подтверждение в письменной форме от регистратора о количестве и держателе ценных бумаг и сверить данные реестра с записями книги учета ценных бумаг компании;</w:t>
      </w:r>
    </w:p>
    <w:p>
      <w:pPr>
        <w:spacing w:after="120"/>
        <w:jc w:val="both"/>
      </w:pPr>
      <w:r>
        <w:rPr>
          <w:rFonts w:ascii="Arial" w:cs="Arial" w:eastAsia="Arial" w:hAnsi="Arial"/>
          <w:sz w:val="24"/>
          <w:szCs w:val="24"/>
        </w:rPr>
        <w:t xml:space="preserve">- в отношении ценных бумаг, находящихся на хранении в депозитарии, получить подтверждение в письменной форме от депозитария о количестве и владельце ценных бумаг и сверить полученные данные с записями компании. Периодичность предоставления депозитарием выписок по счету депо может быть установлена договором о депозитарном обслуживании;</w:t>
      </w:r>
    </w:p>
    <w:p>
      <w:pPr>
        <w:spacing w:after="120"/>
        <w:jc w:val="both"/>
      </w:pPr>
      <w:r>
        <w:rPr>
          <w:rFonts w:ascii="Arial" w:cs="Arial" w:eastAsia="Arial" w:hAnsi="Arial"/>
          <w:sz w:val="24"/>
          <w:szCs w:val="24"/>
        </w:rPr>
        <w:t xml:space="preserve">- проверить количество ценных бумаг, в отношении которых перерегистрация права собственности еще не завершена или ценных бумаг, находящихся под залогом;</w:t>
      </w:r>
    </w:p>
    <w:p>
      <w:pPr>
        <w:spacing w:after="120"/>
        <w:jc w:val="both"/>
      </w:pPr>
      <w:r>
        <w:rPr>
          <w:rFonts w:ascii="Arial" w:cs="Arial" w:eastAsia="Arial" w:hAnsi="Arial"/>
          <w:sz w:val="24"/>
          <w:szCs w:val="24"/>
        </w:rPr>
        <w:t xml:space="preserve">- сделать запись в книгах обо всех выявленных расхождениях и ошибках. Запись также должна включать наименование ценной бумаги, дату проведения проверки и подпись лица, внесшего исправление.</w:t>
      </w:r>
    </w:p>
    <w:p>
      <w:pPr>
        <w:spacing w:after="120"/>
        <w:jc w:val="both"/>
      </w:pPr>
      <w:r>
        <w:rPr>
          <w:rFonts w:ascii="Arial" w:cs="Arial" w:eastAsia="Arial" w:hAnsi="Arial"/>
          <w:sz w:val="24"/>
          <w:szCs w:val="24"/>
        </w:rPr>
        <w:t xml:space="preserve">Сверка проводится либо один раз в квартал для всех ценных бумаг одновременно в установленный компанией день (периодический метод), либо в рамках временного цикла (метод циклического подсчета), когда для каждой позиции ценных бумаг (группы позиций) устанавливается день сверки. При использовании метода циклического подсчета, так же как и при использовании периодического метода, все позиции ценных бумаг должны быть сверены в течение квартала.</w:t>
      </w:r>
    </w:p>
    <w:p>
      <w:pPr>
        <w:spacing w:after="120"/>
        <w:jc w:val="both"/>
      </w:pPr>
      <w:r>
        <w:rPr>
          <w:rFonts w:ascii="Arial" w:cs="Arial" w:eastAsia="Arial" w:hAnsi="Arial"/>
          <w:sz w:val="24"/>
          <w:szCs w:val="24"/>
        </w:rPr>
        <w:t xml:space="preserve">В целях обеспечения достоверности информации сверка производится под наблюдением уполномоченного лица, в чьи обязанности не входит ведение учета операций с ценными бумагами или работа с документами на перерегистрацию права собственности на ценные бумаги.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Стандарты по ведению отчетности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Назначение отчетности перед клиентами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Брокерская компания предоставляет клиенту первичную отчетную документацию (контракт, копию платежного поручения, выписку из реестра и пр.) для целей бухгалтерского учета и налогообложения в соответствии с существующей кыргызской практикой учета и документооборота и порядком расчетов, предусмотренным договором с клиентом.</w:t>
      </w:r>
    </w:p>
    <w:p>
      <w:pPr>
        <w:spacing w:after="120"/>
        <w:jc w:val="both"/>
      </w:pPr>
      <w:r>
        <w:rPr>
          <w:rFonts w:ascii="Arial" w:cs="Arial" w:eastAsia="Arial" w:hAnsi="Arial"/>
          <w:sz w:val="24"/>
          <w:szCs w:val="24"/>
        </w:rPr>
        <w:t xml:space="preserve">Помимо этого брокерская компания представляет клиенту периодическую отчетность для информирования его об операциях, осуществленных с его средствами, и содержащую данные о прибыльности этих операций.</w:t>
      </w:r>
    </w:p>
    <w:p>
      <w:pPr>
        <w:spacing w:after="120"/>
        <w:jc w:val="both"/>
      </w:pPr>
      <w:r>
        <w:rPr>
          <w:rFonts w:ascii="Arial" w:cs="Arial" w:eastAsia="Arial" w:hAnsi="Arial"/>
          <w:sz w:val="24"/>
          <w:szCs w:val="24"/>
        </w:rPr>
        <w:t xml:space="preserve">В своем внутреннем учете брокеры ведут счета всех своих клиентов, независимо от формы договора и частоты проведения операций с данным клиентом.</w:t>
      </w:r>
    </w:p>
    <w:p>
      <w:pPr>
        <w:spacing w:after="120"/>
        <w:jc w:val="both"/>
      </w:pPr>
      <w:r>
        <w:rPr>
          <w:rFonts w:ascii="Arial" w:cs="Arial" w:eastAsia="Arial" w:hAnsi="Arial"/>
          <w:sz w:val="24"/>
          <w:szCs w:val="24"/>
        </w:rPr>
        <w:t xml:space="preserve">Клиентам, для которых не открыты инвестиционные счета (например, клиентам, отдающим только разовые поручения), представляются только отчеты по каждой исполненной для них сделке.</w:t>
      </w:r>
    </w:p>
    <w:p>
      <w:pPr>
        <w:spacing w:after="120"/>
        <w:jc w:val="both"/>
      </w:pPr>
      <w:r>
        <w:rPr>
          <w:rFonts w:ascii="Arial" w:cs="Arial" w:eastAsia="Arial" w:hAnsi="Arial"/>
          <w:sz w:val="24"/>
          <w:szCs w:val="24"/>
        </w:rPr>
        <w:t xml:space="preserve">При ведении инвестиционного счета клиента (на основании договора на брокерское обслуживание или договора, предусматривающего управление компанией средствами клиента) компания представляет клиенту регулярный отчет о состоянии счета. Отчет о состоянии счета в части информации о ценных бумагах включает только ценные бумаги клиента, находящиеся в номинальном держании или на ответственном хранении брокерской компании.</w:t>
      </w:r>
    </w:p>
    <w:p>
      <w:pPr>
        <w:spacing w:after="120"/>
        <w:jc w:val="both"/>
      </w:pPr>
      <w:r>
        <w:rPr>
          <w:rFonts w:ascii="Arial" w:cs="Arial" w:eastAsia="Arial" w:hAnsi="Arial"/>
          <w:sz w:val="24"/>
          <w:szCs w:val="24"/>
        </w:rPr>
        <w:t xml:space="preserve">В случае, если клиенту в компании открыты более чем один инвестиционный счет, а также, если помимо деятельности по этому/этим счетам компания выполняет разовые поручения этого клиента, информация по каждому из инвестиционных счетов, а также по разовым сделкам не смешивается.</w:t>
      </w:r>
    </w:p>
    <w:p>
      <w:pPr>
        <w:spacing w:after="120"/>
        <w:jc w:val="both"/>
      </w:pPr>
      <w:r>
        <w:rPr>
          <w:rFonts w:ascii="Arial" w:cs="Arial" w:eastAsia="Arial" w:hAnsi="Arial"/>
          <w:sz w:val="24"/>
          <w:szCs w:val="24"/>
        </w:rPr>
        <w:t xml:space="preserve">Информация, содержащаяся в отчете о состоянии счета, является конфиденциальной. Компания и клиент несут взаимную ответственность за неразглашение данных отчета третьим лицам. Информация о названии/имени клиента является конфиденциальной и не подлежит разглашению третьим лицам.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Информация, включаемая в отчет о состоянии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Отчет о состоянии счета содержит следующую информацию:</w:t>
      </w:r>
    </w:p>
    <w:p>
      <w:pPr>
        <w:spacing w:after="120"/>
        <w:jc w:val="both"/>
      </w:pPr>
      <w:r>
        <w:rPr>
          <w:rFonts w:ascii="Arial" w:cs="Arial" w:eastAsia="Arial" w:hAnsi="Arial"/>
          <w:sz w:val="24"/>
          <w:szCs w:val="24"/>
        </w:rPr>
        <w:t xml:space="preserve">- все операции с ценными бумагами по счету клиента, включая завершенные сделки купли-продажи и незавершенные сделки;</w:t>
      </w:r>
    </w:p>
    <w:p>
      <w:pPr>
        <w:spacing w:after="120"/>
        <w:jc w:val="both"/>
      </w:pPr>
      <w:r>
        <w:rPr>
          <w:rFonts w:ascii="Arial" w:cs="Arial" w:eastAsia="Arial" w:hAnsi="Arial"/>
          <w:sz w:val="24"/>
          <w:szCs w:val="24"/>
        </w:rPr>
        <w:t xml:space="preserve">- платежи за период после представления последнего отчета;</w:t>
      </w:r>
    </w:p>
    <w:p>
      <w:pPr>
        <w:spacing w:after="120"/>
        <w:jc w:val="both"/>
      </w:pPr>
      <w:r>
        <w:rPr>
          <w:rFonts w:ascii="Arial" w:cs="Arial" w:eastAsia="Arial" w:hAnsi="Arial"/>
          <w:sz w:val="24"/>
          <w:szCs w:val="24"/>
        </w:rPr>
        <w:t xml:space="preserve">- комиссионные вознаграждения, подлежащие уплате и уплаченные клиентом;</w:t>
      </w:r>
    </w:p>
    <w:p>
      <w:pPr>
        <w:spacing w:after="120"/>
        <w:jc w:val="both"/>
      </w:pPr>
      <w:r>
        <w:rPr>
          <w:rFonts w:ascii="Arial" w:cs="Arial" w:eastAsia="Arial" w:hAnsi="Arial"/>
          <w:sz w:val="24"/>
          <w:szCs w:val="24"/>
        </w:rPr>
        <w:t xml:space="preserve">- дивиденды и проценты, начисленные и выплаченные компанией клиенту;</w:t>
      </w:r>
    </w:p>
    <w:p>
      <w:pPr>
        <w:spacing w:after="120"/>
        <w:jc w:val="both"/>
      </w:pPr>
      <w:r>
        <w:rPr>
          <w:rFonts w:ascii="Arial" w:cs="Arial" w:eastAsia="Arial" w:hAnsi="Arial"/>
          <w:sz w:val="24"/>
          <w:szCs w:val="24"/>
        </w:rPr>
        <w:t xml:space="preserve">- регистрационные сборы и прочие издержки, уплаченные компанией и возмещенные клиентом;</w:t>
      </w:r>
    </w:p>
    <w:p>
      <w:pPr>
        <w:spacing w:after="120"/>
        <w:jc w:val="both"/>
      </w:pPr>
      <w:r>
        <w:rPr>
          <w:rFonts w:ascii="Arial" w:cs="Arial" w:eastAsia="Arial" w:hAnsi="Arial"/>
          <w:sz w:val="24"/>
          <w:szCs w:val="24"/>
        </w:rPr>
        <w:t xml:space="preserve">- прочие суммы, удерживаемые с клиента в процессе выполнения условий договора с ним;</w:t>
      </w:r>
    </w:p>
    <w:p>
      <w:pPr>
        <w:spacing w:after="120"/>
        <w:jc w:val="both"/>
      </w:pPr>
      <w:r>
        <w:rPr>
          <w:rFonts w:ascii="Arial" w:cs="Arial" w:eastAsia="Arial" w:hAnsi="Arial"/>
          <w:sz w:val="24"/>
          <w:szCs w:val="24"/>
        </w:rPr>
        <w:t xml:space="preserve">- количество ценных бумаг, принадлежащих клиенту и находящихся в номинальном владении брокерской компании, а также количество ценных бумаг клиентов, переданных на ответственное хранение брокерской компании в соответствии с договором с клиентом;</w:t>
      </w:r>
    </w:p>
    <w:p>
      <w:pPr>
        <w:spacing w:after="120"/>
        <w:jc w:val="both"/>
      </w:pPr>
      <w:r>
        <w:rPr>
          <w:rFonts w:ascii="Arial" w:cs="Arial" w:eastAsia="Arial" w:hAnsi="Arial"/>
          <w:sz w:val="24"/>
          <w:szCs w:val="24"/>
        </w:rPr>
        <w:t xml:space="preserve">- данные о рыночной стоимости портфеля клиента. Метод оценки рыночной стоимости портфеля определяется договором между компанией и клиентом. При отсутствии такового может использоваться методика оценки чистых активов инвестиционных фондов;</w:t>
      </w:r>
    </w:p>
    <w:p>
      <w:pPr>
        <w:spacing w:after="120"/>
        <w:jc w:val="both"/>
      </w:pPr>
      <w:r>
        <w:rPr>
          <w:rFonts w:ascii="Arial" w:cs="Arial" w:eastAsia="Arial" w:hAnsi="Arial"/>
          <w:sz w:val="24"/>
          <w:szCs w:val="24"/>
        </w:rPr>
        <w:t xml:space="preserve">- денежный остаток по счету клиента на дату составления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25. Принципы составления отчета о состоянии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40. При составлении отчета клиенту компания должна придерживаться следующих принципов:</w:t>
      </w:r>
    </w:p>
    <w:p>
      <w:pPr>
        <w:spacing w:after="120"/>
        <w:jc w:val="both"/>
      </w:pPr>
      <w:r>
        <w:rPr>
          <w:rFonts w:ascii="Arial" w:cs="Arial" w:eastAsia="Arial" w:hAnsi="Arial"/>
          <w:sz w:val="24"/>
          <w:szCs w:val="24"/>
        </w:rPr>
        <w:t xml:space="preserve">- информация о движении денежных средств или ценных бумаг по счету клиента вводится на дату совершения сделки на основе данных документов и журналов учета брокерской деятельности;</w:t>
      </w:r>
    </w:p>
    <w:p>
      <w:pPr>
        <w:spacing w:after="120"/>
        <w:jc w:val="both"/>
      </w:pPr>
      <w:r>
        <w:rPr>
          <w:rFonts w:ascii="Arial" w:cs="Arial" w:eastAsia="Arial" w:hAnsi="Arial"/>
          <w:sz w:val="24"/>
          <w:szCs w:val="24"/>
        </w:rPr>
        <w:t xml:space="preserve">- стоимостные показатели могут указываться как в сомах, так и в валюте в соответствии с принципом мультивалютного учета. Компания может также представлять в отчете данные в любой валюте в соответствии с договором с клиентом;</w:t>
      </w:r>
    </w:p>
    <w:p>
      <w:pPr>
        <w:spacing w:after="120"/>
        <w:jc w:val="both"/>
      </w:pPr>
      <w:r>
        <w:rPr>
          <w:rFonts w:ascii="Arial" w:cs="Arial" w:eastAsia="Arial" w:hAnsi="Arial"/>
          <w:sz w:val="24"/>
          <w:szCs w:val="24"/>
        </w:rPr>
        <w:t xml:space="preserve">- данные об операциях с разными видами ценных бумаг включаются в отчет в виде отдельных блоков соответственно принятым формам предоставления отчетности (государственные ценные бумаги, производные ценные бумаги, корпоративные ценные бумаги и т.п.) с указанием доли ценных бумаг каждого вида в общей структуре портфеля инвестиций клиента.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Сроки предоставления отчета о состоянии счета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Отчет о состоянии счета клиента представляется каждому клиенту компании со следующей периодичностью:</w:t>
      </w:r>
    </w:p>
    <w:p>
      <w:pPr>
        <w:spacing w:after="120"/>
        <w:jc w:val="both"/>
      </w:pPr>
      <w:r>
        <w:rPr>
          <w:rFonts w:ascii="Arial" w:cs="Arial" w:eastAsia="Arial" w:hAnsi="Arial"/>
          <w:sz w:val="24"/>
          <w:szCs w:val="24"/>
        </w:rPr>
        <w:t xml:space="preserve">- не реже одного раза в месяц в случае, если в течение этого периода по счету клиента проводились операции;</w:t>
      </w:r>
    </w:p>
    <w:p>
      <w:pPr>
        <w:spacing w:after="120"/>
        <w:jc w:val="both"/>
      </w:pPr>
      <w:r>
        <w:rPr>
          <w:rFonts w:ascii="Arial" w:cs="Arial" w:eastAsia="Arial" w:hAnsi="Arial"/>
          <w:sz w:val="24"/>
          <w:szCs w:val="24"/>
        </w:rPr>
        <w:t xml:space="preserve">- не реже одного раза в квартал в случае, если в течение этого периода операции по счету не проводились, но имеется остаток денежных средств и/или ценных бумаг по счету;</w:t>
      </w:r>
    </w:p>
    <w:p>
      <w:pPr>
        <w:spacing w:after="120"/>
        <w:jc w:val="both"/>
      </w:pPr>
      <w:r>
        <w:rPr>
          <w:rFonts w:ascii="Arial" w:cs="Arial" w:eastAsia="Arial" w:hAnsi="Arial"/>
          <w:sz w:val="24"/>
          <w:szCs w:val="24"/>
        </w:rPr>
        <w:t xml:space="preserve">- отчет о состоянии счета клиента представляется в течение 5 рабочих дней, следующих за днем окончания отчетного периода;</w:t>
      </w:r>
    </w:p>
    <w:p>
      <w:pPr>
        <w:spacing w:after="120"/>
        <w:jc w:val="both"/>
      </w:pPr>
      <w:r>
        <w:rPr>
          <w:rFonts w:ascii="Arial" w:cs="Arial" w:eastAsia="Arial" w:hAnsi="Arial"/>
          <w:sz w:val="24"/>
          <w:szCs w:val="24"/>
        </w:rPr>
        <w:t xml:space="preserve">- не реже одного раза в месяц клиенту представляется необходимая первичная документация по каждой проведенной для него сделке для составления им отчетности в соответствии с Международными Стандартами Финансовой Отчетности (МСФО).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сделок</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7"/>
        <w:gridCol w:w="1683"/>
        <w:gridCol w:w="2359"/>
        <w:gridCol w:w="1164"/>
        <w:gridCol w:w="1926"/>
        <w:gridCol w:w="2089"/>
      </w:tblGrid>
      <w:tr>
        <w:tc>
          <w:tcPr>
            <w:tcW w:type="dxa" w:w="957"/>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Дата сделки</w:t>
            </w:r>
          </w:p>
        </w:tc>
        <w:tc>
          <w:tcPr>
            <w:tcW w:type="dxa" w:w="1683"/>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подписания договора</w:t>
            </w:r>
          </w:p>
        </w:tc>
        <w:tc>
          <w:tcPr>
            <w:tcW w:type="dxa" w:w="235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Дата перерегистрации ценных бумаг</w:t>
            </w:r>
          </w:p>
        </w:tc>
        <w:tc>
          <w:tcPr>
            <w:tcW w:type="dxa" w:w="116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договора</w:t>
            </w:r>
          </w:p>
        </w:tc>
        <w:tc>
          <w:tcPr>
            <w:tcW w:type="dxa" w:w="1926"/>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Наименование продавца</w:t>
            </w:r>
          </w:p>
        </w:tc>
        <w:tc>
          <w:tcPr>
            <w:tcW w:type="dxa" w:w="2089"/>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 счета продавца в системе внутреннего учета</w:t>
            </w:r>
          </w:p>
        </w:tc>
      </w:tr>
      <w:tr>
        <w:tc>
          <w:tcPr>
            <w:tcW w:type="dxa" w:w="9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6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3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9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28"/>
        <w:gridCol w:w="747"/>
        <w:gridCol w:w="975"/>
        <w:gridCol w:w="1657"/>
        <w:gridCol w:w="981"/>
        <w:gridCol w:w="1464"/>
        <w:gridCol w:w="2172"/>
        <w:gridCol w:w="1254"/>
      </w:tblGrid>
      <w:tr>
        <w:tc>
          <w:tcPr>
            <w:tcW w:type="dxa" w:w="928"/>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Вид ценной бумаги</w:t>
            </w:r>
          </w:p>
        </w:tc>
        <w:tc>
          <w:tcPr>
            <w:tcW w:type="dxa" w:w="74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Цена</w:t>
            </w:r>
          </w:p>
        </w:tc>
        <w:tc>
          <w:tcPr>
            <w:tcW w:type="dxa" w:w="975"/>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Валюта платежа</w:t>
            </w:r>
          </w:p>
        </w:tc>
        <w:tc>
          <w:tcPr>
            <w:tcW w:type="dxa" w:w="1657"/>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Количество ценных бумаг</w:t>
            </w:r>
          </w:p>
        </w:tc>
        <w:tc>
          <w:tcPr>
            <w:tcW w:type="dxa" w:w="981"/>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Общая сумма сделки</w:t>
            </w:r>
          </w:p>
        </w:tc>
        <w:tc>
          <w:tcPr>
            <w:tcW w:type="dxa" w:w="146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Брокерская комиссия</w:t>
            </w:r>
          </w:p>
        </w:tc>
        <w:tc>
          <w:tcPr>
            <w:tcW w:type="dxa" w:w="217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Регистрационный сбор</w:t>
            </w:r>
          </w:p>
        </w:tc>
        <w:tc>
          <w:tcPr>
            <w:tcW w:type="dxa" w:w="1254"/>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Итоговая сумма сделки</w:t>
            </w:r>
          </w:p>
        </w:tc>
      </w:tr>
      <w:tr>
        <w:tc>
          <w:tcPr>
            <w:tcW w:type="dxa" w:w="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65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4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ежедневного учета денежных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1352"/>
        <w:gridCol w:w="1671"/>
        <w:gridCol w:w="2638"/>
        <w:gridCol w:w="3888"/>
      </w:tblGrid>
      <w:tr>
        <w:tc>
          <w:tcPr>
            <w:tcW w:type="dxa" w:w="62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3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167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счета</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Порядковый № операции</w:t>
            </w:r>
          </w:p>
        </w:tc>
        <w:tc>
          <w:tcPr>
            <w:tcW w:type="dxa" w:w="38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сопроводительного документа</w:t>
            </w: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3392"/>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Сальдо начальное</w:t>
            </w:r>
          </w:p>
        </w:tc>
        <w:tc>
          <w:tcPr>
            <w:tcW w:type="dxa" w:w="3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Обороты</w:t>
            </w:r>
          </w:p>
        </w:tc>
        <w:tc>
          <w:tcPr>
            <w:tcW w:type="dxa" w:w="339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 конечное</w:t>
            </w:r>
          </w:p>
        </w:tc>
      </w:tr>
      <w:tr>
        <w:tc>
          <w:tcPr>
            <w:tcW w:type="dxa" w:w="169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r>
      <w:tr>
        <w:tc>
          <w:tcPr>
            <w:tcW w:type="dxa" w:w="8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 учета денежных средств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9"/>
        <w:gridCol w:w="1003"/>
        <w:gridCol w:w="1158"/>
        <w:gridCol w:w="805"/>
        <w:gridCol w:w="805"/>
        <w:gridCol w:w="805"/>
        <w:gridCol w:w="805"/>
        <w:gridCol w:w="805"/>
        <w:gridCol w:w="805"/>
        <w:gridCol w:w="805"/>
        <w:gridCol w:w="805"/>
        <w:gridCol w:w="946"/>
      </w:tblGrid>
      <w:tr>
        <w:tc>
          <w:tcPr>
            <w:tcW w:type="dxa" w:w="629"/>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w:t>
            </w:r>
          </w:p>
        </w:tc>
        <w:tc>
          <w:tcPr>
            <w:tcW w:type="dxa" w:w="100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1158"/>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счета</w:t>
            </w:r>
          </w:p>
        </w:tc>
        <w:tc>
          <w:tcPr>
            <w:tcW w:type="dxa" w:w="32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w:t>
            </w:r>
          </w:p>
        </w:tc>
        <w:tc>
          <w:tcPr>
            <w:tcW w:type="dxa" w:w="3220"/>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оборот</w:t>
            </w:r>
          </w:p>
        </w:tc>
        <w:tc>
          <w:tcPr>
            <w:tcW w:type="dxa" w:w="9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Дт</w:t>
            </w:r>
          </w:p>
        </w:tc>
        <w:tc>
          <w:tcPr>
            <w:tcW w:type="dxa" w:w="80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16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161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vMerge w:val="continue"/>
            <w:tcBorders>
              <w:top w:val="single" w:color="CBBF9E" w:sz="4"/>
              <w:left w:val="none" w:color="auto" w:sz="0"/>
              <w:bottom w:val="single" w:color="CBBF9E" w:sz="4"/>
              <w:right w:val="single" w:color="CBBF9E" w:sz="4"/>
            </w:tcBorders>
          </w:tcPr>
          <w:p/>
        </w:tc>
      </w:tr>
      <w:tr>
        <w:tc>
          <w:tcPr>
            <w:tcW w:type="dxa" w:w="6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Балансовые показатели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28"/>
        <w:gridCol w:w="1212"/>
        <w:gridCol w:w="1212"/>
        <w:gridCol w:w="777"/>
        <w:gridCol w:w="777"/>
        <w:gridCol w:w="1114"/>
        <w:gridCol w:w="1114"/>
        <w:gridCol w:w="1022"/>
        <w:gridCol w:w="1022"/>
      </w:tblGrid>
      <w:tr>
        <w:tc>
          <w:tcPr>
            <w:tcW w:type="dxa" w:w="19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ценных бумаг на балансе (шт.)</w:t>
            </w:r>
          </w:p>
        </w:tc>
        <w:tc>
          <w:tcPr>
            <w:tcW w:type="dxa" w:w="242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Средневзвешенная стоимость</w:t>
            </w:r>
          </w:p>
        </w:tc>
        <w:tc>
          <w:tcPr>
            <w:tcW w:type="dxa" w:w="155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Балансовая стоимость</w:t>
            </w:r>
          </w:p>
        </w:tc>
        <w:tc>
          <w:tcPr>
            <w:tcW w:type="dxa" w:w="222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Операционная прибыль/убыток</w:t>
            </w:r>
          </w:p>
        </w:tc>
        <w:tc>
          <w:tcPr>
            <w:tcW w:type="dxa" w:w="20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Суммарная прибыль/убыток</w:t>
            </w:r>
          </w:p>
        </w:tc>
      </w:tr>
      <w:tr>
        <w:tc>
          <w:tcPr>
            <w:tcW w:type="dxa" w:w="19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Долл. США</w:t>
            </w:r>
          </w:p>
        </w:tc>
      </w:tr>
      <w:tr>
        <w:tc>
          <w:tcPr>
            <w:vMerge w:val="continue"/>
            <w:tcBorders>
              <w:top w:val="none" w:color="auto" w:sz="0"/>
              <w:left w:val="single" w:color="CBBF9E" w:sz="4"/>
              <w:bottom w:val="single" w:color="CBBF9E" w:sz="4"/>
              <w:right w:val="single" w:color="CBBF9E" w:sz="4"/>
            </w:tcBorders>
          </w:tcP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2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Журнал ежедневного учета ценных бумаг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11"/>
        <w:gridCol w:w="2135"/>
        <w:gridCol w:w="1844"/>
        <w:gridCol w:w="1567"/>
        <w:gridCol w:w="883"/>
        <w:gridCol w:w="883"/>
        <w:gridCol w:w="826"/>
        <w:gridCol w:w="826"/>
      </w:tblGrid>
      <w:tr>
        <w:tc>
          <w:tcPr>
            <w:tcW w:type="dxa" w:w="121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2135"/>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счета</w:t>
            </w:r>
          </w:p>
        </w:tc>
        <w:tc>
          <w:tcPr>
            <w:tcW w:type="dxa" w:w="184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Описание операции</w:t>
            </w:r>
          </w:p>
        </w:tc>
        <w:tc>
          <w:tcPr>
            <w:tcW w:type="dxa" w:w="15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Номер договора</w:t>
            </w:r>
          </w:p>
        </w:tc>
        <w:tc>
          <w:tcPr>
            <w:tcW w:type="dxa" w:w="176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Начальное сальдо</w:t>
            </w:r>
          </w:p>
        </w:tc>
        <w:tc>
          <w:tcPr>
            <w:tcW w:type="dxa" w:w="16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Конечное сальдо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Дт</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r>
      <w:tr>
        <w:tc>
          <w:tcPr>
            <w:tcW w:type="dxa" w:w="12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Книга учета ценных бумаг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81"/>
        <w:gridCol w:w="1466"/>
        <w:gridCol w:w="1869"/>
        <w:gridCol w:w="2881"/>
        <w:gridCol w:w="2881"/>
      </w:tblGrid>
      <w:tr>
        <w:tc>
          <w:tcPr>
            <w:tcW w:type="dxa" w:w="10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счета</w:t>
            </w:r>
          </w:p>
        </w:tc>
        <w:tc>
          <w:tcPr>
            <w:tcW w:type="dxa" w:w="146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счета</w:t>
            </w:r>
          </w:p>
        </w:tc>
        <w:tc>
          <w:tcPr>
            <w:tcW w:type="dxa" w:w="186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последней операции</w:t>
            </w:r>
          </w:p>
        </w:tc>
        <w:tc>
          <w:tcPr>
            <w:tcW w:type="dxa" w:w="57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Сальдо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Дт</w:t>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w:t>
            </w:r>
          </w:p>
        </w:tc>
      </w:tr>
      <w:tr>
        <w:tc>
          <w:tcPr>
            <w:tcW w:type="dxa" w:w="10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sv-rn0xjjnuidcaf9cdw" Type="http://schemas.openxmlformats.org/officeDocument/2006/relationships/hyperlink" Target="http://kodeks.duckdns.org/document/202677" TargetMode="External"/><Relationship Id="rIdqbuch3deei073bd61yblz" Type="http://schemas.openxmlformats.org/officeDocument/2006/relationships/hyperlink" Target="http://kodeks.duckdns.org/document/92680#p1" TargetMode="External"/><Relationship Id="rIdofjujgtqb5t0nedvvxztu" Type="http://schemas.openxmlformats.org/officeDocument/2006/relationships/hyperlink" Target="http://kodeks.duckdns.org/document/92680" TargetMode="External"/><Relationship Id="rIdnpvj3je2vduxut1bxyj-k" Type="http://schemas.openxmlformats.org/officeDocument/2006/relationships/hyperlink" Target="http://kodeks.duckdns.org/document/202677" TargetMode="External"/><Relationship Id="rIdcdylcah1uqsxwp7rxoior" Type="http://schemas.openxmlformats.org/officeDocument/2006/relationships/hyperlink" Target="http://kodeks.duckdns.org/document/203198" TargetMode="External"/><Relationship Id="rIdricrlk8nmow6ngan0e5gl" Type="http://schemas.openxmlformats.org/officeDocument/2006/relationships/hyperlink" Target="http://kodeks.duckdns.org/document/92680#p2" TargetMode="External"/><Relationship Id="rIdv_-kfph7j8pah0zocponk" Type="http://schemas.openxmlformats.org/officeDocument/2006/relationships/hyperlink" Target="http://kodeks.duckdns.org/document/92680#p3" TargetMode="External"/><Relationship Id="rIdxwnrfqmccvjpoi72cujcl" Type="http://schemas.openxmlformats.org/officeDocument/2006/relationships/hyperlink" Target="http://kodeks.duckdns.org/document/92680#p4" TargetMode="External"/><Relationship Id="rIdk3hxg0-r8dlwuf43breqy" Type="http://schemas.openxmlformats.org/officeDocument/2006/relationships/hyperlink" Target="http://kodeks.duckdns.org/document/92680#p6" TargetMode="External"/><Relationship Id="rIdi4nxdxztl1-seclnt3o3f" Type="http://schemas.openxmlformats.org/officeDocument/2006/relationships/hyperlink" Target="http://kodeks.duckdns.org/document/92680#p7" TargetMode="External"/><Relationship Id="rId7" Type="http://schemas.openxmlformats.org/officeDocument/2006/relationships/image" Target="media/93bec1c1538034512fe33c1434ae0ea86b639d3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2026-09-23T12:37:01.904Z</dcterms:created>
  <dcterms:modified xsi:type="dcterms:W3CDTF">2026-09-23T12:37:01.904Z</dcterms:modified>
</cp:coreProperties>
</file>

<file path=docProps/custom.xml><?xml version="1.0" encoding="utf-8"?>
<Properties xmlns="http://schemas.openxmlformats.org/officeDocument/2006/custom-properties" xmlns:vt="http://schemas.openxmlformats.org/officeDocument/2006/docPropsVTypes"/>
</file>