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3esn0zibbpwjyoik7hi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2018 года № 417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hyperlink w:history="1" r:id="rIdpposglmq-nw1y6m4xqa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480"/>
        <w:jc w:val="right"/>
      </w:pPr>
      <w:r>
        <w:rPr>
          <w:rFonts w:ascii="Arial" w:cs="Arial" w:eastAsia="Arial" w:hAnsi="Arial"/>
          <w:sz w:val="24"/>
          <w:szCs w:val="24"/>
        </w:rPr>
        <w:t xml:space="preserve">от 27 мая 2011 года № 253</w:t>
      </w:r>
    </w:p>
    <w:p>
      <w:pPr>
        <w:spacing w:after="480" w:before="200"/>
        <w:jc w:val="center"/>
      </w:pPr>
      <w:r>
        <w:rPr>
          <w:rFonts w:ascii="Arial" w:cs="Arial" w:eastAsia="Arial" w:hAnsi="Arial"/>
          <w:b/>
          <w:bCs/>
          <w:sz w:val="28"/>
          <w:szCs w:val="28"/>
        </w:rPr>
        <w:t xml:space="preserve">ПОЛОЖЕНИЕ
 о раскрытии информации на рынке ценных бумаг</w:t>
      </w:r>
    </w:p>
    <w:p>
      <w:pPr>
        <w:spacing w:after="240"/>
        <w:jc w:val="center"/>
      </w:pPr>
      <w:r>
        <w:rPr>
          <w:rFonts w:ascii="Arial" w:cs="Arial" w:eastAsia="Arial" w:hAnsi="Arial"/>
          <w:i/>
          <w:iCs/>
          <w:sz w:val="24"/>
          <w:szCs w:val="24"/>
        </w:rPr>
        <w:t xml:space="preserve"> (В редакции постановлений Правительства КР </w:t>
      </w:r>
      <w:hyperlink w:history="1" r:id="rId79b9atkqn_t2ieyuazdxi">
        <w:r>
          <w:rPr>
            <w:rFonts w:ascii="Arial" w:cs="Arial" w:eastAsia="Arial" w:hAnsi="Arial"/>
            <w:i/>
            <w:iCs/>
            <w:color w:val="1D4ED8"/>
            <w:sz w:val="24"/>
            <w:szCs w:val="24"/>
            <w:u w:val="single"/>
          </w:rPr>
          <w:t xml:space="preserve">от 29 октября 2012 года № 751</w:t>
        </w:r>
      </w:hyperlink>
      <w:r>
        <w:rPr>
          <w:rFonts w:ascii="Arial" w:cs="Arial" w:eastAsia="Arial" w:hAnsi="Arial"/>
          <w:i/>
          <w:iCs/>
          <w:sz w:val="24"/>
          <w:szCs w:val="24"/>
        </w:rPr>
        <w:t xml:space="preserve">, </w:t>
      </w:r>
      <w:hyperlink w:history="1" r:id="rId5yoeegieeyhvhycob0n3q">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 </w:t>
      </w:r>
      <w:hyperlink w:history="1" r:id="rIdwqxwpw9jjojxjq14smv82">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Раскрытие информации эмитентом ценных бумаг</w:t>
      </w:r>
    </w:p>
    <w:p>
      <w:pPr>
        <w:spacing w:after="120"/>
        <w:jc w:val="both"/>
      </w:pPr>
      <w:r>
        <w:rPr>
          <w:rFonts w:ascii="Arial" w:cs="Arial" w:eastAsia="Arial" w:hAnsi="Arial"/>
          <w:sz w:val="24"/>
          <w:szCs w:val="24"/>
        </w:rPr>
        <w:t xml:space="preserve">3. Ежеквартальный отчет по ценным бумагам</w:t>
      </w:r>
    </w:p>
    <w:p>
      <w:pPr>
        <w:spacing w:after="120"/>
        <w:jc w:val="both"/>
      </w:pPr>
      <w:r>
        <w:rPr>
          <w:rFonts w:ascii="Arial" w:cs="Arial" w:eastAsia="Arial" w:hAnsi="Arial"/>
          <w:sz w:val="24"/>
          <w:szCs w:val="24"/>
        </w:rPr>
        <w:t xml:space="preserve">4. Раскрытие информации профессиональным участником рынка ценных бумаг</w:t>
      </w:r>
    </w:p>
    <w:p>
      <w:pPr>
        <w:spacing w:after="120"/>
        <w:jc w:val="both"/>
      </w:pPr>
      <w:r>
        <w:rPr>
          <w:rFonts w:ascii="Arial" w:cs="Arial" w:eastAsia="Arial" w:hAnsi="Arial"/>
          <w:sz w:val="24"/>
          <w:szCs w:val="24"/>
        </w:rPr>
        <w:t xml:space="preserve">Приложение 1. Данные, включаемые в годовой отчет по ценным бумагам</w:t>
      </w:r>
    </w:p>
    <w:p>
      <w:pPr>
        <w:spacing w:after="120"/>
        <w:jc w:val="both"/>
      </w:pPr>
      <w:r>
        <w:rPr>
          <w:rFonts w:ascii="Arial" w:cs="Arial" w:eastAsia="Arial" w:hAnsi="Arial"/>
          <w:sz w:val="24"/>
          <w:szCs w:val="24"/>
        </w:rPr>
        <w:t xml:space="preserve">Приложение 2. Данные, включаемые в ежеквартальный отчет</w:t>
      </w:r>
    </w:p>
    <w:p>
      <w:pPr>
        <w:spacing w:after="120"/>
        <w:jc w:val="both"/>
      </w:pPr>
      <w:r>
        <w:rPr>
          <w:rFonts w:ascii="Arial" w:cs="Arial" w:eastAsia="Arial" w:hAnsi="Arial"/>
          <w:sz w:val="24"/>
          <w:szCs w:val="24"/>
        </w:rPr>
        <w:t xml:space="preserve">при эмиссии</w:t>
      </w:r>
    </w:p>
    <w:p>
      <w:pPr>
        <w:spacing w:after="120"/>
        <w:jc w:val="both"/>
      </w:pPr>
      <w:r>
        <w:rPr>
          <w:rFonts w:ascii="Arial" w:cs="Arial" w:eastAsia="Arial" w:hAnsi="Arial"/>
          <w:sz w:val="24"/>
          <w:szCs w:val="24"/>
        </w:rPr>
        <w:t xml:space="preserve">Приложение 3. Существенные факты, затрагивающие финансово-хозяйственную деятельность эмитента и подлежащие обязательному раскрытию</w:t>
      </w:r>
    </w:p>
    <w:p>
      <w:pPr>
        <w:spacing w:after="120"/>
        <w:jc w:val="both"/>
      </w:pPr>
      <w:r>
        <w:rPr>
          <w:rFonts w:ascii="Arial" w:cs="Arial" w:eastAsia="Arial" w:hAnsi="Arial"/>
          <w:sz w:val="24"/>
          <w:szCs w:val="24"/>
        </w:rPr>
        <w:t xml:space="preserve">Приложение 4. Данные, включаемые в краткий ежеквартальный отчет для публикации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Сфера действия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подготовлено в соответствии с Гражданским </w:t>
      </w:r>
      <w:hyperlink w:history="1" r:id="rId1gayd-459qznbe8nb0to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"О рынке ценных бумаг", "Об акционерных обществах", "Об ипотечных ценных бумагах",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fx-o3kia7jmxeaxqchrk">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Настоящее Положение определяет порядок раскрытия информации эмитентами эмиссионных ценных бумаг, профессиональными участниками рынка ценных бумаг, саморегулируемыми организациями и владельцами ценных бумаг, а также порядок представления отчетов (информации) вышеуказанными лицами в уполномоченный государственный орган по регулированию рынка ценных бумаг (далее - уполномоченный государственный орган).</w:t>
      </w:r>
    </w:p>
    <w:p>
      <w:pPr>
        <w:spacing w:after="120"/>
        <w:jc w:val="both"/>
      </w:pPr>
      <w:r>
        <w:rPr>
          <w:rFonts w:ascii="Arial" w:cs="Arial" w:eastAsia="Arial" w:hAnsi="Arial"/>
          <w:sz w:val="24"/>
          <w:szCs w:val="24"/>
        </w:rPr>
        <w:t xml:space="preserve">3. Раскрытие информации банками и иными финансово-кредитными организациями, лицензируемыми Национальным банком Кыргызской Республики, осуществляется в соответствии с настоящим Положением с учетом законодательства и нормативных правовых актов, регулирующих деятельность банков и других финансово-кредитных учреждений.</w:t>
      </w:r>
    </w:p>
    <w:p>
      <w:pPr>
        <w:spacing w:after="120"/>
        <w:jc w:val="both"/>
      </w:pPr>
      <w:r>
        <w:rPr>
          <w:rFonts w:ascii="Arial" w:cs="Arial" w:eastAsia="Arial" w:hAnsi="Arial"/>
          <w:sz w:val="24"/>
          <w:szCs w:val="24"/>
        </w:rPr>
        <w:t xml:space="preserve">4. Под раскрытием информации понимается обеспечение ее доступности всем заинтересованным в этом лицам, независимо от целей получения данной информации.</w:t>
      </w:r>
    </w:p>
    <w:p>
      <w:pPr>
        <w:spacing w:after="120"/>
        <w:jc w:val="both"/>
      </w:pPr>
      <w:r>
        <w:rPr>
          <w:rFonts w:ascii="Arial" w:cs="Arial" w:eastAsia="Arial" w:hAnsi="Arial"/>
          <w:sz w:val="24"/>
          <w:szCs w:val="24"/>
        </w:rPr>
        <w:t xml:space="preserve">5. Раскрытию подлежит информация, признанная законодательством общедоступной.</w:t>
      </w:r>
    </w:p>
    <w:p>
      <w:pPr>
        <w:spacing w:after="120"/>
        <w:jc w:val="both"/>
      </w:pPr>
      <w:r>
        <w:rPr>
          <w:rFonts w:ascii="Arial" w:cs="Arial" w:eastAsia="Arial" w:hAnsi="Arial"/>
          <w:sz w:val="24"/>
          <w:szCs w:val="24"/>
        </w:rPr>
        <w:t xml:space="preserve">6. Раскрытой информацией на рынке ценных бумаг признается информация, в отношении которой проведены действия по ее раскрытию.</w:t>
      </w:r>
    </w:p>
    <w:p>
      <w:pPr>
        <w:spacing w:after="120"/>
        <w:jc w:val="both"/>
      </w:pPr>
      <w:r>
        <w:rPr>
          <w:rFonts w:ascii="Arial" w:cs="Arial" w:eastAsia="Arial" w:hAnsi="Arial"/>
          <w:sz w:val="24"/>
          <w:szCs w:val="24"/>
        </w:rPr>
        <w:t xml:space="preserve">7. Служебная информация должна быть раскрыта в случаях, предусмотренных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8. В случае нарушения требований настоящего Положения по раскрытию информации, а также обнаружения в раскрываемой информации недостоверных сведений, лица, обязанные раскрывать информацию в соответствии с настоящим Положением,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9. Уполномоченный государственный орган вправе раскрывать информацию, предоставленную эмитентами и профессиональными участниками рынка ценных бумаг и являющуюся общедоступной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10. В соответствии с требованиями Закона Кыргызской Республики "О противодействии финансированию терроризма и легализации (отмыванию) доходов, полученных преступным путем" эмитенты ценных бумаг и профессиональные участники рынка ценных бумаг обязаны представлять в уполномоченный государственный орган по финансовой разведке информацию о клиенте (контрагенте), информацию об операциях (сделках), подлежащих обязательному контролю, в соответствии с требованиями, установленными законодательством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 используемые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понятия, термины и их определения, используемые в настоящем Положении:</w:t>
      </w:r>
    </w:p>
    <w:p>
      <w:pPr>
        <w:spacing w:after="120"/>
        <w:jc w:val="both"/>
      </w:pPr>
      <w:r>
        <w:rPr>
          <w:rFonts w:ascii="Arial" w:cs="Arial" w:eastAsia="Arial" w:hAnsi="Arial"/>
          <w:sz w:val="24"/>
          <w:szCs w:val="24"/>
        </w:rPr>
        <w:t xml:space="preserve">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jc w:val="both"/>
      </w:pPr>
      <w:r>
        <w:rPr>
          <w:rFonts w:ascii="Arial" w:cs="Arial" w:eastAsia="Arial" w:hAnsi="Arial"/>
          <w:sz w:val="24"/>
          <w:szCs w:val="24"/>
        </w:rPr>
        <w:t xml:space="preserve">- заключенного договора;</w:t>
      </w:r>
    </w:p>
    <w:p>
      <w:pPr>
        <w:spacing w:after="120"/>
        <w:jc w:val="both"/>
      </w:pPr>
      <w:r>
        <w:rPr>
          <w:rFonts w:ascii="Arial" w:cs="Arial" w:eastAsia="Arial" w:hAnsi="Arial"/>
          <w:sz w:val="24"/>
          <w:szCs w:val="24"/>
        </w:rPr>
        <w:t xml:space="preserve">- владения крупным пакетом акций (доли);</w:t>
      </w:r>
    </w:p>
    <w:p>
      <w:pPr>
        <w:spacing w:after="120"/>
        <w:jc w:val="both"/>
      </w:pPr>
      <w:r>
        <w:rPr>
          <w:rFonts w:ascii="Arial" w:cs="Arial" w:eastAsia="Arial" w:hAnsi="Arial"/>
          <w:sz w:val="24"/>
          <w:szCs w:val="24"/>
        </w:rPr>
        <w:t xml:space="preserve">- того, что оно является должностным лицом юридического лица;</w:t>
      </w:r>
    </w:p>
    <w:p>
      <w:pPr>
        <w:spacing w:after="120"/>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jc w:val="both"/>
      </w:pPr>
      <w:r>
        <w:rPr>
          <w:rFonts w:ascii="Arial" w:cs="Arial" w:eastAsia="Arial" w:hAnsi="Arial"/>
          <w:sz w:val="24"/>
          <w:szCs w:val="24"/>
        </w:rPr>
        <w:t xml:space="preserve">владелец крупного пакета акций - физическое или юридическое лицо, которое прямо или косвенно владеет крупным пакетом акций акционерного общества по одному из нижеследующих оснований:</w:t>
      </w:r>
    </w:p>
    <w:p>
      <w:pPr>
        <w:spacing w:after="120"/>
        <w:jc w:val="both"/>
      </w:pPr>
      <w:r>
        <w:rPr>
          <w:rFonts w:ascii="Arial" w:cs="Arial" w:eastAsia="Arial" w:hAnsi="Arial"/>
          <w:sz w:val="24"/>
          <w:szCs w:val="24"/>
        </w:rPr>
        <w:t xml:space="preserve">- лицо является собственником ценных бумаг;</w:t>
      </w:r>
    </w:p>
    <w:p>
      <w:pPr>
        <w:spacing w:after="120"/>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120"/>
        <w:jc w:val="both"/>
      </w:pPr>
      <w:r>
        <w:rPr>
          <w:rFonts w:ascii="Arial" w:cs="Arial" w:eastAsia="Arial" w:hAnsi="Arial"/>
          <w:sz w:val="24"/>
          <w:szCs w:val="24"/>
        </w:rPr>
        <w:t xml:space="preserve">должностное лицо - председатель, член Совета директоров, руководитель и член исполнительного органа эмитента или профессионального участника рынка ценных бумаг,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120"/>
        <w:jc w:val="both"/>
      </w:pPr>
      <w:r>
        <w:rPr>
          <w:rFonts w:ascii="Arial" w:cs="Arial" w:eastAsia="Arial" w:hAnsi="Arial"/>
          <w:sz w:val="24"/>
          <w:szCs w:val="24"/>
        </w:rPr>
        <w:t xml:space="preserve">конфиденциальная информация - любая информация, которая не является публичной (открытой), раскрытие которой может оказать существенное влияние на рыночную цену ценных бумаг, выпущенных эмитентом, и сделки с ними, на самого эмитента и осуществляемую им деятельность, а также иных лиц, которых касается данная информация;</w:t>
      </w:r>
    </w:p>
    <w:p>
      <w:pPr>
        <w:spacing w:after="120"/>
        <w:jc w:val="both"/>
      </w:pPr>
      <w:r>
        <w:rPr>
          <w:rFonts w:ascii="Arial" w:cs="Arial" w:eastAsia="Arial" w:hAnsi="Arial"/>
          <w:sz w:val="24"/>
          <w:szCs w:val="24"/>
        </w:rPr>
        <w:t xml:space="preserve">контрольный пакет акций - более 50 процентов простых акций, выпущенных акционерным обществом;</w:t>
      </w:r>
    </w:p>
    <w:p>
      <w:pPr>
        <w:spacing w:after="120"/>
        <w:jc w:val="both"/>
      </w:pPr>
      <w:r>
        <w:rPr>
          <w:rFonts w:ascii="Arial" w:cs="Arial" w:eastAsia="Arial" w:hAnsi="Arial"/>
          <w:sz w:val="24"/>
          <w:szCs w:val="24"/>
        </w:rPr>
        <w:t xml:space="preserve">крупный пакет акций - 5 и более процентов простых акций, выпущенных эмитентом;</w:t>
      </w:r>
    </w:p>
    <w:p>
      <w:pPr>
        <w:spacing w:after="120"/>
        <w:jc w:val="both"/>
      </w:pPr>
      <w:r>
        <w:rPr>
          <w:rFonts w:ascii="Arial" w:cs="Arial" w:eastAsia="Arial" w:hAnsi="Arial"/>
          <w:sz w:val="24"/>
          <w:szCs w:val="24"/>
        </w:rPr>
        <w:t xml:space="preserve">публичная компания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jc w:val="both"/>
      </w:pPr>
      <w:r>
        <w:rPr>
          <w:rFonts w:ascii="Arial" w:cs="Arial" w:eastAsia="Arial" w:hAnsi="Arial"/>
          <w:sz w:val="24"/>
          <w:szCs w:val="24"/>
        </w:rPr>
        <w:t xml:space="preserve">публичное предложение - предложение по размещению или продаже ценных бумаг, сделанное любым физическим и юридическим лицами, каким бы способом они не были выбраны, в том числе сопровождающееся распространением объявления, проспекта или формы заявки, за исключением персонального предложения, продажи ценных бумаг в процессе осуществления процедуры банкротства в соответствии с законодательством Кыргызской Республики, продажи ценных бумаг при исполнительном судебном производстве в соответствии с законодательством Кыргызской Республики;</w:t>
      </w:r>
    </w:p>
    <w:p>
      <w:pPr>
        <w:spacing w:after="120"/>
        <w:jc w:val="both"/>
      </w:pPr>
      <w:r>
        <w:rPr>
          <w:rFonts w:ascii="Arial" w:cs="Arial" w:eastAsia="Arial" w:hAnsi="Arial"/>
          <w:sz w:val="24"/>
          <w:szCs w:val="24"/>
        </w:rPr>
        <w:t xml:space="preserve">общедоступная информация на рынке ценных бумаг - информация, подлежащая раскрытию в соответствии с настоящим Положением;</w:t>
      </w:r>
    </w:p>
    <w:p>
      <w:pPr>
        <w:spacing w:after="120"/>
        <w:jc w:val="both"/>
      </w:pPr>
      <w:r>
        <w:rPr>
          <w:rFonts w:ascii="Arial" w:cs="Arial" w:eastAsia="Arial" w:hAnsi="Arial"/>
          <w:sz w:val="24"/>
          <w:szCs w:val="24"/>
        </w:rPr>
        <w:t xml:space="preserve">служебная информация - любая, не являющаяся общедоступной, информация об эмитенте и выпущенных им ценных бумагах, которая ставит лиц, обладающих в силу своего служебного положения, трудовых обязанностей или договора, заключенного с эмитентом такой информацией, в преимущественное положение по сравнению с другими субъектами рынка ценных бумаг;</w:t>
      </w:r>
    </w:p>
    <w:p>
      <w:pPr>
        <w:spacing w:after="120"/>
        <w:jc w:val="both"/>
      </w:pPr>
      <w:r>
        <w:rPr>
          <w:rFonts w:ascii="Arial" w:cs="Arial" w:eastAsia="Arial" w:hAnsi="Arial"/>
          <w:sz w:val="24"/>
          <w:szCs w:val="24"/>
        </w:rPr>
        <w:t xml:space="preserve">фондовая биржа -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120"/>
        <w:jc w:val="both"/>
      </w:pPr>
      <w:r>
        <w:rPr>
          <w:rFonts w:ascii="Arial" w:cs="Arial" w:eastAsia="Arial" w:hAnsi="Arial"/>
          <w:sz w:val="24"/>
          <w:szCs w:val="24"/>
        </w:rPr>
        <w:t xml:space="preserve">эмитент ценных бумаг (далее - эмитент) - юридическое лицо, несущее от своего имени обязательства перед владельцами ценных бумаг по осуществлению прав, закрепленных этими ценными бумагами;</w:t>
      </w:r>
    </w:p>
    <w:p>
      <w:pPr>
        <w:spacing w:after="120"/>
        <w:jc w:val="both"/>
      </w:pPr>
      <w:r>
        <w:rPr>
          <w:rFonts w:ascii="Arial" w:cs="Arial" w:eastAsia="Arial" w:hAnsi="Arial"/>
          <w:sz w:val="24"/>
          <w:szCs w:val="24"/>
        </w:rPr>
        <w:t xml:space="preserve">эмиссия ценных бумаг - это совокупность последовательных действий, необходимых для размещения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Раскрытие информации эмитентом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Эмитент, являющийся публичной компанией, должен осуществлять периодическое раскрытие информации о своей финансово-хозяйственной деятельности и ценных бумагах в форме годового и ежеквартального отчета по ценным бумагам и сообщения о существенных фактах (событиях и действиях), затрагивающих его финансово-хозяйственную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Годовой отчет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Эмитенты ценных бумаг один раз в год составляют годовой отчет по ценным бумагам (далее - годовой отчет).</w:t>
      </w:r>
    </w:p>
    <w:p>
      <w:pPr>
        <w:spacing w:after="120"/>
        <w:jc w:val="both"/>
      </w:pPr>
      <w:r>
        <w:rPr>
          <w:rFonts w:ascii="Arial" w:cs="Arial" w:eastAsia="Arial" w:hAnsi="Arial"/>
          <w:sz w:val="24"/>
          <w:szCs w:val="24"/>
        </w:rPr>
        <w:t xml:space="preserve">14. Годовой отчет составляется исполнительным органом управления эмитента, либо органом, осуществляющим аналогичные функции, не позднее 90 календарных дней после даты окончания отчетного года.</w:t>
      </w:r>
    </w:p>
    <w:p>
      <w:pPr>
        <w:spacing w:after="120"/>
        <w:jc w:val="both"/>
      </w:pPr>
      <w:r>
        <w:rPr>
          <w:rFonts w:ascii="Arial" w:cs="Arial" w:eastAsia="Arial" w:hAnsi="Arial"/>
          <w:sz w:val="24"/>
          <w:szCs w:val="24"/>
        </w:rPr>
        <w:t xml:space="preserve">15. Финансовая информация, включаемая в годовой отчет, должна быть подготовлена на основании финансового отчета эмитента, утвержденного годовым общим собранием уполномоченного органа эмитента. Финансовая отчетность в обязательном порядке должна иметь аудиторское заключение.</w:t>
      </w:r>
    </w:p>
    <w:p>
      <w:pPr>
        <w:spacing w:after="120"/>
        <w:jc w:val="both"/>
      </w:pPr>
      <w:r>
        <w:rPr>
          <w:rFonts w:ascii="Arial" w:cs="Arial" w:eastAsia="Arial" w:hAnsi="Arial"/>
          <w:sz w:val="24"/>
          <w:szCs w:val="24"/>
        </w:rPr>
        <w:t xml:space="preserve">16. Данные, включаемые в годовой отчет, должны быть подготовлены по состоянию на конец отчетного года.</w:t>
      </w:r>
    </w:p>
    <w:p>
      <w:pPr>
        <w:spacing w:after="120"/>
        <w:jc w:val="both"/>
      </w:pPr>
      <w:r>
        <w:rPr>
          <w:rFonts w:ascii="Arial" w:cs="Arial" w:eastAsia="Arial" w:hAnsi="Arial"/>
          <w:sz w:val="24"/>
          <w:szCs w:val="24"/>
        </w:rPr>
        <w:t xml:space="preserve">17. Годовой отчет подписывается руководителем и главным бухгалтером эмитента, сшивается и заверяется печатью эмитента.</w:t>
      </w:r>
    </w:p>
    <w:p>
      <w:pPr>
        <w:spacing w:after="120"/>
        <w:jc w:val="both"/>
      </w:pPr>
      <w:r>
        <w:rPr>
          <w:rFonts w:ascii="Arial" w:cs="Arial" w:eastAsia="Arial" w:hAnsi="Arial"/>
          <w:sz w:val="24"/>
          <w:szCs w:val="24"/>
        </w:rPr>
        <w:t xml:space="preserve">18. Должностные лица, подписавшие годовой отчет, несут ответственность за достоверность информации, содержащейся в отчете.</w:t>
      </w:r>
    </w:p>
    <w:p>
      <w:pPr>
        <w:spacing w:after="120"/>
        <w:jc w:val="both"/>
      </w:pPr>
      <w:r>
        <w:rPr>
          <w:rFonts w:ascii="Arial" w:cs="Arial" w:eastAsia="Arial" w:hAnsi="Arial"/>
          <w:sz w:val="24"/>
          <w:szCs w:val="24"/>
        </w:rPr>
        <w:t xml:space="preserve">19. Годовой отчет составляется в трех экземплярах.</w:t>
      </w:r>
    </w:p>
    <w:p>
      <w:pPr>
        <w:spacing w:after="120"/>
        <w:jc w:val="both"/>
      </w:pPr>
      <w:r>
        <w:rPr>
          <w:rFonts w:ascii="Arial" w:cs="Arial" w:eastAsia="Arial" w:hAnsi="Arial"/>
          <w:sz w:val="24"/>
          <w:szCs w:val="24"/>
        </w:rPr>
        <w:t xml:space="preserve">Один экземпляр годового отчета и информация о его раскрытии вместе с сопроводительным письмом на официальном бланке эмитента представляются в уполномоченный государственный орган по регулированию рынка ценных бумаг не позднее 35 календарных дней после даты утверждения годового отчета уполномоченным органом эмитента. Второй экземпляр годового отчета хранится у эмитента и должен представляться владельцам ценных бумаг эмитента по их требованию. Третий экземпляр отчета направляется фондовой бирже, осуществившей листинг его ценных бумаг, не позднее 30 календарных дней после даты утверждения годового отчета общим собранием владельцев ценных бумаг.</w:t>
      </w:r>
    </w:p>
    <w:p>
      <w:pPr>
        <w:spacing w:after="120"/>
        <w:jc w:val="both"/>
      </w:pPr>
      <w:r>
        <w:rPr>
          <w:rFonts w:ascii="Arial" w:cs="Arial" w:eastAsia="Arial" w:hAnsi="Arial"/>
          <w:sz w:val="24"/>
          <w:szCs w:val="24"/>
        </w:rPr>
        <w:t xml:space="preserve">К годовому отчету подшивается копия протокола годового собрания эмитента и счетной комиссии эмитента.</w:t>
      </w:r>
    </w:p>
    <w:p>
      <w:pPr>
        <w:spacing w:after="120"/>
        <w:jc w:val="both"/>
      </w:pPr>
      <w:r>
        <w:rPr>
          <w:rFonts w:ascii="Arial" w:cs="Arial" w:eastAsia="Arial" w:hAnsi="Arial"/>
          <w:sz w:val="24"/>
          <w:szCs w:val="24"/>
        </w:rPr>
        <w:t xml:space="preserve">20. Годовой отчет по ценным бумагам должен содержать сведения, приведенные в приложении 1 к настоящему Положению.</w:t>
      </w:r>
    </w:p>
    <w:p>
      <w:pPr>
        <w:spacing w:after="120"/>
        <w:jc w:val="both"/>
      </w:pPr>
      <w:r>
        <w:rPr>
          <w:rFonts w:ascii="Arial" w:cs="Arial" w:eastAsia="Arial" w:hAnsi="Arial"/>
          <w:sz w:val="24"/>
          <w:szCs w:val="24"/>
        </w:rPr>
        <w:t xml:space="preserve">В случае отсутствия в годовом отчете информации, требуемой в соответствии с приложением 1 к настоящему Положению, должны быть указаны причины ее отсутствия.</w:t>
      </w:r>
    </w:p>
    <w:p>
      <w:pPr>
        <w:spacing w:after="120"/>
        <w:jc w:val="both"/>
      </w:pPr>
      <w:r>
        <w:rPr>
          <w:rFonts w:ascii="Arial" w:cs="Arial" w:eastAsia="Arial" w:hAnsi="Arial"/>
          <w:sz w:val="24"/>
          <w:szCs w:val="24"/>
        </w:rPr>
        <w:t xml:space="preserve">21. Краткое изложение годового отчета публичной компании, в том числе финансовой отчетности и аудиторского заключения, по форме, установленной </w:t>
      </w:r>
      <w:hyperlink w:history="1" r:id="rIdeslnma-ektart1tzds7f4">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5 к настоящему Положению, подлежит публикации в печатных средствах массовой информации в течение 2 месяцев после проведения годового собрания акционеров, но не позднее 1 июня года, следующего за отчетным.</w:t>
      </w:r>
    </w:p>
    <w:p>
      <w:pPr>
        <w:spacing w:after="240"/>
        <w:jc w:val="both"/>
      </w:pPr>
      <w:r>
        <w:rPr>
          <w:rFonts w:ascii="Arial" w:cs="Arial" w:eastAsia="Arial" w:hAnsi="Arial"/>
          <w:i/>
          <w:iCs/>
          <w:sz w:val="24"/>
          <w:szCs w:val="24"/>
        </w:rPr>
        <w:t xml:space="preserve">(В редакции </w:t>
      </w:r>
      <w:hyperlink w:history="1" r:id="rIdy62a5uugmxmzonlasqg6q">
        <w:r>
          <w:rPr>
            <w:rFonts w:ascii="Arial" w:cs="Arial" w:eastAsia="Arial" w:hAnsi="Arial"/>
            <w:i/>
            <w:iCs/>
            <w:color w:val="1D4ED8"/>
            <w:sz w:val="24"/>
            <w:szCs w:val="24"/>
            <w:u w:val="single"/>
          </w:rPr>
          <w:t xml:space="preserve">постановлени</w:t>
        </w:r>
      </w:hyperlink>
      <w:r>
        <w:rPr>
          <w:rFonts w:ascii="Arial" w:cs="Arial" w:eastAsia="Arial" w:hAnsi="Arial"/>
          <w:i/>
          <w:iCs/>
          <w:sz w:val="24"/>
          <w:szCs w:val="24"/>
        </w:rPr>
        <w:t xml:space="preserve">й Правительства КР от </w:t>
      </w:r>
      <w:hyperlink w:history="1" r:id="rIdg9dtvgbsas2d8tpttuksk">
        <w:r>
          <w:rPr>
            <w:rFonts w:ascii="Arial" w:cs="Arial" w:eastAsia="Arial" w:hAnsi="Arial"/>
            <w:i/>
            <w:iCs/>
            <w:color w:val="1D4ED8"/>
            <w:sz w:val="24"/>
            <w:szCs w:val="24"/>
            <w:u w:val="single"/>
          </w:rPr>
          <w:t xml:space="preserve">29 октября 2012 года № 751</w:t>
        </w:r>
      </w:hyperlink>
      <w:r>
        <w:rPr>
          <w:rFonts w:ascii="Arial" w:cs="Arial" w:eastAsia="Arial" w:hAnsi="Arial"/>
          <w:i/>
          <w:iCs/>
          <w:sz w:val="24"/>
          <w:szCs w:val="24"/>
        </w:rPr>
        <w:t xml:space="preserve">, </w:t>
      </w:r>
      <w:hyperlink w:history="1" r:id="rId_mn97zbolhkkqp2bmekrg">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Сообщения о существенных фактах (событиях и действиях), затрагивающих финансово-хозяйственную деятельность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Эмитент, являющийся публичной компанией, обязан раскрывать информацию о существенных фактах (событиях и действиях), затрагивающих его финансово-хозяйственную деятельность.</w:t>
      </w:r>
    </w:p>
    <w:p>
      <w:pPr>
        <w:spacing w:after="120"/>
        <w:jc w:val="both"/>
      </w:pPr>
      <w:r>
        <w:rPr>
          <w:rFonts w:ascii="Arial" w:cs="Arial" w:eastAsia="Arial" w:hAnsi="Arial"/>
          <w:sz w:val="24"/>
          <w:szCs w:val="24"/>
        </w:rPr>
        <w:t xml:space="preserve">23. Эмитент не позднее 3-х рабочих дней с даты раскрытия информации о существенном факте обязан направить эту информацию и его раскрытии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Эмитент не позднее 5-ти рабочих дней с момента наступления существенного факта обязан представить информацию о существенном факте на фондовую биржу и в рамках данного срока опубликовать информацию о существенном факте в средствах массовой информации, распространяемой тиражом, доступным для большинства владельцев ценных бумаг.</w:t>
      </w:r>
    </w:p>
    <w:p>
      <w:pPr>
        <w:spacing w:after="120"/>
        <w:jc w:val="both"/>
      </w:pPr>
      <w:r>
        <w:rPr>
          <w:rFonts w:ascii="Arial" w:cs="Arial" w:eastAsia="Arial" w:hAnsi="Arial"/>
          <w:sz w:val="24"/>
          <w:szCs w:val="24"/>
        </w:rPr>
        <w:t xml:space="preserve">24. Сообщение о существенном факте должно содержать полное фирменное наименование эмитента, его местонахождение, а также иную информацию, предусмотренную настоящим Положением, для сообщений о соответствующих фактах. В случае отсутствия в сообщении о существенном факте требуемой информации должны быть указаны причины ее отсутствия.</w:t>
      </w:r>
    </w:p>
    <w:p>
      <w:pPr>
        <w:spacing w:after="120"/>
        <w:jc w:val="both"/>
      </w:pPr>
      <w:r>
        <w:rPr>
          <w:rFonts w:ascii="Arial" w:cs="Arial" w:eastAsia="Arial" w:hAnsi="Arial"/>
          <w:sz w:val="24"/>
          <w:szCs w:val="24"/>
        </w:rPr>
        <w:t xml:space="preserve">25. Сообщение о существенном факте сшивается (в случае, если оно представляется на двух и более листах), подписывается руководителем эмитента. На каждый существенный факт составляется отдельное сообщение.</w:t>
      </w:r>
    </w:p>
    <w:p>
      <w:pPr>
        <w:spacing w:after="120"/>
        <w:jc w:val="both"/>
      </w:pPr>
      <w:r>
        <w:rPr>
          <w:rFonts w:ascii="Arial" w:cs="Arial" w:eastAsia="Arial" w:hAnsi="Arial"/>
          <w:sz w:val="24"/>
          <w:szCs w:val="24"/>
        </w:rPr>
        <w:t xml:space="preserve">26. Копия сообщения о существенном факте предоставляется эмитентом владельцам эмиссионных ценных бумаг эмитента и иным заинтересованным лицам по их требованию, в течение 5 дней с даты предъявления требования.</w:t>
      </w:r>
    </w:p>
    <w:p>
      <w:pPr>
        <w:spacing w:after="120"/>
        <w:jc w:val="both"/>
      </w:pPr>
      <w:r>
        <w:rPr>
          <w:rFonts w:ascii="Arial" w:cs="Arial" w:eastAsia="Arial" w:hAnsi="Arial"/>
          <w:sz w:val="24"/>
          <w:szCs w:val="24"/>
        </w:rPr>
        <w:t xml:space="preserve">27. Существенные факты, затрагивающие финансово-хозяйственную деятельность эмитента, подлежащие раскрытию, приведены в приложении 3 к данному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о выпуске ценных бумаг, раскрываемая эмитентом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Ежеквартальный отчет эмитента должен содержать информацию обо всех ценных бумагах, выпущенных в течение отчетного квартала, и представляться в уполномоченный государственный орган в сроки, определенные настоящим Положением.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ckz1jbq-9s2mvqhs_v3r">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Ежеквартальный отчет составляется по итогам каждого квартала и, если иное не предусмотрено приложением 2 к настоящему Положению, по состоянию на дату окончания отчетного квартала.</w:t>
      </w:r>
    </w:p>
    <w:p>
      <w:pPr>
        <w:spacing w:after="120"/>
        <w:jc w:val="both"/>
      </w:pPr>
      <w:r>
        <w:rPr>
          <w:rFonts w:ascii="Arial" w:cs="Arial" w:eastAsia="Arial" w:hAnsi="Arial"/>
          <w:sz w:val="24"/>
          <w:szCs w:val="24"/>
        </w:rPr>
        <w:t xml:space="preserve">В случае отсутствия в ежеквартальном отчете информации, требуемой в соответствии с приложением 2 к настоящему Положению, должны быть указаны причины ее отсутствия.</w:t>
      </w:r>
    </w:p>
    <w:p>
      <w:pPr>
        <w:spacing w:after="120"/>
        <w:jc w:val="both"/>
      </w:pPr>
      <w:r>
        <w:rPr>
          <w:rFonts w:ascii="Arial" w:cs="Arial" w:eastAsia="Arial" w:hAnsi="Arial"/>
          <w:sz w:val="24"/>
          <w:szCs w:val="24"/>
        </w:rPr>
        <w:t xml:space="preserve">30. Ежеквартальный отчет эмитента ценных бумаг утверждается советом директоров, а в случае отсутствия такового - исполнительным органом эмитента.</w:t>
      </w:r>
    </w:p>
    <w:p>
      <w:pPr>
        <w:spacing w:after="120"/>
        <w:jc w:val="both"/>
      </w:pPr>
      <w:r>
        <w:rPr>
          <w:rFonts w:ascii="Arial" w:cs="Arial" w:eastAsia="Arial" w:hAnsi="Arial"/>
          <w:sz w:val="24"/>
          <w:szCs w:val="24"/>
        </w:rPr>
        <w:t xml:space="preserve">Ежеквартальный отчет сшивается и подписывается руководителем эмитента, а также главным бухгалтером, а при его отсутствии - лицом, которому поручено ведение бухгалтерского учета эмитента, и скрепляется печатью эмитента.</w:t>
      </w:r>
    </w:p>
    <w:p>
      <w:pPr>
        <w:spacing w:after="120"/>
        <w:jc w:val="both"/>
      </w:pPr>
      <w:r>
        <w:rPr>
          <w:rFonts w:ascii="Arial" w:cs="Arial" w:eastAsia="Arial" w:hAnsi="Arial"/>
          <w:sz w:val="24"/>
          <w:szCs w:val="24"/>
        </w:rPr>
        <w:t xml:space="preserve">К ежеквартальному отчету подшиваются копии протоколов общих собраний владельцев ценных бумаг/участников эмитента, проведенных в течение отчетного квартала.</w:t>
      </w:r>
    </w:p>
    <w:p>
      <w:pPr>
        <w:spacing w:after="120"/>
        <w:jc w:val="both"/>
      </w:pPr>
      <w:r>
        <w:rPr>
          <w:rFonts w:ascii="Arial" w:cs="Arial" w:eastAsia="Arial" w:hAnsi="Arial"/>
          <w:sz w:val="24"/>
          <w:szCs w:val="24"/>
        </w:rPr>
        <w:t xml:space="preserve">31. Ежеквартальный отчет составляется в трех экземплярах. Один экземпляр ежеквартального отчета представляется в уполномоченный государственный орган вместе с сопроводительным письмом на бланке эмитента не позднее 35-ти календарных дней после даты окончания отчетного квартала. Второй экземпляр ежеквартального отчета представляется фондовой бирже, осуществившей листинг его ценных бумаг не позднее 30 календарных дней после даты окончания отчетного квартала. Третий экземпляр ежеквартального отчета хранится у эмитента и должен представляться владельцам ценных бумаг эмитента и потенциальным инвесторам по их требованию.</w:t>
      </w:r>
    </w:p>
    <w:p>
      <w:pPr>
        <w:spacing w:after="120"/>
        <w:jc w:val="both"/>
      </w:pPr>
      <w:r>
        <w:rPr>
          <w:rFonts w:ascii="Arial" w:cs="Arial" w:eastAsia="Arial" w:hAnsi="Arial"/>
          <w:sz w:val="24"/>
          <w:szCs w:val="24"/>
        </w:rPr>
        <w:t xml:space="preserve">32. Фондовая биржа, осуществившая листинг ценных бумаг эмитента, обязана по первому требованию заинтересованных лиц предоставить на ознакомление имеющиеся в их распоряжении ежеквартальные отчеты эмитента.</w:t>
      </w:r>
    </w:p>
    <w:p>
      <w:pPr>
        <w:spacing w:after="120"/>
        <w:jc w:val="both"/>
      </w:pPr>
      <w:r>
        <w:rPr>
          <w:rFonts w:ascii="Arial" w:cs="Arial" w:eastAsia="Arial" w:hAnsi="Arial"/>
          <w:sz w:val="24"/>
          <w:szCs w:val="24"/>
        </w:rPr>
        <w:t xml:space="preserve">33. Ежеквартальный отчет по ценным бумагам должен содержать сведения, приведенные в приложении 2 к настоящему Положению.</w:t>
      </w:r>
    </w:p>
    <w:p>
      <w:pPr>
        <w:spacing w:after="120"/>
        <w:jc w:val="both"/>
      </w:pPr>
      <w:r>
        <w:rPr>
          <w:rFonts w:ascii="Arial" w:cs="Arial" w:eastAsia="Arial" w:hAnsi="Arial"/>
          <w:sz w:val="24"/>
          <w:szCs w:val="24"/>
        </w:rPr>
        <w:t xml:space="preserve">34. Краткое изложение ежеквартального отчета, в том числе финансовой отчетности, подлежит публикации в средствах массовой информации не позднее 30-ти календарных дней после даты окончания отчетного квартала. Опубликование краткого изложения ежеквартального отчета, составленного по форме, установленной приложением 4, может быть произведено на официальном сайте лицензированного организатора торгов ценными бумагами (фондовой биржи).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Информация, раскрываемая эмитентом при осуществлении эмиссии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Публичная компания при публичном предложении и размещении ценных бумаг не позднее 5 дней с даты регистрации выпуска ценных бумаг в уполномоченном органе по регулированию рынка ценных бумаг и присвоения государственного регистрационного номера выпуску ценных бумаг, обязана опубликовать информацию о регистрации выпуска ценных бумаг и предстоящем размещении ценных бумаг.</w:t>
      </w:r>
    </w:p>
    <w:p>
      <w:pPr>
        <w:spacing w:after="120"/>
        <w:jc w:val="both"/>
      </w:pPr>
      <w:r>
        <w:rPr>
          <w:rFonts w:ascii="Arial" w:cs="Arial" w:eastAsia="Arial" w:hAnsi="Arial"/>
          <w:sz w:val="24"/>
          <w:szCs w:val="24"/>
        </w:rPr>
        <w:t xml:space="preserve">Эмитент ипотечных ценных бумаг публикует информацию об эмиссии ипотечных ценных бумаг в соответствии с требованиями законов Кыргызской Республики "О рынке ценных бумаг" и "Об ипотечных ценных бумагах".</w:t>
      </w:r>
    </w:p>
    <w:p>
      <w:pPr>
        <w:spacing w:after="120"/>
        <w:jc w:val="both"/>
      </w:pPr>
      <w:r>
        <w:rPr>
          <w:rFonts w:ascii="Arial" w:cs="Arial" w:eastAsia="Arial" w:hAnsi="Arial"/>
          <w:sz w:val="24"/>
          <w:szCs w:val="24"/>
        </w:rPr>
        <w:t xml:space="preserve">Управляющий ипотечным покрытием обязан опубликовать правила доверительного управления ипотечным покрытием до начала срока выдачи ипотечных сертификатов участия.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p1we105zyvl994els4ot">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Размещение публично предлагаемых ценных бумаг может начинаться не ранее 5 рабочих дней со дня раскрытия информации о публичном предложении.</w:t>
      </w:r>
    </w:p>
    <w:p>
      <w:pPr>
        <w:spacing w:after="120"/>
        <w:jc w:val="both"/>
      </w:pPr>
      <w:r>
        <w:rPr>
          <w:rFonts w:ascii="Arial" w:cs="Arial" w:eastAsia="Arial" w:hAnsi="Arial"/>
          <w:sz w:val="24"/>
          <w:szCs w:val="24"/>
        </w:rPr>
        <w:t xml:space="preserve">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ценных бумаг и проспектом эмиссии. Публикуемая информация должна содержать:</w:t>
      </w:r>
    </w:p>
    <w:p>
      <w:pPr>
        <w:spacing w:after="120"/>
        <w:jc w:val="both"/>
      </w:pPr>
      <w:r>
        <w:rPr>
          <w:rFonts w:ascii="Arial" w:cs="Arial" w:eastAsia="Arial" w:hAnsi="Arial"/>
          <w:sz w:val="24"/>
          <w:szCs w:val="24"/>
        </w:rPr>
        <w:t xml:space="preserve">- наименование эмитента, его юридический адрес;</w:t>
      </w:r>
    </w:p>
    <w:p>
      <w:pPr>
        <w:spacing w:after="120"/>
        <w:jc w:val="both"/>
      </w:pPr>
      <w:r>
        <w:rPr>
          <w:rFonts w:ascii="Arial" w:cs="Arial" w:eastAsia="Arial" w:hAnsi="Arial"/>
          <w:sz w:val="24"/>
          <w:szCs w:val="24"/>
        </w:rPr>
        <w:t xml:space="preserve">- дату регистрации ценных бумаг;</w:t>
      </w:r>
    </w:p>
    <w:p>
      <w:pPr>
        <w:spacing w:after="120"/>
        <w:jc w:val="both"/>
      </w:pPr>
      <w:r>
        <w:rPr>
          <w:rFonts w:ascii="Arial" w:cs="Arial" w:eastAsia="Arial" w:hAnsi="Arial"/>
          <w:sz w:val="24"/>
          <w:szCs w:val="24"/>
        </w:rPr>
        <w:t xml:space="preserve">- дату начала и окончания размещения выпуска ценных бумаг;</w:t>
      </w:r>
    </w:p>
    <w:p>
      <w:pPr>
        <w:spacing w:after="120"/>
        <w:jc w:val="both"/>
      </w:pPr>
      <w:r>
        <w:rPr>
          <w:rFonts w:ascii="Arial" w:cs="Arial" w:eastAsia="Arial" w:hAnsi="Arial"/>
          <w:sz w:val="24"/>
          <w:szCs w:val="24"/>
        </w:rPr>
        <w:t xml:space="preserve">- количество и цену размещения ценных бумаг;</w:t>
      </w:r>
    </w:p>
    <w:p>
      <w:pPr>
        <w:spacing w:after="120"/>
        <w:jc w:val="both"/>
      </w:pPr>
      <w:r>
        <w:rPr>
          <w:rFonts w:ascii="Arial" w:cs="Arial" w:eastAsia="Arial" w:hAnsi="Arial"/>
          <w:sz w:val="24"/>
          <w:szCs w:val="24"/>
        </w:rPr>
        <w:t xml:space="preserve">- порядок их приобретения;</w:t>
      </w:r>
    </w:p>
    <w:p>
      <w:pPr>
        <w:spacing w:after="120"/>
        <w:jc w:val="both"/>
      </w:pPr>
      <w:r>
        <w:rPr>
          <w:rFonts w:ascii="Arial" w:cs="Arial" w:eastAsia="Arial" w:hAnsi="Arial"/>
          <w:sz w:val="24"/>
          <w:szCs w:val="24"/>
        </w:rPr>
        <w:t xml:space="preserve">- сведения о фиксированных доходах по ценным бумагам, если условиями выпуска ценных бумаг предусмотрены фиксированные доходы (проценты);</w:t>
      </w:r>
    </w:p>
    <w:p>
      <w:pPr>
        <w:spacing w:after="120"/>
        <w:jc w:val="both"/>
      </w:pPr>
      <w:r>
        <w:rPr>
          <w:rFonts w:ascii="Arial" w:cs="Arial" w:eastAsia="Arial" w:hAnsi="Arial"/>
          <w:sz w:val="24"/>
          <w:szCs w:val="24"/>
        </w:rPr>
        <w:t xml:space="preserve">- места, где можно приобрести ценные бумаги;</w:t>
      </w:r>
    </w:p>
    <w:p>
      <w:pPr>
        <w:spacing w:after="120"/>
        <w:jc w:val="both"/>
      </w:pPr>
      <w:r>
        <w:rPr>
          <w:rFonts w:ascii="Arial" w:cs="Arial" w:eastAsia="Arial" w:hAnsi="Arial"/>
          <w:sz w:val="24"/>
          <w:szCs w:val="24"/>
        </w:rPr>
        <w:t xml:space="preserve">- наименование, реквизиты профессионального участника рынка ценных бумаг, участвующего в размещении ценных бумаг эмитента;</w:t>
      </w:r>
    </w:p>
    <w:p>
      <w:pPr>
        <w:spacing w:after="120"/>
        <w:jc w:val="both"/>
      </w:pPr>
      <w:r>
        <w:rPr>
          <w:rFonts w:ascii="Arial" w:cs="Arial" w:eastAsia="Arial" w:hAnsi="Arial"/>
          <w:sz w:val="24"/>
          <w:szCs w:val="24"/>
        </w:rPr>
        <w:t xml:space="preserve">- другую информацию, предусмотренную учредительными документами эмитента в части выпуска ценных бумаг.</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6nwctwojz3igt4stcwd8">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Эмитент обязан предоставить в уполномоченный государственный орган по регулированию рынка ценных бумаг изменения и дополнения в проспект или замещающий проспект с подробной новой информацией для его регистрации в срок не позднее 5 рабочих дней с момента возникновения и выявления изменений и дополнений в случаях:</w:t>
      </w:r>
    </w:p>
    <w:p>
      <w:pPr>
        <w:spacing w:after="120"/>
        <w:jc w:val="both"/>
      </w:pPr>
      <w:r>
        <w:rPr>
          <w:rFonts w:ascii="Arial" w:cs="Arial" w:eastAsia="Arial" w:hAnsi="Arial"/>
          <w:sz w:val="24"/>
          <w:szCs w:val="24"/>
        </w:rPr>
        <w:t xml:space="preserve">- если возникнет изменение данных, содержащихся в проспекте;</w:t>
      </w:r>
    </w:p>
    <w:p>
      <w:pPr>
        <w:spacing w:after="120"/>
        <w:jc w:val="both"/>
      </w:pPr>
      <w:r>
        <w:rPr>
          <w:rFonts w:ascii="Arial" w:cs="Arial" w:eastAsia="Arial" w:hAnsi="Arial"/>
          <w:sz w:val="24"/>
          <w:szCs w:val="24"/>
        </w:rPr>
        <w:t xml:space="preserve">- если появится новая важная информация, которая должна быть раскрыта в проспекте, если бы она имелась до момента представления проспекта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 если проспект содержит сведения, которые оказываются ложными или вводящими в заблуждение, или в проспекте имеются существенные пробелы в раскрытии информации.</w:t>
      </w:r>
    </w:p>
    <w:p>
      <w:pPr>
        <w:spacing w:after="120"/>
        <w:jc w:val="both"/>
      </w:pPr>
      <w:r>
        <w:rPr>
          <w:rFonts w:ascii="Arial" w:cs="Arial" w:eastAsia="Arial" w:hAnsi="Arial"/>
          <w:sz w:val="24"/>
          <w:szCs w:val="24"/>
        </w:rPr>
        <w:t xml:space="preserve">Раскрытие информации эмитентом о внесении изменений в решение о выпуске ценных бумаг и/или проспект эмиссии ценных бумаг в период публичного размещения ценных бумаг в обязательном порядке должно быть произведено путем опубликования в тех же средствах массовой информации, в которых ранее было опубликовано сообщение о выпуске ценных бумаг эмитентом, не позднее 5 дней после регистрации решения о выпуске ценных бумаг и/или проспекта эмиссии. Информация об изменениях должна включать сообщение о регистрации изменений и (или) дополнений, вносимых в решение о выпуске ценных бумаг и (или) проспект эмиссии ценных бумаг, связанных с формой или условиями их размещения.</w:t>
      </w:r>
    </w:p>
    <w:p>
      <w:pPr>
        <w:spacing w:after="120"/>
        <w:jc w:val="both"/>
      </w:pPr>
      <w:r>
        <w:rPr>
          <w:rFonts w:ascii="Arial" w:cs="Arial" w:eastAsia="Arial" w:hAnsi="Arial"/>
          <w:sz w:val="24"/>
          <w:szCs w:val="24"/>
        </w:rPr>
        <w:t xml:space="preserve">Управляющий ипотечным покрытием обязан опубликовать сообщение об одобрении регистрации изменений и дополнений, вносимых в правила доверительного управления ипотечным покрытием.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23eoj1vfimcadydwdof0m">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Не позднее 5 дней после регистрации итогов выпуска ценных бумаг эмитент публично размещаемых ценных бумаг обязан предоставить информацию фондовой бирже, осуществившей листинг ценных бумаг эмитента, и опубликовать информацию об окончании размещения ценных бумаг и регистрации итогов выпуска.</w:t>
      </w:r>
    </w:p>
    <w:p>
      <w:pPr>
        <w:spacing w:after="120"/>
        <w:jc w:val="both"/>
      </w:pPr>
      <w:r>
        <w:rPr>
          <w:rFonts w:ascii="Arial" w:cs="Arial" w:eastAsia="Arial" w:hAnsi="Arial"/>
          <w:sz w:val="24"/>
          <w:szCs w:val="24"/>
        </w:rPr>
        <w:t xml:space="preserve">Данная информация должна содержать следующие сведения:</w:t>
      </w:r>
    </w:p>
    <w:p>
      <w:pPr>
        <w:spacing w:after="120"/>
        <w:jc w:val="both"/>
      </w:pPr>
      <w:r>
        <w:rPr>
          <w:rFonts w:ascii="Arial" w:cs="Arial" w:eastAsia="Arial" w:hAnsi="Arial"/>
          <w:sz w:val="24"/>
          <w:szCs w:val="24"/>
        </w:rPr>
        <w:t xml:space="preserve">- дата окончания размещения и дата регистрации итогов выпуска;</w:t>
      </w:r>
    </w:p>
    <w:p>
      <w:pPr>
        <w:spacing w:after="120"/>
        <w:jc w:val="both"/>
      </w:pPr>
      <w:r>
        <w:rPr>
          <w:rFonts w:ascii="Arial" w:cs="Arial" w:eastAsia="Arial" w:hAnsi="Arial"/>
          <w:sz w:val="24"/>
          <w:szCs w:val="24"/>
        </w:rPr>
        <w:t xml:space="preserve">- количество выпущенных ценных бумаг;</w:t>
      </w:r>
    </w:p>
    <w:p>
      <w:pPr>
        <w:spacing w:after="120"/>
        <w:jc w:val="both"/>
      </w:pPr>
      <w:r>
        <w:rPr>
          <w:rFonts w:ascii="Arial" w:cs="Arial" w:eastAsia="Arial" w:hAnsi="Arial"/>
          <w:sz w:val="24"/>
          <w:szCs w:val="24"/>
        </w:rPr>
        <w:t xml:space="preserve">- количество размещенных ценных бумаг;</w:t>
      </w:r>
    </w:p>
    <w:p>
      <w:pPr>
        <w:spacing w:after="120"/>
        <w:jc w:val="both"/>
      </w:pPr>
      <w:r>
        <w:rPr>
          <w:rFonts w:ascii="Arial" w:cs="Arial" w:eastAsia="Arial" w:hAnsi="Arial"/>
          <w:sz w:val="24"/>
          <w:szCs w:val="24"/>
        </w:rPr>
        <w:t xml:space="preserve">- общая сумма данной эмиссии ценных бумаг, признанной состоявшейся.</w:t>
      </w:r>
    </w:p>
    <w:p>
      <w:pPr>
        <w:spacing w:after="120"/>
        <w:jc w:val="both"/>
      </w:pPr>
      <w:r>
        <w:rPr>
          <w:rFonts w:ascii="Arial" w:cs="Arial" w:eastAsia="Arial" w:hAnsi="Arial"/>
          <w:sz w:val="24"/>
          <w:szCs w:val="24"/>
        </w:rPr>
        <w:t xml:space="preserve">39. При признании выпуска ценных бумаг несостоявшимся, эмитент, не позднее 5 дней с момента получения извещения о принятии такого решения, обязан опубликовать об этом информацию с указанием причин признания выпуска ценных бумаг несостоявшимся, а также сроках, порядке возврата средств инвесторам.</w:t>
      </w:r>
    </w:p>
    <w:p>
      <w:pPr>
        <w:spacing w:after="120"/>
        <w:jc w:val="both"/>
      </w:pPr>
      <w:r>
        <w:rPr>
          <w:rFonts w:ascii="Arial" w:cs="Arial" w:eastAsia="Arial" w:hAnsi="Arial"/>
          <w:sz w:val="24"/>
          <w:szCs w:val="24"/>
        </w:rPr>
        <w:t xml:space="preserve">40. Эмитент, проводивший публичную эмиссию ценных бумаг, в течение 30-ти календарных дней после окончания продажи ценных бумаг представляет отчет об итогах публичного предложения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41. В случае, если число владельцев ценных бумаг эмитента, не являющегося публичной компанией, увеличится до 50 владельцев, то такой эмитент обязан в течение 5 дней уведомить о данном факте уполномоченный государственный орган по регулированию рынка ценных бумаг путем направления письменного извещения, которое должно содержать наименование и юридический адрес эмитента, а также вид ценных бумаг, которыми владеют 50 и более владельцев, и в течение 6 месяцев привести свою деятельность в соответствие с Законом Кыргызской Республики "О рынке ценных бумаг".</w:t>
      </w:r>
    </w:p>
    <w:p>
      <w:pPr>
        <w:spacing w:after="120"/>
        <w:jc w:val="both"/>
      </w:pPr>
      <w:r>
        <w:rPr>
          <w:rFonts w:ascii="Arial" w:cs="Arial" w:eastAsia="Arial" w:hAnsi="Arial"/>
          <w:sz w:val="24"/>
          <w:szCs w:val="24"/>
        </w:rPr>
        <w:t xml:space="preserve">42. В случае, если эмитент принимает решение выйти из статуса публичной компании, то в срок не менее чем за 30 дней до рассмотрения вопроса о выходе из статуса публичной компании уведомить о данном факте фондовую биржу и уполномоченный государственный орган по регулированию ценных бумаг путем направления письменного извещения, которое должно содержать наименование и юридический адрес публичной компании, вид ценных бумаг эмитента и дата рассмотрения вопроса о выходе из статуса публичной компании.</w:t>
      </w:r>
    </w:p>
    <w:p>
      <w:pPr>
        <w:spacing w:after="120"/>
        <w:jc w:val="both"/>
      </w:pPr>
      <w:r>
        <w:rPr>
          <w:rFonts w:ascii="Arial" w:cs="Arial" w:eastAsia="Arial" w:hAnsi="Arial"/>
          <w:sz w:val="24"/>
          <w:szCs w:val="24"/>
        </w:rPr>
        <w:t xml:space="preserve">Эмитент, не позднее 5 рабочих дней со дня рассмотрения вопроса о выходе из статуса публичной компании, обязан опубликовать информацию о результатах рассмотрения вопроса о выходе из статуса публичной компании в средствах массовой информации, а также представить информацию о результатах рассмотрения вопроса о выходе из статуса публичной компании в уполномоченный государственный орган по регулированию рынка ценных бумаг и фондовую биржу.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Раскрытие информации об общих собраниях владельцев ценных бумаг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Эмитент обязан опубликовать извещение о проведении общего собрания владельцев ценных бумаг и персонально известить об этом владельцев ценных бумаг в порядке и сроки, установленные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Извещение в печати и персональное уведомление должно обязательно содержать повестку дня предстоящего общего собрания, а также другие сведения, предусмотренные законодательством Кыргызской Республики, иными нормативными правовыми актами и настоящим Положением.</w:t>
      </w:r>
    </w:p>
    <w:p>
      <w:pPr>
        <w:spacing w:after="120"/>
        <w:jc w:val="both"/>
      </w:pPr>
      <w:r>
        <w:rPr>
          <w:rFonts w:ascii="Arial" w:cs="Arial" w:eastAsia="Arial" w:hAnsi="Arial"/>
          <w:sz w:val="24"/>
          <w:szCs w:val="24"/>
        </w:rPr>
        <w:t xml:space="preserve">В публикуемом извещении об общем собрании акционеров также должна содержаться информация о дате, на которую составляется список владельцев ценных бумаг, имеющих право участвовать в общем собрании акционеров (дата закрытия реестра).</w:t>
      </w:r>
    </w:p>
    <w:p>
      <w:pPr>
        <w:spacing w:after="120"/>
        <w:jc w:val="both"/>
      </w:pPr>
      <w:r>
        <w:rPr>
          <w:rFonts w:ascii="Arial" w:cs="Arial" w:eastAsia="Arial" w:hAnsi="Arial"/>
          <w:sz w:val="24"/>
          <w:szCs w:val="24"/>
        </w:rPr>
        <w:t xml:space="preserve">Сообщение управляющего ипотечным покрытием о созыве общего собрания владельцев ипотечных сертификатов участия должно быть опубликовано в периодическом печатном издании, указанном в правилах доверительного управления ипотечным покрытием.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n-eemtwkhiypphqp04k-">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Исполнительный орган эмитента обязан к моменту опубликования извещения о проведении общего собрания владельцев ценных бумаг подготовить материалы к общему собранию и обеспечить доступность этих материалов владельцам ценных бумаг или их представителям. Сведения о местах, где они могут ознакомиться с материалами общего собрания должны содержаться в извещении и в уведомлении владельцев ценных бумаг.</w:t>
      </w:r>
    </w:p>
    <w:p>
      <w:pPr>
        <w:spacing w:after="120"/>
        <w:jc w:val="both"/>
      </w:pPr>
      <w:r>
        <w:rPr>
          <w:rFonts w:ascii="Arial" w:cs="Arial" w:eastAsia="Arial" w:hAnsi="Arial"/>
          <w:sz w:val="24"/>
          <w:szCs w:val="24"/>
        </w:rPr>
        <w:t xml:space="preserve">К общему собранию должны быть подготовлены все требуемые в соответствии с законодательством и иными нормативными правовыми актами материалы.</w:t>
      </w:r>
    </w:p>
    <w:p>
      <w:pPr>
        <w:spacing w:after="120"/>
        <w:jc w:val="both"/>
      </w:pPr>
      <w:r>
        <w:rPr>
          <w:rFonts w:ascii="Arial" w:cs="Arial" w:eastAsia="Arial" w:hAnsi="Arial"/>
          <w:sz w:val="24"/>
          <w:szCs w:val="24"/>
        </w:rPr>
        <w:t xml:space="preserve">Материалы общего собрания должны быть доступны владельцам ценных бумаг с даты извещения о проведении общего собрания.</w:t>
      </w:r>
    </w:p>
    <w:p>
      <w:pPr>
        <w:spacing w:after="120"/>
        <w:jc w:val="both"/>
      </w:pPr>
      <w:r>
        <w:rPr>
          <w:rFonts w:ascii="Arial" w:cs="Arial" w:eastAsia="Arial" w:hAnsi="Arial"/>
          <w:sz w:val="24"/>
          <w:szCs w:val="24"/>
        </w:rPr>
        <w:t xml:space="preserve">45. При проведении общего собрания акционеров без созыва владельцев ценных бумаг, путем письменного опроса, общество обязано доводить до владельцев ценных бумаг помимо сведений, предусмотренных пунктом 43 настоящего Положения, информацию о дате предоставления бюллетеней для голосования, дате окончания приема обществом бюллетеней для голосования, о членах счетной комиссии.</w:t>
      </w:r>
    </w:p>
    <w:p>
      <w:pPr>
        <w:spacing w:after="120"/>
        <w:jc w:val="both"/>
      </w:pPr>
      <w:r>
        <w:rPr>
          <w:rFonts w:ascii="Arial" w:cs="Arial" w:eastAsia="Arial" w:hAnsi="Arial"/>
          <w:sz w:val="24"/>
          <w:szCs w:val="24"/>
        </w:rPr>
        <w:t xml:space="preserve">46. Не позднее 5 рабочих дней со дня проведения общего собрания владельцев ценных бумаг публичная компания обязана опубликовать решения общего собрания владельцев ценных бумаг в печатных средствах массовой информации, а также предоставить протоколы общего собрания и счетной комиссии в уполномоченный государственный орган.</w:t>
      </w:r>
    </w:p>
    <w:p>
      <w:pPr>
        <w:spacing w:after="120"/>
        <w:jc w:val="both"/>
      </w:pPr>
      <w:r>
        <w:rPr>
          <w:rFonts w:ascii="Arial" w:cs="Arial" w:eastAsia="Arial" w:hAnsi="Arial"/>
          <w:sz w:val="24"/>
          <w:szCs w:val="24"/>
        </w:rPr>
        <w:t xml:space="preserve">В публикации должны быть указаны:</w:t>
      </w:r>
    </w:p>
    <w:p>
      <w:pPr>
        <w:spacing w:after="120"/>
        <w:jc w:val="both"/>
      </w:pPr>
      <w:r>
        <w:rPr>
          <w:rFonts w:ascii="Arial" w:cs="Arial" w:eastAsia="Arial" w:hAnsi="Arial"/>
          <w:sz w:val="24"/>
          <w:szCs w:val="24"/>
        </w:rPr>
        <w:t xml:space="preserve">- вид общего собрания (годовое, внеочередное);</w:t>
      </w:r>
    </w:p>
    <w:p>
      <w:pPr>
        <w:spacing w:after="120"/>
        <w:jc w:val="both"/>
      </w:pPr>
      <w:r>
        <w:rPr>
          <w:rFonts w:ascii="Arial" w:cs="Arial" w:eastAsia="Arial" w:hAnsi="Arial"/>
          <w:sz w:val="24"/>
          <w:szCs w:val="24"/>
        </w:rPr>
        <w:t xml:space="preserve">- форма проведения общего собрания;</w:t>
      </w:r>
    </w:p>
    <w:p>
      <w:pPr>
        <w:spacing w:after="120"/>
        <w:jc w:val="both"/>
      </w:pPr>
      <w:r>
        <w:rPr>
          <w:rFonts w:ascii="Arial" w:cs="Arial" w:eastAsia="Arial" w:hAnsi="Arial"/>
          <w:sz w:val="24"/>
          <w:szCs w:val="24"/>
        </w:rPr>
        <w:t xml:space="preserve">- дата проведения общего собрания;</w:t>
      </w:r>
    </w:p>
    <w:p>
      <w:pPr>
        <w:spacing w:after="120"/>
        <w:jc w:val="both"/>
      </w:pPr>
      <w:r>
        <w:rPr>
          <w:rFonts w:ascii="Arial" w:cs="Arial" w:eastAsia="Arial" w:hAnsi="Arial"/>
          <w:sz w:val="24"/>
          <w:szCs w:val="24"/>
        </w:rPr>
        <w:t xml:space="preserve">- место проведения общего собрания;</w:t>
      </w:r>
    </w:p>
    <w:p>
      <w:pPr>
        <w:spacing w:after="120"/>
        <w:jc w:val="both"/>
      </w:pPr>
      <w:r>
        <w:rPr>
          <w:rFonts w:ascii="Arial" w:cs="Arial" w:eastAsia="Arial" w:hAnsi="Arial"/>
          <w:sz w:val="24"/>
          <w:szCs w:val="24"/>
        </w:rPr>
        <w:t xml:space="preserve">- кворум общего собрания;</w:t>
      </w:r>
    </w:p>
    <w:p>
      <w:pPr>
        <w:spacing w:after="120"/>
        <w:jc w:val="both"/>
      </w:pPr>
      <w:r>
        <w:rPr>
          <w:rFonts w:ascii="Arial" w:cs="Arial" w:eastAsia="Arial" w:hAnsi="Arial"/>
          <w:sz w:val="24"/>
          <w:szCs w:val="24"/>
        </w:rPr>
        <w:t xml:space="preserve">- вопросы, поставленные на голосование, и итоги голосования по ним;</w:t>
      </w:r>
    </w:p>
    <w:p>
      <w:pPr>
        <w:spacing w:after="120"/>
        <w:jc w:val="both"/>
      </w:pPr>
      <w:r>
        <w:rPr>
          <w:rFonts w:ascii="Arial" w:cs="Arial" w:eastAsia="Arial" w:hAnsi="Arial"/>
          <w:sz w:val="24"/>
          <w:szCs w:val="24"/>
        </w:rPr>
        <w:t xml:space="preserve">- полные формулировки решений, принятых общим собранием.</w:t>
      </w:r>
    </w:p>
    <w:p>
      <w:pPr>
        <w:spacing w:after="120"/>
        <w:jc w:val="both"/>
      </w:pPr>
      <w:r>
        <w:rPr>
          <w:rFonts w:ascii="Arial" w:cs="Arial" w:eastAsia="Arial" w:hAnsi="Arial"/>
          <w:sz w:val="24"/>
          <w:szCs w:val="24"/>
        </w:rPr>
        <w:t xml:space="preserve">В случае, если общим собранием владельцев ценных бумаг принято решение о внесении изменений и (или) дополнений в устав, сообщение должно содержать формулировки вносимых изменений и (или) дополнений с указанием положений устава, которые изменяются и (или) дополняются, либо места, где владельцы ценных бумаг могут ознакомиться с изменениями и (или) дополнениями в устав.</w:t>
      </w:r>
    </w:p>
    <w:p>
      <w:pPr>
        <w:spacing w:after="120"/>
        <w:jc w:val="both"/>
      </w:pPr>
      <w:r>
        <w:rPr>
          <w:rFonts w:ascii="Arial" w:cs="Arial" w:eastAsia="Arial" w:hAnsi="Arial"/>
          <w:sz w:val="24"/>
          <w:szCs w:val="24"/>
        </w:rPr>
        <w:t xml:space="preserve">47. Протоколы общего собрания акционеров и счетной комиссии должны предоставляться владельцам ценных бумаг для ознакомления по их требованию.</w:t>
      </w:r>
    </w:p>
    <w:p>
      <w:pPr>
        <w:spacing w:after="120"/>
        <w:jc w:val="both"/>
      </w:pPr>
      <w:r>
        <w:rPr>
          <w:rFonts w:ascii="Arial" w:cs="Arial" w:eastAsia="Arial" w:hAnsi="Arial"/>
          <w:sz w:val="24"/>
          <w:szCs w:val="24"/>
        </w:rPr>
        <w:t xml:space="preserve">48. Непубличные компании вправе не публиковать указанные в пункте 46 настоящего Положения сведения, при условии доведения их до сведения всех владельцев ценных бумаг в письменном виде.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qmnpkwypzyb_tluwzg4y">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Публичная компания должна публиковать годовую финансовую отчетность в печатных средствах массовой информации в течение 2 месяцев после проведения годового собрания владельцев ценных бумаг, но не позднее 1 июня года, следующего за отчетным.</w:t>
      </w:r>
    </w:p>
    <w:p>
      <w:pPr>
        <w:spacing w:after="120"/>
        <w:jc w:val="both"/>
      </w:pPr>
      <w:r>
        <w:rPr>
          <w:rFonts w:ascii="Arial" w:cs="Arial" w:eastAsia="Arial" w:hAnsi="Arial"/>
          <w:sz w:val="24"/>
          <w:szCs w:val="24"/>
        </w:rPr>
        <w:t xml:space="preserve">По решению эмитента может быть опубликована в печатных средствах массовой информации обобщенная финансовая отчетность, состоящая из баланса на 31 декабря отчетного года, отчета о прибылях и убытках и аудиторского заключения по обобщенной финансовой отчетности, составленного в соответствии с требованиями нормативных правовых актов, регулирующих аудиторскую деятельность.</w:t>
      </w:r>
    </w:p>
    <w:p>
      <w:pPr>
        <w:spacing w:after="120"/>
        <w:jc w:val="both"/>
      </w:pPr>
      <w:r>
        <w:rPr>
          <w:rFonts w:ascii="Arial" w:cs="Arial" w:eastAsia="Arial" w:hAnsi="Arial"/>
          <w:sz w:val="24"/>
          <w:szCs w:val="24"/>
        </w:rPr>
        <w:t xml:space="preserve">(В редакции постановления Правительства КР от 29 октября 2012 года N 751)</w:t>
      </w:r>
    </w:p>
    <w:p>
      <w:pPr>
        <w:spacing w:after="120"/>
        <w:jc w:val="both"/>
      </w:pPr>
      <w:r>
        <w:rPr>
          <w:rFonts w:ascii="Arial" w:cs="Arial" w:eastAsia="Arial" w:hAnsi="Arial"/>
          <w:sz w:val="24"/>
          <w:szCs w:val="24"/>
        </w:rPr>
        <w:t xml:space="preserve">50. Публичные компании публикуют годовую финансовую отчетность после подтверждения независимыми индивидуальными аудиторами и (или) аудиторскими организациями достоверность представленных в ней сведений и утверждения уполномоченным органом эмитента годового баланса и отчета о прибылях и убытках. Аудиторское заключение включается в состав публикуемой финансовой отчетности.</w:t>
      </w:r>
    </w:p>
    <w:p>
      <w:pPr>
        <w:spacing w:after="120"/>
        <w:ind w:firstLine="397"/>
        <w:jc w:val="both"/>
      </w:pPr>
      <w:r>
        <w:rPr>
          <w:rFonts w:ascii="Arial" w:cs="Arial" w:eastAsia="Arial" w:hAnsi="Arial"/>
          <w:sz w:val="24"/>
          <w:szCs w:val="24"/>
        </w:rPr>
        <w:t xml:space="preserve">50-1. Управляющий ипотечным покрытием должен опубликовать:</w:t>
      </w:r>
    </w:p>
    <w:p>
      <w:pPr>
        <w:spacing w:after="120"/>
        <w:jc w:val="both"/>
      </w:pPr>
      <w:r>
        <w:rPr>
          <w:rFonts w:ascii="Arial" w:cs="Arial" w:eastAsia="Arial" w:hAnsi="Arial"/>
          <w:sz w:val="24"/>
          <w:szCs w:val="24"/>
        </w:rPr>
        <w:t xml:space="preserve">- баланс имущества, составляющего ипотечное покрытие, бухгалтерский баланс и отчет о прибылях и убытках управляющего ипотечным покрытием;</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сведения о вознаграждении управляющего ипотечным покрытием и расходах, подлежащих возмещению за счет имущества, составляющего ипотечное покрытие;</w:t>
      </w:r>
    </w:p>
    <w:p>
      <w:pPr>
        <w:spacing w:after="120"/>
        <w:jc w:val="both"/>
      </w:pPr>
      <w:r>
        <w:rPr>
          <w:rFonts w:ascii="Arial" w:cs="Arial" w:eastAsia="Arial" w:hAnsi="Arial"/>
          <w:sz w:val="24"/>
          <w:szCs w:val="24"/>
        </w:rPr>
        <w:t xml:space="preserve">- информацию о принятии решения о передаче прав и обязанностей по договору доверительного управления ипотечным покрытием другому лицу, которое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w:t>
      </w:r>
      <w:r>
        <w:rPr>
          <w:rFonts w:ascii="Arial" w:cs="Arial" w:eastAsia="Arial" w:hAnsi="Arial"/>
          <w:sz w:val="24"/>
          <w:szCs w:val="24"/>
        </w:rPr>
        <w:t xml:space="preserve">Республики "Об ипотечных ценных бумагах" имеет право выдавать ипотечные сертификаты участия;</w:t>
      </w:r>
    </w:p>
    <w:p>
      <w:pPr>
        <w:spacing w:after="120"/>
        <w:jc w:val="both"/>
      </w:pPr>
      <w:r>
        <w:rPr>
          <w:rFonts w:ascii="Arial" w:cs="Arial" w:eastAsia="Arial" w:hAnsi="Arial"/>
          <w:sz w:val="24"/>
          <w:szCs w:val="24"/>
        </w:rPr>
        <w:t xml:space="preserve">- иные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adtwndum2ltqc63uwuir">
        <w:r>
          <w:rPr>
            <w:rFonts w:ascii="Arial" w:cs="Arial" w:eastAsia="Arial" w:hAnsi="Arial"/>
            <w:color w:val="1D4ED8"/>
            <w:sz w:val="24"/>
            <w:szCs w:val="24"/>
            <w:u w:val="single"/>
          </w:rPr>
          <w:t xml:space="preserve">15 марта 2017 года №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Раскрытие информации о выкупе эмитентом собственных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случае, если эмитент выкупает собственные акции в целях их аннулирования и уменьшения уставного капитала по решению уполномоченного органа, эмитент не позднее, чем за 30 дней до начала срока, в течение которого осуществляется приобретение ценных бумаг обязано уведомить владельцев ценных бумаг, решение о приобретении которых принято. Уведомление должно содержать следующие сведения:</w:t>
      </w:r>
    </w:p>
    <w:p>
      <w:pPr>
        <w:spacing w:after="120"/>
        <w:jc w:val="both"/>
      </w:pPr>
      <w:r>
        <w:rPr>
          <w:rFonts w:ascii="Arial" w:cs="Arial" w:eastAsia="Arial" w:hAnsi="Arial"/>
          <w:sz w:val="24"/>
          <w:szCs w:val="24"/>
        </w:rPr>
        <w:t xml:space="preserve">- дата принятия решения о выкупе;</w:t>
      </w:r>
    </w:p>
    <w:p>
      <w:pPr>
        <w:spacing w:after="120"/>
        <w:jc w:val="both"/>
      </w:pPr>
      <w:r>
        <w:rPr>
          <w:rFonts w:ascii="Arial" w:cs="Arial" w:eastAsia="Arial" w:hAnsi="Arial"/>
          <w:sz w:val="24"/>
          <w:szCs w:val="24"/>
        </w:rPr>
        <w:t xml:space="preserve">- количество приобретаемых обществом ценных бумаг каждой категории;</w:t>
      </w:r>
    </w:p>
    <w:p>
      <w:pPr>
        <w:spacing w:after="120"/>
        <w:jc w:val="both"/>
      </w:pPr>
      <w:r>
        <w:rPr>
          <w:rFonts w:ascii="Arial" w:cs="Arial" w:eastAsia="Arial" w:hAnsi="Arial"/>
          <w:sz w:val="24"/>
          <w:szCs w:val="24"/>
        </w:rPr>
        <w:t xml:space="preserve">- цена приобретения;</w:t>
      </w:r>
    </w:p>
    <w:p>
      <w:pPr>
        <w:spacing w:after="120"/>
        <w:jc w:val="both"/>
      </w:pPr>
      <w:r>
        <w:rPr>
          <w:rFonts w:ascii="Arial" w:cs="Arial" w:eastAsia="Arial" w:hAnsi="Arial"/>
          <w:sz w:val="24"/>
          <w:szCs w:val="24"/>
        </w:rPr>
        <w:t xml:space="preserve">- форма и срок оплаты;</w:t>
      </w:r>
    </w:p>
    <w:p>
      <w:pPr>
        <w:spacing w:after="120"/>
        <w:jc w:val="both"/>
      </w:pPr>
      <w:r>
        <w:rPr>
          <w:rFonts w:ascii="Arial" w:cs="Arial" w:eastAsia="Arial" w:hAnsi="Arial"/>
          <w:sz w:val="24"/>
          <w:szCs w:val="24"/>
        </w:rPr>
        <w:t xml:space="preserve">- срок, в течение которого осуществляется приобретение ценных бумаг.</w:t>
      </w:r>
    </w:p>
    <w:p>
      <w:pPr>
        <w:spacing w:after="120"/>
        <w:jc w:val="both"/>
      </w:pPr>
      <w:r>
        <w:rPr>
          <w:rFonts w:ascii="Arial" w:cs="Arial" w:eastAsia="Arial" w:hAnsi="Arial"/>
          <w:sz w:val="24"/>
          <w:szCs w:val="24"/>
        </w:rPr>
        <w:t xml:space="preserve">52. Если условиями выпуска ценных бумаг предусмотрен выкуп эмитентом собственных ценных бумаг до окончания срока их обращения, то эмитент обязан не позднее 30 дней до начала даты выкупа опубликовать в печатных средствах массовой информации, распространяемых тиражом, доступным для большинства владельцев ценных бумаг эмитента, информацию о начале выкупа ценных бумаг.</w:t>
      </w:r>
    </w:p>
    <w:p>
      <w:pPr>
        <w:spacing w:after="120"/>
        <w:jc w:val="both"/>
      </w:pPr>
      <w:r>
        <w:rPr>
          <w:rFonts w:ascii="Arial" w:cs="Arial" w:eastAsia="Arial" w:hAnsi="Arial"/>
          <w:sz w:val="24"/>
          <w:szCs w:val="24"/>
        </w:rPr>
        <w:t xml:space="preserve">52-1. Эмитент ипотечных ценных бумаг в срок не позднее 5 рабочих дней со дня наступления события либо совершения действий, повлекших за собой возникновение у их владельцев права требовать их досрочного погашения, обязан уведомить владельцев таких ипотечных ценных бумаг о наличии у них права требовать досрочного погашения принадлежащих им ипотечных ценных бумаг, а также о цене и порядке осуществления такого погашения.</w:t>
      </w:r>
    </w:p>
    <w:p>
      <w:pPr>
        <w:spacing w:after="120"/>
        <w:jc w:val="both"/>
      </w:pPr>
      <w:r>
        <w:rPr>
          <w:rFonts w:ascii="Arial" w:cs="Arial" w:eastAsia="Arial" w:hAnsi="Arial"/>
          <w:sz w:val="24"/>
          <w:szCs w:val="24"/>
        </w:rPr>
        <w:t xml:space="preserve">Указанное уведомление производится эмитентом ипотечных ценных бумаг путем направления их владельцам заказного письма по адресу, указанному в реестре владельцев ипотечных ценных бумаг, либо путем опубликования информационного сообщения в печатных средствах массовой информации республиканского уровня, указанных в проспекте эмиссии этих ипотечных ценных бумаг.</w:t>
      </w:r>
    </w:p>
    <w:p>
      <w:pPr>
        <w:spacing w:after="120"/>
        <w:jc w:val="both"/>
      </w:pPr>
      <w:r>
        <w:rPr>
          <w:rFonts w:ascii="Arial" w:cs="Arial" w:eastAsia="Arial" w:hAnsi="Arial"/>
          <w:sz w:val="24"/>
          <w:szCs w:val="24"/>
        </w:rPr>
        <w:t xml:space="preserve">Срок предъявления ипотечных ценных бумаг их владельцами к выкупу эмитентом ипотечных ценных бумаг не может превышать 30 календарных дней с даты направления им уведомления либо публикации в печатном средстве массовой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aqgmspg8hfpkvx9tzcna">
        <w:r>
          <w:rPr>
            <w:rFonts w:ascii="Arial" w:cs="Arial" w:eastAsia="Arial" w:hAnsi="Arial"/>
            <w:color w:val="1D4ED8"/>
            <w:sz w:val="24"/>
            <w:szCs w:val="24"/>
            <w:u w:val="single"/>
          </w:rPr>
          <w:t xml:space="preserve">15 марта 2017 года №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Раскрытие информации о совершении заинтересованных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Лицами, заинтересованными в совершении обществом сделки, признаются должностные лица эмитента, владелец (владельцы) ценных бумаг, владеющий совместно, со своим аффилированным лицом (лицами) 20 или более процентами голосующих акций общества, если они и (или) их близкие родственники и (или) их аффилированные лица:</w:t>
      </w:r>
    </w:p>
    <w:p>
      <w:pPr>
        <w:spacing w:after="120"/>
        <w:jc w:val="both"/>
      </w:pPr>
      <w:r>
        <w:rPr>
          <w:rFonts w:ascii="Arial" w:cs="Arial" w:eastAsia="Arial" w:hAnsi="Arial"/>
          <w:sz w:val="24"/>
          <w:szCs w:val="24"/>
        </w:rPr>
        <w:t xml:space="preserve">- являются стороной такой сделки или участвуют в ней в качестве представителя или посредника;</w:t>
      </w:r>
    </w:p>
    <w:p>
      <w:pPr>
        <w:spacing w:after="120"/>
        <w:jc w:val="both"/>
      </w:pPr>
      <w:r>
        <w:rPr>
          <w:rFonts w:ascii="Arial" w:cs="Arial" w:eastAsia="Arial" w:hAnsi="Arial"/>
          <w:sz w:val="24"/>
          <w:szCs w:val="24"/>
        </w:rPr>
        <w:t xml:space="preserve">- владеют 20 или более процентами голосующих акций (долей, паев) юридического лица, являющегося стороной сделки или участвующего в ней в качестве представителя или посредника;</w:t>
      </w:r>
    </w:p>
    <w:p>
      <w:pPr>
        <w:spacing w:after="120"/>
        <w:jc w:val="both"/>
      </w:pPr>
      <w:r>
        <w:rPr>
          <w:rFonts w:ascii="Arial" w:cs="Arial" w:eastAsia="Arial" w:hAnsi="Arial"/>
          <w:sz w:val="24"/>
          <w:szCs w:val="24"/>
        </w:rPr>
        <w:t xml:space="preserve">- являются должностными лицами юридического лица, являющегося стороной сделки или участвующего в ней в качестве представителя или посредника.</w:t>
      </w:r>
    </w:p>
    <w:p>
      <w:pPr>
        <w:spacing w:after="120"/>
        <w:jc w:val="both"/>
      </w:pPr>
      <w:r>
        <w:rPr>
          <w:rFonts w:ascii="Arial" w:cs="Arial" w:eastAsia="Arial" w:hAnsi="Arial"/>
          <w:sz w:val="24"/>
          <w:szCs w:val="24"/>
        </w:rPr>
        <w:t xml:space="preserve">54. Лица, указанные в пункте 53 настоящего Положения, обязаны довести до сведения совета директоров общества, исполнительного органа, ревизионной комиссии (ревизора) общества и аудитора общества информацию:</w:t>
      </w:r>
    </w:p>
    <w:p>
      <w:pPr>
        <w:spacing w:after="120"/>
        <w:jc w:val="both"/>
      </w:pPr>
      <w:r>
        <w:rPr>
          <w:rFonts w:ascii="Arial" w:cs="Arial" w:eastAsia="Arial" w:hAnsi="Arial"/>
          <w:sz w:val="24"/>
          <w:szCs w:val="24"/>
        </w:rPr>
        <w:t xml:space="preserve">-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w:t>
      </w:r>
    </w:p>
    <w:p>
      <w:pPr>
        <w:spacing w:after="120"/>
        <w:jc w:val="both"/>
      </w:pPr>
      <w:r>
        <w:rPr>
          <w:rFonts w:ascii="Arial" w:cs="Arial" w:eastAsia="Arial" w:hAnsi="Arial"/>
          <w:sz w:val="24"/>
          <w:szCs w:val="24"/>
        </w:rPr>
        <w:t xml:space="preserve">- о юридических лицах, в органах управления которых, они занимают должности;</w:t>
      </w:r>
    </w:p>
    <w:p>
      <w:pPr>
        <w:spacing w:after="120"/>
        <w:jc w:val="both"/>
      </w:pPr>
      <w:r>
        <w:rPr>
          <w:rFonts w:ascii="Arial" w:cs="Arial" w:eastAsia="Arial" w:hAnsi="Arial"/>
          <w:sz w:val="24"/>
          <w:szCs w:val="24"/>
        </w:rPr>
        <w:t xml:space="preserve">- о предполагаемых сделках с обществом, в которых они могут быть, признаны заинтересованными лицами.</w:t>
      </w:r>
    </w:p>
    <w:p>
      <w:pPr>
        <w:spacing w:after="120"/>
        <w:jc w:val="both"/>
      </w:pPr>
      <w:r>
        <w:rPr>
          <w:rFonts w:ascii="Arial" w:cs="Arial" w:eastAsia="Arial" w:hAnsi="Arial"/>
          <w:sz w:val="24"/>
          <w:szCs w:val="24"/>
        </w:rPr>
        <w:t xml:space="preserve">55. В течение 5 дней со дня совершения сделки, в которой имеется заинтересованность членов исполнительного органа общества, совета директоров и других заинтересованных лиц, эмитент обязан уведомить об этом уполномоченный государственный орган и опубликовать информацию в печатных средствах массовой информации, распространяемых тиражом, доступным для большинства владельцев ценных бумаг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Раскрытие информации о выплате доходов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Не позднее 5 дней после принятия уполномоченным органом эмитента решения о выплате дивидендов эмитент обязан опубликовать в печатных средствах массовой информации, распространяемых тиражом, доступным для большинства владельцев ценных бумаг эмитента, следующее сообщение:</w:t>
      </w:r>
    </w:p>
    <w:p>
      <w:pPr>
        <w:spacing w:after="120"/>
        <w:jc w:val="both"/>
      </w:pPr>
      <w:r>
        <w:rPr>
          <w:rFonts w:ascii="Arial" w:cs="Arial" w:eastAsia="Arial" w:hAnsi="Arial"/>
          <w:sz w:val="24"/>
          <w:szCs w:val="24"/>
        </w:rPr>
        <w:t xml:space="preserve">- наименование эмитента;</w:t>
      </w:r>
    </w:p>
    <w:p>
      <w:pPr>
        <w:spacing w:after="120"/>
        <w:jc w:val="both"/>
      </w:pPr>
      <w:r>
        <w:rPr>
          <w:rFonts w:ascii="Arial" w:cs="Arial" w:eastAsia="Arial" w:hAnsi="Arial"/>
          <w:sz w:val="24"/>
          <w:szCs w:val="24"/>
        </w:rPr>
        <w:t xml:space="preserve">- размер дивиденда на одну ценную бумагу (отдельно для простой и привилегированной);</w:t>
      </w:r>
    </w:p>
    <w:p>
      <w:pPr>
        <w:spacing w:after="120"/>
        <w:jc w:val="both"/>
      </w:pPr>
      <w:r>
        <w:rPr>
          <w:rFonts w:ascii="Arial" w:cs="Arial" w:eastAsia="Arial" w:hAnsi="Arial"/>
          <w:sz w:val="24"/>
          <w:szCs w:val="24"/>
        </w:rPr>
        <w:t xml:space="preserve">- день списка владельцев ценных бумаг, т.е. дату проведения дивидендной переписи, по состоянию на которую определяется список, имеющих право на получение дивиденда;</w:t>
      </w:r>
    </w:p>
    <w:p>
      <w:pPr>
        <w:spacing w:after="120"/>
        <w:jc w:val="both"/>
      </w:pPr>
      <w:r>
        <w:rPr>
          <w:rFonts w:ascii="Arial" w:cs="Arial" w:eastAsia="Arial" w:hAnsi="Arial"/>
          <w:sz w:val="24"/>
          <w:szCs w:val="24"/>
        </w:rPr>
        <w:t xml:space="preserve">- день выплаты дивидендов, т.е. дату, начиная с которой эмитент начинает выплату дивидендов;</w:t>
      </w:r>
    </w:p>
    <w:p>
      <w:pPr>
        <w:spacing w:after="120"/>
        <w:jc w:val="both"/>
      </w:pPr>
      <w:r>
        <w:rPr>
          <w:rFonts w:ascii="Arial" w:cs="Arial" w:eastAsia="Arial" w:hAnsi="Arial"/>
          <w:sz w:val="24"/>
          <w:szCs w:val="24"/>
        </w:rPr>
        <w:t xml:space="preserve">- форма выплаты дивидендов, установленная уполномоченным органом эмитента (денежные средства, ценные бумаги, товары и т.д.);</w:t>
      </w:r>
    </w:p>
    <w:p>
      <w:pPr>
        <w:spacing w:after="120"/>
        <w:jc w:val="both"/>
      </w:pPr>
      <w:r>
        <w:rPr>
          <w:rFonts w:ascii="Arial" w:cs="Arial" w:eastAsia="Arial" w:hAnsi="Arial"/>
          <w:sz w:val="24"/>
          <w:szCs w:val="24"/>
        </w:rPr>
        <w:t xml:space="preserve">- сведения о фиксированных доходах по ценным бумагам, если условиями выпуска ценных бумаг предусмотрены фиксированные доходы (проценты);</w:t>
      </w:r>
    </w:p>
    <w:p>
      <w:pPr>
        <w:spacing w:after="120"/>
        <w:jc w:val="both"/>
      </w:pPr>
      <w:r>
        <w:rPr>
          <w:rFonts w:ascii="Arial" w:cs="Arial" w:eastAsia="Arial" w:hAnsi="Arial"/>
          <w:sz w:val="24"/>
          <w:szCs w:val="24"/>
        </w:rPr>
        <w:t xml:space="preserve">- места, где будут выплачиваться дивиденды;</w:t>
      </w:r>
    </w:p>
    <w:p>
      <w:pPr>
        <w:spacing w:after="120"/>
        <w:jc w:val="both"/>
      </w:pPr>
      <w:r>
        <w:rPr>
          <w:rFonts w:ascii="Arial" w:cs="Arial" w:eastAsia="Arial" w:hAnsi="Arial"/>
          <w:sz w:val="24"/>
          <w:szCs w:val="24"/>
        </w:rPr>
        <w:t xml:space="preserve">- места, где владельцы ценных бумаг могут получить справочную информацию о дивидендах.</w:t>
      </w:r>
    </w:p>
    <w:p>
      <w:pPr>
        <w:spacing w:after="120"/>
        <w:jc w:val="both"/>
      </w:pPr>
      <w:r>
        <w:rPr>
          <w:rFonts w:ascii="Arial" w:cs="Arial" w:eastAsia="Arial" w:hAnsi="Arial"/>
          <w:sz w:val="24"/>
          <w:szCs w:val="24"/>
        </w:rPr>
        <w:t xml:space="preserve">57. В течение 5 дней с момента завершения выплаты дивидендов, но не позднее 31 декабря года, следующего за годом, по итогам которого выплачивались дивиденды, эмитент должен представить в уполномоченный государственный орган отчет о выплате дивидендов, содержащий следующие сведения:</w:t>
      </w:r>
    </w:p>
    <w:p>
      <w:pPr>
        <w:spacing w:after="120"/>
        <w:jc w:val="both"/>
      </w:pPr>
      <w:r>
        <w:rPr>
          <w:rFonts w:ascii="Arial" w:cs="Arial" w:eastAsia="Arial" w:hAnsi="Arial"/>
          <w:sz w:val="24"/>
          <w:szCs w:val="24"/>
        </w:rPr>
        <w:t xml:space="preserve">- общее количество владельцев ценных бумаг, имеющих право на получение дивиденда;</w:t>
      </w:r>
    </w:p>
    <w:p>
      <w:pPr>
        <w:spacing w:after="120"/>
        <w:jc w:val="both"/>
      </w:pPr>
      <w:r>
        <w:rPr>
          <w:rFonts w:ascii="Arial" w:cs="Arial" w:eastAsia="Arial" w:hAnsi="Arial"/>
          <w:sz w:val="24"/>
          <w:szCs w:val="24"/>
        </w:rPr>
        <w:t xml:space="preserve">- общая сумма начисленных дивидендов;</w:t>
      </w:r>
    </w:p>
    <w:p>
      <w:pPr>
        <w:spacing w:after="120"/>
        <w:jc w:val="both"/>
      </w:pPr>
      <w:r>
        <w:rPr>
          <w:rFonts w:ascii="Arial" w:cs="Arial" w:eastAsia="Arial" w:hAnsi="Arial"/>
          <w:sz w:val="24"/>
          <w:szCs w:val="24"/>
        </w:rPr>
        <w:t xml:space="preserve">- общее количество владельцев ценных бумаг, получивших дивиденды/доходы;</w:t>
      </w:r>
    </w:p>
    <w:p>
      <w:pPr>
        <w:spacing w:after="120"/>
        <w:jc w:val="both"/>
      </w:pPr>
      <w:r>
        <w:rPr>
          <w:rFonts w:ascii="Arial" w:cs="Arial" w:eastAsia="Arial" w:hAnsi="Arial"/>
          <w:sz w:val="24"/>
          <w:szCs w:val="24"/>
        </w:rPr>
        <w:t xml:space="preserve">- общая сумма, выплаченных дивидендов;</w:t>
      </w:r>
    </w:p>
    <w:p>
      <w:pPr>
        <w:spacing w:after="120"/>
        <w:jc w:val="both"/>
      </w:pPr>
      <w:r>
        <w:rPr>
          <w:rFonts w:ascii="Arial" w:cs="Arial" w:eastAsia="Arial" w:hAnsi="Arial"/>
          <w:sz w:val="24"/>
          <w:szCs w:val="24"/>
        </w:rPr>
        <w:t xml:space="preserve">- количество владельцев ценных бумаг и количество принадлежащих им ценных бумаг, которым не выплачены дивиденды, с указанием причины невыплаты.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Раскрытие информации о выплате доходов по другим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Не позднее 5 дней до официальной даты определения владельцев ценных бумаг, имеющих право на получение дохода по ценным бумагам, установленной законодательством или нормативными правовыми актами, а также условиями выпуска ценных бумаг, эмитент обязан опубликовать информацию о выплате доходов по ценным бумагам, содержащую следующие сведения:</w:t>
      </w:r>
    </w:p>
    <w:p>
      <w:pPr>
        <w:spacing w:after="120"/>
        <w:jc w:val="both"/>
      </w:pPr>
      <w:r>
        <w:rPr>
          <w:rFonts w:ascii="Arial" w:cs="Arial" w:eastAsia="Arial" w:hAnsi="Arial"/>
          <w:sz w:val="24"/>
          <w:szCs w:val="24"/>
        </w:rPr>
        <w:t xml:space="preserve">- наименование эмитента;</w:t>
      </w:r>
    </w:p>
    <w:p>
      <w:pPr>
        <w:spacing w:after="120"/>
        <w:jc w:val="both"/>
      </w:pPr>
      <w:r>
        <w:rPr>
          <w:rFonts w:ascii="Arial" w:cs="Arial" w:eastAsia="Arial" w:hAnsi="Arial"/>
          <w:sz w:val="24"/>
          <w:szCs w:val="24"/>
        </w:rPr>
        <w:t xml:space="preserve">- размер дохода на одну ценную бумагу;</w:t>
      </w:r>
    </w:p>
    <w:p>
      <w:pPr>
        <w:spacing w:after="120"/>
        <w:jc w:val="both"/>
      </w:pPr>
      <w:r>
        <w:rPr>
          <w:rFonts w:ascii="Arial" w:cs="Arial" w:eastAsia="Arial" w:hAnsi="Arial"/>
          <w:sz w:val="24"/>
          <w:szCs w:val="24"/>
        </w:rPr>
        <w:t xml:space="preserve">- дата, по состоянию на которую определяется список владельцев ценных бумаг, имеющих право на получение дохода по ценным бумагам;</w:t>
      </w:r>
    </w:p>
    <w:p>
      <w:pPr>
        <w:spacing w:after="120"/>
        <w:jc w:val="both"/>
      </w:pPr>
      <w:r>
        <w:rPr>
          <w:rFonts w:ascii="Arial" w:cs="Arial" w:eastAsia="Arial" w:hAnsi="Arial"/>
          <w:sz w:val="24"/>
          <w:szCs w:val="24"/>
        </w:rPr>
        <w:t xml:space="preserve">- дата, начиная с которой эмитент выплачивает доходы по ценным бумагам;</w:t>
      </w:r>
    </w:p>
    <w:p>
      <w:pPr>
        <w:spacing w:after="120"/>
        <w:jc w:val="both"/>
      </w:pPr>
      <w:r>
        <w:rPr>
          <w:rFonts w:ascii="Arial" w:cs="Arial" w:eastAsia="Arial" w:hAnsi="Arial"/>
          <w:sz w:val="24"/>
          <w:szCs w:val="24"/>
        </w:rPr>
        <w:t xml:space="preserve">- форма выплаты доходов, установленная условиями выпуска ценных бумаг (денежные средства, ценные бумаги, товары и т.д.);</w:t>
      </w:r>
    </w:p>
    <w:p>
      <w:pPr>
        <w:spacing w:after="120"/>
        <w:jc w:val="both"/>
      </w:pPr>
      <w:r>
        <w:rPr>
          <w:rFonts w:ascii="Arial" w:cs="Arial" w:eastAsia="Arial" w:hAnsi="Arial"/>
          <w:sz w:val="24"/>
          <w:szCs w:val="24"/>
        </w:rPr>
        <w:t xml:space="preserve">- места, где будут выплачиваться доходы по ценным бумагам;</w:t>
      </w:r>
    </w:p>
    <w:p>
      <w:pPr>
        <w:spacing w:after="120"/>
        <w:jc w:val="both"/>
      </w:pPr>
      <w:r>
        <w:rPr>
          <w:rFonts w:ascii="Arial" w:cs="Arial" w:eastAsia="Arial" w:hAnsi="Arial"/>
          <w:sz w:val="24"/>
          <w:szCs w:val="24"/>
        </w:rPr>
        <w:t xml:space="preserve">- места, где владельцы ценных бумаг могут получить справочную информацию.</w:t>
      </w:r>
    </w:p>
    <w:p>
      <w:pPr>
        <w:spacing w:after="120"/>
        <w:jc w:val="both"/>
      </w:pPr>
      <w:r>
        <w:rPr>
          <w:rFonts w:ascii="Arial" w:cs="Arial" w:eastAsia="Arial" w:hAnsi="Arial"/>
          <w:sz w:val="24"/>
          <w:szCs w:val="24"/>
        </w:rPr>
        <w:t xml:space="preserve">59. В течение 5 дней с момента завершения выплаты доходов по ценным бумагам, но не позднее окончания периода, следующего за периодом, за который выплачивались доходы, эмитент должен представить в уполномоченный государственный орган отчет о выплате доходов по ценным бумагам, содержащий следующие сведения:</w:t>
      </w:r>
    </w:p>
    <w:p>
      <w:pPr>
        <w:spacing w:after="120"/>
        <w:jc w:val="both"/>
      </w:pPr>
      <w:r>
        <w:rPr>
          <w:rFonts w:ascii="Arial" w:cs="Arial" w:eastAsia="Arial" w:hAnsi="Arial"/>
          <w:sz w:val="24"/>
          <w:szCs w:val="24"/>
        </w:rPr>
        <w:t xml:space="preserve">- общее количество владельцев ценных бумаг данного вида, имеющих право на получение доходов по ценным бумагам;</w:t>
      </w:r>
    </w:p>
    <w:p>
      <w:pPr>
        <w:spacing w:after="120"/>
        <w:jc w:val="both"/>
      </w:pPr>
      <w:r>
        <w:rPr>
          <w:rFonts w:ascii="Arial" w:cs="Arial" w:eastAsia="Arial" w:hAnsi="Arial"/>
          <w:sz w:val="24"/>
          <w:szCs w:val="24"/>
        </w:rPr>
        <w:t xml:space="preserve">- общая сумма начисленных доходов;</w:t>
      </w:r>
    </w:p>
    <w:p>
      <w:pPr>
        <w:spacing w:after="120"/>
        <w:jc w:val="both"/>
      </w:pPr>
      <w:r>
        <w:rPr>
          <w:rFonts w:ascii="Arial" w:cs="Arial" w:eastAsia="Arial" w:hAnsi="Arial"/>
          <w:sz w:val="24"/>
          <w:szCs w:val="24"/>
        </w:rPr>
        <w:t xml:space="preserve">- общее количество владельцев ценных бумаг, получивших доходы;</w:t>
      </w:r>
    </w:p>
    <w:p>
      <w:pPr>
        <w:spacing w:after="120"/>
        <w:jc w:val="both"/>
      </w:pPr>
      <w:r>
        <w:rPr>
          <w:rFonts w:ascii="Arial" w:cs="Arial" w:eastAsia="Arial" w:hAnsi="Arial"/>
          <w:sz w:val="24"/>
          <w:szCs w:val="24"/>
        </w:rPr>
        <w:t xml:space="preserve">- общая сумма, выплаченных доходов по ценным бумагам данного вида;</w:t>
      </w:r>
    </w:p>
    <w:p>
      <w:pPr>
        <w:spacing w:after="120"/>
        <w:jc w:val="both"/>
      </w:pPr>
      <w:r>
        <w:rPr>
          <w:rFonts w:ascii="Arial" w:cs="Arial" w:eastAsia="Arial" w:hAnsi="Arial"/>
          <w:sz w:val="24"/>
          <w:szCs w:val="24"/>
        </w:rPr>
        <w:t xml:space="preserve">- количество владельцев ценных бумаг данного вида и количество принадлежащих им ценных бумаг, по которым не выплачены доходы, с указанием причины невыплаты.</w:t>
      </w:r>
    </w:p>
    <w:p>
      <w:pPr>
        <w:spacing w:after="120"/>
        <w:jc w:val="both"/>
      </w:pPr>
      <w:r>
        <w:rPr>
          <w:rFonts w:ascii="Arial" w:cs="Arial" w:eastAsia="Arial" w:hAnsi="Arial"/>
          <w:sz w:val="24"/>
          <w:szCs w:val="24"/>
        </w:rPr>
        <w:t xml:space="preserve">Если представление аналогичного отчета предусмотрено иными нормативными правовыми актами, то эмитент представляет отчет в соответствии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Ежеквартальный отчет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Раскрытие информации владельцем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Владелец ценных бумаг обязан осуществлять раскрытие информации о своем владении эмиссионными ценными бумагами какого-либо эмитента в следующих случаях:</w:t>
      </w:r>
    </w:p>
    <w:p>
      <w:pPr>
        <w:spacing w:after="120"/>
        <w:jc w:val="both"/>
      </w:pPr>
      <w:r>
        <w:rPr>
          <w:rFonts w:ascii="Arial" w:cs="Arial" w:eastAsia="Arial" w:hAnsi="Arial"/>
          <w:sz w:val="24"/>
          <w:szCs w:val="24"/>
        </w:rPr>
        <w:t xml:space="preserve">- владелец вступил во владение 5 процентами или более любого вида ценных бумаг эмитента;</w:t>
      </w:r>
    </w:p>
    <w:p>
      <w:pPr>
        <w:spacing w:after="120"/>
        <w:jc w:val="both"/>
      </w:pPr>
      <w:r>
        <w:rPr>
          <w:rFonts w:ascii="Arial" w:cs="Arial" w:eastAsia="Arial" w:hAnsi="Arial"/>
          <w:sz w:val="24"/>
          <w:szCs w:val="24"/>
        </w:rPr>
        <w:t xml:space="preserve">- владелец увеличил свою долю владения любым видом ценных бумаг эмитента до уровня, кратного каждым 5 процентам свыше 5 процентов этого вида ценных бумаг;</w:t>
      </w:r>
    </w:p>
    <w:p>
      <w:pPr>
        <w:spacing w:after="120"/>
        <w:jc w:val="both"/>
      </w:pPr>
      <w:r>
        <w:rPr>
          <w:rFonts w:ascii="Arial" w:cs="Arial" w:eastAsia="Arial" w:hAnsi="Arial"/>
          <w:sz w:val="24"/>
          <w:szCs w:val="24"/>
        </w:rPr>
        <w:t xml:space="preserve">- владелец снизил свою долю владения любым видом ценных бумаг эмитента до уровня, кратного каждым 5 процентам свыше 5 процентов этого вида ценных бумаг.</w:t>
      </w:r>
    </w:p>
    <w:p>
      <w:pPr>
        <w:spacing w:after="120"/>
        <w:jc w:val="both"/>
      </w:pPr>
      <w:r>
        <w:rPr>
          <w:rFonts w:ascii="Arial" w:cs="Arial" w:eastAsia="Arial" w:hAnsi="Arial"/>
          <w:sz w:val="24"/>
          <w:szCs w:val="24"/>
        </w:rPr>
        <w:t xml:space="preserve">Владелец раскрывает указанную информацию не позднее 5 дней после соответствующих действий путем уведомления уполномоченного государственного органа.</w:t>
      </w:r>
    </w:p>
    <w:p>
      <w:pPr>
        <w:spacing w:after="120"/>
        <w:jc w:val="both"/>
      </w:pPr>
      <w:r>
        <w:rPr>
          <w:rFonts w:ascii="Arial" w:cs="Arial" w:eastAsia="Arial" w:hAnsi="Arial"/>
          <w:sz w:val="24"/>
          <w:szCs w:val="24"/>
        </w:rPr>
        <w:t xml:space="preserve">Уведомление должно содержать:</w:t>
      </w:r>
    </w:p>
    <w:p>
      <w:pPr>
        <w:spacing w:after="120"/>
        <w:jc w:val="both"/>
      </w:pPr>
      <w:r>
        <w:rPr>
          <w:rFonts w:ascii="Arial" w:cs="Arial" w:eastAsia="Arial" w:hAnsi="Arial"/>
          <w:sz w:val="24"/>
          <w:szCs w:val="24"/>
        </w:rPr>
        <w:t xml:space="preserve">- имя или наименование владельца;</w:t>
      </w:r>
    </w:p>
    <w:p>
      <w:pPr>
        <w:spacing w:after="120"/>
        <w:jc w:val="both"/>
      </w:pPr>
      <w:r>
        <w:rPr>
          <w:rFonts w:ascii="Arial" w:cs="Arial" w:eastAsia="Arial" w:hAnsi="Arial"/>
          <w:sz w:val="24"/>
          <w:szCs w:val="24"/>
        </w:rPr>
        <w:t xml:space="preserve">- вид и государственный регистрационный номер ценных бумаг;</w:t>
      </w:r>
    </w:p>
    <w:p>
      <w:pPr>
        <w:spacing w:after="120"/>
        <w:jc w:val="both"/>
      </w:pPr>
      <w:r>
        <w:rPr>
          <w:rFonts w:ascii="Arial" w:cs="Arial" w:eastAsia="Arial" w:hAnsi="Arial"/>
          <w:sz w:val="24"/>
          <w:szCs w:val="24"/>
        </w:rPr>
        <w:t xml:space="preserve">- наименование эмитента;</w:t>
      </w:r>
    </w:p>
    <w:p>
      <w:pPr>
        <w:spacing w:after="120"/>
        <w:jc w:val="both"/>
      </w:pPr>
      <w:r>
        <w:rPr>
          <w:rFonts w:ascii="Arial" w:cs="Arial" w:eastAsia="Arial" w:hAnsi="Arial"/>
          <w:sz w:val="24"/>
          <w:szCs w:val="24"/>
        </w:rPr>
        <w:t xml:space="preserve">- количество принадлежащих ему ценных бумаг.</w:t>
      </w:r>
    </w:p>
    <w:p>
      <w:pPr>
        <w:spacing w:after="120"/>
        <w:jc w:val="both"/>
      </w:pPr>
      <w:r>
        <w:rPr>
          <w:rFonts w:ascii="Arial" w:cs="Arial" w:eastAsia="Arial" w:hAnsi="Arial"/>
          <w:sz w:val="24"/>
          <w:szCs w:val="24"/>
        </w:rPr>
        <w:t xml:space="preserve">61. Лицо, имеющее намерение самостоятельно или совместно со своим аффилированным лицом (лицами) приобрести 50 или более процентов размещенных простых акций общества с учетом количества принадлежащих ему акций, обязано не позднее, чем за 30 дней до даты приобретения акций, направить обществу письменное заявление с предложением о приобретении указанных акций с указанием цены их приобретения, а также в те же сроки уведомить государственный уполномоченный орган.</w:t>
      </w:r>
    </w:p>
    <w:p>
      <w:pPr>
        <w:spacing w:after="120"/>
        <w:jc w:val="both"/>
      </w:pPr>
      <w:r>
        <w:rPr>
          <w:rFonts w:ascii="Arial" w:cs="Arial" w:eastAsia="Arial" w:hAnsi="Arial"/>
          <w:sz w:val="24"/>
          <w:szCs w:val="24"/>
        </w:rPr>
        <w:t xml:space="preserve">Предложение лица, указанного в абзаце первом настоящего пункта, о приобретении простых акций направляется обществом всем акционерам-владельцам простых акций общества в письменной форме в срок, не позднее 30 дней после получения предложения.</w:t>
      </w:r>
    </w:p>
    <w:p>
      <w:pPr>
        <w:spacing w:after="120"/>
        <w:jc w:val="both"/>
      </w:pPr>
      <w:r>
        <w:rPr>
          <w:rFonts w:ascii="Arial" w:cs="Arial" w:eastAsia="Arial" w:hAnsi="Arial"/>
          <w:sz w:val="24"/>
          <w:szCs w:val="24"/>
        </w:rPr>
        <w:t xml:space="preserve">Акционер вправе принять предложение о приобретении акций в срок, не более 30 дней с момента получения предложения, а лицо, сделавшее такое предложение, обязано их выкупить.</w:t>
      </w:r>
    </w:p>
    <w:p>
      <w:pPr>
        <w:spacing w:after="120"/>
        <w:jc w:val="both"/>
      </w:pPr>
      <w:r>
        <w:rPr>
          <w:rFonts w:ascii="Arial" w:cs="Arial" w:eastAsia="Arial" w:hAnsi="Arial"/>
          <w:sz w:val="24"/>
          <w:szCs w:val="24"/>
        </w:rPr>
        <w:t xml:space="preserve">Предложение акционерам о приобретении акций и уведомление должны содержать данные о лице, которое приобретает 50 или более процентов простых акций общества (имя или наименование, адрес или местонахождение), количестве и предлагаемой акционерам цене приобретения акций, сроке приобретения акций.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44vl9fi7124dobputicu">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62. Лицо, имеющее доступ к служебной информации, которая не является общедоступной и может повлиять на стоимость ценной бумаги, и намеревающееся совершить сделки с этими ценными бумагами, обязано опубликовать эту информацию перед совершением сделки, предварительно уведомив об этом эмитента ценных бумаг или отказаться от совершения такой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Раскрытие информации аффилированными лицами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Аффилированные лица общества обязаны в письменной форме уведомить общество и уполномоченный государственный орган, регулирующий рынок ценных бумаг, о принадлежащих им ценных бумагах общества, с указанием их количества и категорий, не позднее 10 дней с даты приобретения акций.</w:t>
      </w:r>
    </w:p>
    <w:p>
      <w:pPr>
        <w:spacing w:after="120"/>
        <w:jc w:val="both"/>
      </w:pPr>
      <w:r>
        <w:rPr>
          <w:rFonts w:ascii="Arial" w:cs="Arial" w:eastAsia="Arial" w:hAnsi="Arial"/>
          <w:sz w:val="24"/>
          <w:szCs w:val="24"/>
        </w:rPr>
        <w:t xml:space="preserve">В уведомлении должны быть указаны:</w:t>
      </w:r>
    </w:p>
    <w:p>
      <w:pPr>
        <w:spacing w:after="120"/>
        <w:jc w:val="both"/>
      </w:pPr>
      <w:r>
        <w:rPr>
          <w:rFonts w:ascii="Arial" w:cs="Arial" w:eastAsia="Arial" w:hAnsi="Arial"/>
          <w:sz w:val="24"/>
          <w:szCs w:val="24"/>
        </w:rPr>
        <w:t xml:space="preserve">- фамилия, имя, отчество и местонахождение физического лица или полное наименование, местонахождение, почтовый адрес, код ОКПО (общекыргызский классификатор предприятий и организаций) юридического лица;</w:t>
      </w:r>
    </w:p>
    <w:p>
      <w:pPr>
        <w:spacing w:after="120"/>
        <w:jc w:val="both"/>
      </w:pPr>
      <w:r>
        <w:rPr>
          <w:rFonts w:ascii="Arial" w:cs="Arial" w:eastAsia="Arial" w:hAnsi="Arial"/>
          <w:sz w:val="24"/>
          <w:szCs w:val="24"/>
        </w:rPr>
        <w:t xml:space="preserve">- количество и категории принадлежащих ему ценных бумаг общества;</w:t>
      </w:r>
    </w:p>
    <w:p>
      <w:pPr>
        <w:spacing w:after="120"/>
        <w:jc w:val="both"/>
      </w:pPr>
      <w:r>
        <w:rPr>
          <w:rFonts w:ascii="Arial" w:cs="Arial" w:eastAsia="Arial" w:hAnsi="Arial"/>
          <w:sz w:val="24"/>
          <w:szCs w:val="24"/>
        </w:rPr>
        <w:t xml:space="preserve">- дата приобретения ценных бумаг и дата, с которой произошли изменения доли участия в уставном капитале;</w:t>
      </w:r>
    </w:p>
    <w:p>
      <w:pPr>
        <w:spacing w:after="120"/>
        <w:jc w:val="both"/>
      </w:pPr>
      <w:r>
        <w:rPr>
          <w:rFonts w:ascii="Arial" w:cs="Arial" w:eastAsia="Arial" w:hAnsi="Arial"/>
          <w:sz w:val="24"/>
          <w:szCs w:val="24"/>
        </w:rPr>
        <w:t xml:space="preserve">- доля в уставном капитале (в денежном выражении и в процентах от уставного капитала) эмитента до и после ее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Раскрытие информации профессиональным участником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Профессиональный участник рынка ценных бумаг обязан осуществлять раскрытие информации о своих операциях с ценными бумагами в следующих случаях:</w:t>
      </w:r>
    </w:p>
    <w:p>
      <w:pPr>
        <w:spacing w:after="120"/>
        <w:jc w:val="both"/>
      </w:pPr>
      <w:r>
        <w:rPr>
          <w:rFonts w:ascii="Arial" w:cs="Arial" w:eastAsia="Arial" w:hAnsi="Arial"/>
          <w:sz w:val="24"/>
          <w:szCs w:val="24"/>
        </w:rPr>
        <w:t xml:space="preserve">- профессиональный участник рынка ценных бумаг произвел в течение одного квартала операции с одним видом ценных бумаг одного эмитента, если количество ценных бумаг по этим операциям составило не менее 100 процентов от общего количества указанных ценных бумаг;</w:t>
      </w:r>
    </w:p>
    <w:p>
      <w:pPr>
        <w:spacing w:after="120"/>
        <w:jc w:val="both"/>
      </w:pPr>
      <w:r>
        <w:rPr>
          <w:rFonts w:ascii="Arial" w:cs="Arial" w:eastAsia="Arial" w:hAnsi="Arial"/>
          <w:sz w:val="24"/>
          <w:szCs w:val="24"/>
        </w:rPr>
        <w:t xml:space="preserve">- профессиональный участник рынка ценных бумаг произвел разовую операцию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w:t>
      </w:r>
    </w:p>
    <w:p>
      <w:pPr>
        <w:spacing w:after="120"/>
        <w:jc w:val="both"/>
      </w:pPr>
      <w:r>
        <w:rPr>
          <w:rFonts w:ascii="Arial" w:cs="Arial" w:eastAsia="Arial" w:hAnsi="Arial"/>
          <w:sz w:val="24"/>
          <w:szCs w:val="24"/>
        </w:rPr>
        <w:t xml:space="preserve">Профессиональный участник рынка ценных бумаг раскрывает указанную информацию (содержащую наименование профессионального участника рынка ценных бумаг, вид и государственный регистрационный код ценных бумаг, наименование эмитента, цену одной ценной бумаги, количество ценных бумаг по соответствующим сделкам) путем уведомления уполномоченного государственного органа не позднее 5 дней после окончания соответствующего квартала или после соответствующей разовой операции.</w:t>
      </w:r>
    </w:p>
    <w:p>
      <w:pPr>
        <w:spacing w:after="120"/>
        <w:jc w:val="both"/>
      </w:pPr>
      <w:r>
        <w:rPr>
          <w:rFonts w:ascii="Arial" w:cs="Arial" w:eastAsia="Arial" w:hAnsi="Arial"/>
          <w:sz w:val="24"/>
          <w:szCs w:val="24"/>
        </w:rPr>
        <w:t xml:space="preserve">65. Профессиональный участник рынка ценных бумаг при предложении и/или объявлении цен покупки и/или продажи ценных бумаг обязан раскрыть имеющуюся у него общедоступную информацию, раскрываемую эмитентом этих ценных бумаг, или сообщить о факте отсутствия у него этой информации.</w:t>
      </w:r>
    </w:p>
    <w:p>
      <w:pPr>
        <w:spacing w:after="120"/>
        <w:jc w:val="both"/>
      </w:pPr>
      <w:r>
        <w:rPr>
          <w:rFonts w:ascii="Arial" w:cs="Arial" w:eastAsia="Arial" w:hAnsi="Arial"/>
          <w:sz w:val="24"/>
          <w:szCs w:val="24"/>
        </w:rPr>
        <w:t xml:space="preserve">66. Профессиональный участник рынка ценных бумаг, в случае, если он владеет информацией, не являющейся общедоступной, но которая может повлиять на стоимость ценной бумаги, обязан уведомить о факте наличия такой информации, не раскрывая суть информации, лицо, которое обратилось к нему с намерением купить или продать ценные бумаги. Профессиональный участник рынка ценных бумаг обязан в течение 5 дней с момента, когда он получил такую информацию, уведомить об этом уполномоченный государственный орган.</w:t>
      </w:r>
    </w:p>
    <w:p>
      <w:pPr>
        <w:spacing w:after="120"/>
        <w:jc w:val="both"/>
      </w:pPr>
      <w:r>
        <w:rPr>
          <w:rFonts w:ascii="Arial" w:cs="Arial" w:eastAsia="Arial" w:hAnsi="Arial"/>
          <w:sz w:val="24"/>
          <w:szCs w:val="24"/>
        </w:rPr>
        <w:t xml:space="preserve">67. Профессиональный участник рынка ценных бумаг обязан уведомить уполномоченный государственный орган о факте передачи ему в номинальное держание 5 и более процентов ценных бумаг одного эмитента в течение 5 дней с момента передачи ему данных ценных бумаг. Данное уведомление должно содержать: фамилию, имя и отчество (Ф.И.О., для физического лица) или наименование (для юридических лиц) собственника ценных бумаг, количество передаваемых в номинальное держание ценных бумаг, суммарную номинальную стоимость, долю (в процентах) в общем количестве ценных бумаг данного вида эмитента, адрес физического или юридического лица собственника ценных бумаг.</w:t>
      </w:r>
    </w:p>
    <w:p>
      <w:pPr>
        <w:spacing w:after="120"/>
        <w:jc w:val="both"/>
      </w:pPr>
      <w:r>
        <w:rPr>
          <w:rFonts w:ascii="Arial" w:cs="Arial" w:eastAsia="Arial" w:hAnsi="Arial"/>
          <w:sz w:val="24"/>
          <w:szCs w:val="24"/>
        </w:rPr>
        <w:t xml:space="preserve">68. Профессиональный участник рынка ценных бумаг обязан опубликовать сведения об изменении местонахождения, телефона, факса и уведомить об этом уполномоченный государственный орган не позднее 5 дней с момента данных изменений.</w:t>
      </w:r>
    </w:p>
    <w:p>
      <w:pPr>
        <w:spacing w:after="120"/>
        <w:jc w:val="both"/>
      </w:pPr>
      <w:r>
        <w:rPr>
          <w:rFonts w:ascii="Arial" w:cs="Arial" w:eastAsia="Arial" w:hAnsi="Arial"/>
          <w:sz w:val="24"/>
          <w:szCs w:val="24"/>
        </w:rPr>
        <w:t xml:space="preserve">69. Профессиональный участник рынка ценных бумаг обязан сообщать обратившемуся к нему лицу о наличии у специалиста, оказывающего ему услуги, квалификационного свидетельства на право ведения профессиональной деятельности на рынке ценных бумаг.</w:t>
      </w:r>
    </w:p>
    <w:p>
      <w:pPr>
        <w:spacing w:after="120"/>
        <w:jc w:val="both"/>
      </w:pPr>
      <w:r>
        <w:rPr>
          <w:rFonts w:ascii="Arial" w:cs="Arial" w:eastAsia="Arial" w:hAnsi="Arial"/>
          <w:sz w:val="24"/>
          <w:szCs w:val="24"/>
        </w:rPr>
        <w:t xml:space="preserve">70. Профессиональный участник рынка ценных бумаг обязан представлять отчетность в уполномоченный государственный орган в порядке и сроки, установленные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Дополнительные требования к раскрытию информации фондовой биржей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Фондовая биржа обязана обеспечить доступ любому заинтересованному лицу к следующим документам:</w:t>
      </w:r>
    </w:p>
    <w:p>
      <w:pPr>
        <w:spacing w:after="120"/>
        <w:jc w:val="both"/>
      </w:pPr>
      <w:r>
        <w:rPr>
          <w:rFonts w:ascii="Arial" w:cs="Arial" w:eastAsia="Arial" w:hAnsi="Arial"/>
          <w:sz w:val="24"/>
          <w:szCs w:val="24"/>
        </w:rPr>
        <w:t xml:space="preserve">- правила заключения, оформления и регистрации сделок;</w:t>
      </w:r>
    </w:p>
    <w:p>
      <w:pPr>
        <w:spacing w:after="120"/>
        <w:jc w:val="both"/>
      </w:pPr>
      <w:r>
        <w:rPr>
          <w:rFonts w:ascii="Arial" w:cs="Arial" w:eastAsia="Arial" w:hAnsi="Arial"/>
          <w:sz w:val="24"/>
          <w:szCs w:val="24"/>
        </w:rPr>
        <w:t xml:space="preserve">- порядок исполнения сделок;</w:t>
      </w:r>
    </w:p>
    <w:p>
      <w:pPr>
        <w:spacing w:after="120"/>
        <w:jc w:val="both"/>
      </w:pPr>
      <w:r>
        <w:rPr>
          <w:rFonts w:ascii="Arial" w:cs="Arial" w:eastAsia="Arial" w:hAnsi="Arial"/>
          <w:sz w:val="24"/>
          <w:szCs w:val="24"/>
        </w:rPr>
        <w:t xml:space="preserve">- правила, ограничивающие манипулирование ценами;</w:t>
      </w:r>
    </w:p>
    <w:p>
      <w:pPr>
        <w:spacing w:after="120"/>
        <w:jc w:val="both"/>
      </w:pPr>
      <w:r>
        <w:rPr>
          <w:rFonts w:ascii="Arial" w:cs="Arial" w:eastAsia="Arial" w:hAnsi="Arial"/>
          <w:sz w:val="24"/>
          <w:szCs w:val="24"/>
        </w:rPr>
        <w:t xml:space="preserve">- правила допуска к торгам ценных бумаг;</w:t>
      </w:r>
    </w:p>
    <w:p>
      <w:pPr>
        <w:spacing w:after="120"/>
        <w:jc w:val="both"/>
      </w:pPr>
      <w:r>
        <w:rPr>
          <w:rFonts w:ascii="Arial" w:cs="Arial" w:eastAsia="Arial" w:hAnsi="Arial"/>
          <w:sz w:val="24"/>
          <w:szCs w:val="24"/>
        </w:rPr>
        <w:t xml:space="preserve">- правила допуска профессионального участника рынка ценных бумаг к торгам;</w:t>
      </w:r>
    </w:p>
    <w:p>
      <w:pPr>
        <w:spacing w:after="120"/>
        <w:jc w:val="both"/>
      </w:pPr>
      <w:r>
        <w:rPr>
          <w:rFonts w:ascii="Arial" w:cs="Arial" w:eastAsia="Arial" w:hAnsi="Arial"/>
          <w:sz w:val="24"/>
          <w:szCs w:val="24"/>
        </w:rPr>
        <w:t xml:space="preserve">- расписание предоставления услуг фондовой биржей на рынке ценных бумаг;</w:t>
      </w:r>
    </w:p>
    <w:p>
      <w:pPr>
        <w:spacing w:after="120"/>
        <w:jc w:val="both"/>
      </w:pPr>
      <w:r>
        <w:rPr>
          <w:rFonts w:ascii="Arial" w:cs="Arial" w:eastAsia="Arial" w:hAnsi="Arial"/>
          <w:sz w:val="24"/>
          <w:szCs w:val="24"/>
        </w:rPr>
        <w:t xml:space="preserve">- порядок внесения изменений и дополнений в вышеперечисленные документы;</w:t>
      </w:r>
    </w:p>
    <w:p>
      <w:pPr>
        <w:spacing w:after="120"/>
        <w:jc w:val="both"/>
      </w:pPr>
      <w:r>
        <w:rPr>
          <w:rFonts w:ascii="Arial" w:cs="Arial" w:eastAsia="Arial" w:hAnsi="Arial"/>
          <w:sz w:val="24"/>
          <w:szCs w:val="24"/>
        </w:rPr>
        <w:t xml:space="preserve">- список членов фондовой биржи;</w:t>
      </w:r>
    </w:p>
    <w:p>
      <w:pPr>
        <w:spacing w:after="120"/>
        <w:jc w:val="both"/>
      </w:pPr>
      <w:r>
        <w:rPr>
          <w:rFonts w:ascii="Arial" w:cs="Arial" w:eastAsia="Arial" w:hAnsi="Arial"/>
          <w:sz w:val="24"/>
          <w:szCs w:val="24"/>
        </w:rPr>
        <w:t xml:space="preserve">- список ценных бумаг, допущенных к торгам, а также отчетность и иная информация их эмитентов.</w:t>
      </w:r>
    </w:p>
    <w:p>
      <w:pPr>
        <w:spacing w:after="120"/>
        <w:jc w:val="both"/>
      </w:pPr>
      <w:r>
        <w:rPr>
          <w:rFonts w:ascii="Arial" w:cs="Arial" w:eastAsia="Arial" w:hAnsi="Arial"/>
          <w:sz w:val="24"/>
          <w:szCs w:val="24"/>
        </w:rPr>
        <w:t xml:space="preserve">72. О каждой сделке, заключенной в соответствии с установленными фондовой биржей правилами, любому заинтересованному лицу предоставляется следующая информация:</w:t>
      </w:r>
    </w:p>
    <w:p>
      <w:pPr>
        <w:spacing w:after="120"/>
        <w:jc w:val="both"/>
      </w:pPr>
      <w:r>
        <w:rPr>
          <w:rFonts w:ascii="Arial" w:cs="Arial" w:eastAsia="Arial" w:hAnsi="Arial"/>
          <w:sz w:val="24"/>
          <w:szCs w:val="24"/>
        </w:rPr>
        <w:t xml:space="preserve">- дата и время заключения сделки;</w:t>
      </w:r>
    </w:p>
    <w:p>
      <w:pPr>
        <w:spacing w:after="120"/>
        <w:jc w:val="both"/>
      </w:pPr>
      <w:r>
        <w:rPr>
          <w:rFonts w:ascii="Arial" w:cs="Arial" w:eastAsia="Arial" w:hAnsi="Arial"/>
          <w:sz w:val="24"/>
          <w:szCs w:val="24"/>
        </w:rPr>
        <w:t xml:space="preserve">- наименование ценных бумаг, являющихся предметом сделки;</w:t>
      </w:r>
    </w:p>
    <w:p>
      <w:pPr>
        <w:spacing w:after="120"/>
        <w:jc w:val="both"/>
      </w:pPr>
      <w:r>
        <w:rPr>
          <w:rFonts w:ascii="Arial" w:cs="Arial" w:eastAsia="Arial" w:hAnsi="Arial"/>
          <w:sz w:val="24"/>
          <w:szCs w:val="24"/>
        </w:rPr>
        <w:t xml:space="preserve">- государственный регистрационный номер ценных бумаг;</w:t>
      </w:r>
    </w:p>
    <w:p>
      <w:pPr>
        <w:spacing w:after="120"/>
        <w:jc w:val="both"/>
      </w:pPr>
      <w:r>
        <w:rPr>
          <w:rFonts w:ascii="Arial" w:cs="Arial" w:eastAsia="Arial" w:hAnsi="Arial"/>
          <w:sz w:val="24"/>
          <w:szCs w:val="24"/>
        </w:rPr>
        <w:t xml:space="preserve">- цена одной ценной бумаги;</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73. Фондовая биржа обязана обеспечить доступность информации, указанной выше, посредством публикации на своей официальной интернет-странице.</w:t>
      </w:r>
    </w:p>
    <w:p>
      <w:pPr>
        <w:spacing w:after="120"/>
        <w:jc w:val="both"/>
      </w:pPr>
      <w:r>
        <w:rPr>
          <w:rFonts w:ascii="Arial" w:cs="Arial" w:eastAsia="Arial" w:hAnsi="Arial"/>
          <w:sz w:val="24"/>
          <w:szCs w:val="24"/>
        </w:rPr>
        <w:t xml:space="preserve">74. Фондовая биржа обязана обеспечить доступность информации о ценах на ценные бумаги всем заинтересованным лицам.</w:t>
      </w:r>
    </w:p>
    <w:p>
      <w:pPr>
        <w:spacing w:after="120"/>
        <w:jc w:val="both"/>
      </w:pPr>
      <w:r>
        <w:rPr>
          <w:rFonts w:ascii="Arial" w:cs="Arial" w:eastAsia="Arial" w:hAnsi="Arial"/>
          <w:sz w:val="24"/>
          <w:szCs w:val="24"/>
        </w:rPr>
        <w:t xml:space="preserve">75. Фондовая биржа обязана представлять в уполномоченный государственный орган отчетность в соответствии с законодательством и нормативными правовыми актами Кыргызской Республики.</w:t>
      </w:r>
    </w:p>
    <w:p>
      <w:pPr>
        <w:spacing w:after="120"/>
        <w:jc w:val="both"/>
      </w:pPr>
      <w:r>
        <w:rPr>
          <w:rFonts w:ascii="Arial" w:cs="Arial" w:eastAsia="Arial" w:hAnsi="Arial"/>
          <w:sz w:val="24"/>
          <w:szCs w:val="24"/>
        </w:rPr>
        <w:t xml:space="preserve">76. Регистратор обязан уведомить уполномоченный государственный орган:</w:t>
      </w:r>
    </w:p>
    <w:p>
      <w:pPr>
        <w:spacing w:after="120"/>
        <w:jc w:val="both"/>
      </w:pPr>
      <w:r>
        <w:rPr>
          <w:rFonts w:ascii="Arial" w:cs="Arial" w:eastAsia="Arial" w:hAnsi="Arial"/>
          <w:sz w:val="24"/>
          <w:szCs w:val="24"/>
        </w:rPr>
        <w:t xml:space="preserve">- о факте отказа регистратором во внесении записей в реестр, с указанием причины, по которой отказано;</w:t>
      </w:r>
    </w:p>
    <w:p>
      <w:pPr>
        <w:spacing w:after="120"/>
        <w:jc w:val="both"/>
      </w:pPr>
      <w:r>
        <w:rPr>
          <w:rFonts w:ascii="Arial" w:cs="Arial" w:eastAsia="Arial" w:hAnsi="Arial"/>
          <w:sz w:val="24"/>
          <w:szCs w:val="24"/>
        </w:rPr>
        <w:t xml:space="preserve">- о внесении в реестр лица, владеющего 5 и более процентами ценных бумаг одного эмитента (данное уведомление должно содержать дату внесения в реестр указанного лица, наименование эмитента, Ф.И.О. или наименование юридического лица, приобретшего ценные бумаги, количество и суммарная номинальная стоимость приобретенных данным лицом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Дополнительные требования к раскрытию информации саморегулируемой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Саморегулируемая организация обязана раскрывать информацию, которая содержит:</w:t>
      </w:r>
    </w:p>
    <w:p>
      <w:pPr>
        <w:spacing w:after="120"/>
        <w:jc w:val="both"/>
      </w:pPr>
      <w:r>
        <w:rPr>
          <w:rFonts w:ascii="Arial" w:cs="Arial" w:eastAsia="Arial" w:hAnsi="Arial"/>
          <w:sz w:val="24"/>
          <w:szCs w:val="24"/>
        </w:rPr>
        <w:t xml:space="preserve">- устав, правила и стандарты организации;</w:t>
      </w:r>
    </w:p>
    <w:p>
      <w:pPr>
        <w:spacing w:after="120"/>
        <w:jc w:val="both"/>
      </w:pPr>
      <w:r>
        <w:rPr>
          <w:rFonts w:ascii="Arial" w:cs="Arial" w:eastAsia="Arial" w:hAnsi="Arial"/>
          <w:sz w:val="24"/>
          <w:szCs w:val="24"/>
        </w:rPr>
        <w:t xml:space="preserve">- список лиц, входящих в органы управления;</w:t>
      </w:r>
    </w:p>
    <w:p>
      <w:pPr>
        <w:spacing w:after="120"/>
        <w:jc w:val="both"/>
      </w:pPr>
      <w:r>
        <w:rPr>
          <w:rFonts w:ascii="Arial" w:cs="Arial" w:eastAsia="Arial" w:hAnsi="Arial"/>
          <w:sz w:val="24"/>
          <w:szCs w:val="24"/>
        </w:rPr>
        <w:t xml:space="preserve">- список членов организации;</w:t>
      </w:r>
    </w:p>
    <w:p>
      <w:pPr>
        <w:spacing w:after="120"/>
        <w:jc w:val="both"/>
      </w:pPr>
      <w:r>
        <w:rPr>
          <w:rFonts w:ascii="Arial" w:cs="Arial" w:eastAsia="Arial" w:hAnsi="Arial"/>
          <w:sz w:val="24"/>
          <w:szCs w:val="24"/>
        </w:rPr>
        <w:t xml:space="preserve">- список лиц, получивших выданные организацией квалификационные свидетельства, а также условия получения указанных свидетельств - в случае представления саморегулируемой организации соответствующего права на основании лицензии, выданной уполномоченным государственным органом;</w:t>
      </w:r>
    </w:p>
    <w:p>
      <w:pPr>
        <w:spacing w:after="120"/>
        <w:jc w:val="both"/>
      </w:pPr>
      <w:r>
        <w:rPr>
          <w:rFonts w:ascii="Arial" w:cs="Arial" w:eastAsia="Arial" w:hAnsi="Arial"/>
          <w:sz w:val="24"/>
          <w:szCs w:val="24"/>
        </w:rPr>
        <w:t xml:space="preserve">- сведения о применении санкций к членам организации, их должностным лицам и персоналу.</w:t>
      </w:r>
    </w:p>
    <w:p>
      <w:pPr>
        <w:spacing w:after="120"/>
        <w:jc w:val="both"/>
      </w:pPr>
      <w:r>
        <w:rPr>
          <w:rFonts w:ascii="Arial" w:cs="Arial" w:eastAsia="Arial" w:hAnsi="Arial"/>
          <w:sz w:val="24"/>
          <w:szCs w:val="24"/>
        </w:rPr>
        <w:t xml:space="preserve">78. Саморегулируемая организация обязана раскрывать и другую информацию о своей деятельности в объеме и порядке,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включаемые в годовой отчет по ценным бумагам</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aacqozjuxtzpf48oyzdn">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и сокращенное наименование эмитента,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(Юридический и почтовый адрес эмитента,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(Основной вид деятельности)</w:t>
      </w:r>
    </w:p>
    <w:p>
      <w:pPr>
        <w:spacing w:after="120" w:before="120"/>
        <w:ind w:firstLine="567"/>
        <w:jc w:val="both"/>
      </w:pPr>
      <w:r>
        <w:rPr>
          <w:rFonts w:ascii="Arial" w:cs="Arial" w:eastAsia="Arial" w:hAnsi="Arial"/>
          <w:sz w:val="24"/>
          <w:szCs w:val="24"/>
        </w:rPr>
        <w:t xml:space="preserve">2. Список всех членов исполнительного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Список всех членов совета директоров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Список всех членов ревизионного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Сведения о секретаре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2"/>
        <w:gridCol w:w="1505"/>
        <w:gridCol w:w="1505"/>
        <w:gridCol w:w="2160"/>
        <w:gridCol w:w="1824"/>
        <w:gridCol w:w="1712"/>
      </w:tblGrid>
      <w:tr>
        <w:tc>
          <w:tcPr>
            <w:tcW w:type="dxa" w:w="14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секретаря общества</w:t>
            </w:r>
          </w:p>
        </w:tc>
        <w:tc>
          <w:tcPr>
            <w:tcW w:type="dxa" w:w="30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2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18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эмитента (в %)</w:t>
            </w:r>
          </w:p>
        </w:tc>
        <w:tc>
          <w:tcPr>
            <w:tcW w:type="dxa" w:w="1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Контактная информация (тел.)</w:t>
            </w:r>
          </w:p>
        </w:tc>
      </w:tr>
      <w:tr>
        <w:tc>
          <w:tcPr>
            <w:vMerge w:val="continue"/>
            <w:tcBorders>
              <w:top w:val="single" w:color="CBBF9E" w:sz="4"/>
              <w:left w:val="single" w:color="CBBF9E" w:sz="4"/>
              <w:bottom w:val="single" w:color="CBBF9E" w:sz="4"/>
              <w:right w:val="single" w:color="CBBF9E" w:sz="4"/>
            </w:tcBorders>
          </w:tcP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3"/>
        <w:gridCol w:w="5065"/>
      </w:tblGrid>
      <w:tr>
        <w:tc>
          <w:tcPr>
            <w:tcW w:type="dxa" w:w="5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Должностные лица общества</w:t>
            </w:r>
          </w:p>
        </w:tc>
        <w:tc>
          <w:tcPr>
            <w:tcW w:type="dxa" w:w="5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выплачиваемого вознаграждения и компенсаций</w:t>
            </w:r>
          </w:p>
        </w:tc>
      </w:tr>
      <w:tr>
        <w:tc>
          <w:tcPr>
            <w:tcW w:type="dxa" w:w="5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Сведения о привлечении руководителя к уголовной и административной ответственности</w:t>
      </w:r>
    </w:p>
    <w:p>
      <w:pPr>
        <w:spacing w:after="120"/>
        <w:ind w:firstLine="567"/>
        <w:jc w:val="both"/>
      </w:pPr>
      <w:r>
        <w:rPr>
          <w:rFonts w:ascii="Arial" w:cs="Arial" w:eastAsia="Arial" w:hAnsi="Arial"/>
          <w:sz w:val="24"/>
          <w:szCs w:val="24"/>
        </w:rPr>
        <w:t xml:space="preserve">Сведения о привлечении руководителя к уголовной ответственности за экономические преступления, а также о привлечении к административной ответственности за экономические правонарушения, которые на конец отчетного периода не погашены.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привлечения</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Статья, краткое описание</w:t>
            </w:r>
          </w:p>
        </w:tc>
      </w:tr>
      <w:tr>
        <w:tc>
          <w:tcPr>
            <w:tcW w:type="dxa" w:w="3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Количество владельцев ценных бумаг и работников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1"/>
        <w:gridCol w:w="2437"/>
      </w:tblGrid>
      <w:tr>
        <w:tc>
          <w:tcPr>
            <w:tcW w:type="dxa" w:w="77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владельцев ценных бумаг по состоянию на конец отчетного года</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работников эмитента на конец отчетного периода</w:t>
            </w:r>
          </w:p>
        </w:tc>
        <w:tc>
          <w:tcPr>
            <w:tcW w:type="dxa" w:w="2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Список иностранных владельцев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366"/>
        <w:gridCol w:w="900"/>
        <w:gridCol w:w="1767"/>
        <w:gridCol w:w="1761"/>
        <w:gridCol w:w="1523"/>
        <w:gridCol w:w="1107"/>
      </w:tblGrid>
      <w:tr>
        <w:tc>
          <w:tcPr>
            <w:tcW w:type="dxa" w:w="17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Список иностранных инвесторов с указанием приобретенных видов ценных бумаг</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резидентом которой является инвестор</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ценных бумаг</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ценных бумаг эмитента</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фактически оплаченная за приобретенные ими ценные бумаги эмитента</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ценных бумаг</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w:t>
            </w:r>
          </w:p>
        </w:tc>
      </w:tr>
      <w:tr>
        <w:tc>
          <w:tcPr>
            <w:tcW w:type="dxa" w:w="17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10. Сведения об аудиторе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для физического лица (фамилия, имя, отчество)</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 Сведения о регистраторе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6"/>
        <w:gridCol w:w="3186"/>
        <w:gridCol w:w="4037"/>
      </w:tblGrid>
      <w:tr>
        <w:tc>
          <w:tcPr>
            <w:tcW w:type="dxa" w:w="29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для физического лица (фамилия, имя, отчество)</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40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 либо свидетельстве (для физических лиц)</w:t>
            </w:r>
          </w:p>
        </w:tc>
      </w:tr>
      <w:tr>
        <w:tc>
          <w:tcPr>
            <w:tcW w:type="dxa" w:w="29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Сведения о депозитарии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0"/>
        <w:gridCol w:w="3321"/>
        <w:gridCol w:w="3956"/>
      </w:tblGrid>
      <w:tr>
        <w:tc>
          <w:tcPr>
            <w:tcW w:type="dxa" w:w="29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3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39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2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12-1. Сведения о депозитарии ипотечного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2"/>
        <w:gridCol w:w="3355"/>
        <w:gridCol w:w="3872"/>
      </w:tblGrid>
      <w:tr>
        <w:tc>
          <w:tcPr>
            <w:tcW w:type="dxa" w:w="29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3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3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bl>
    <w:p>
      <w:pPr>
        <w:spacing w:after="120" w:before="120"/>
        <w:ind w:firstLine="567"/>
        <w:jc w:val="both"/>
      </w:pPr>
      <w:r>
        <w:rPr>
          <w:rFonts w:ascii="Arial" w:cs="Arial" w:eastAsia="Arial" w:hAnsi="Arial"/>
          <w:sz w:val="24"/>
          <w:szCs w:val="24"/>
        </w:rPr>
        <w:t xml:space="preserve">13. Список всех владельцев ценных бумаг эмитента, которые владеют не менее 5 процентами от общего количества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517"/>
        <w:gridCol w:w="1301"/>
        <w:gridCol w:w="1301"/>
        <w:gridCol w:w="1209"/>
        <w:gridCol w:w="1077"/>
        <w:gridCol w:w="1218"/>
        <w:gridCol w:w="1427"/>
      </w:tblGrid>
      <w:tr>
        <w:tc>
          <w:tcPr>
            <w:tcW w:type="dxa" w:w="1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совершения сделки</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эмитента, государственный регистрационный номер выпуска ценных бумаг</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юридического лица или Ф.И.О. владельцев ценных бумаг - физического лица, от которого отчуждаются ценные бумаги</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 юридического лица или Ф.И.О. владельцев ценных бумаг - физического лица, которое приобретает (принимает) ценные бумаги</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номинальной стоимости сделки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по сделке</w:t>
            </w:r>
          </w:p>
        </w:tc>
        <w:tc>
          <w:tcPr>
            <w:tcW w:type="dxa" w:w="12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ценных бумаг, по совершенной сделке, в уставном капитале (в %)</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w:t>
            </w:r>
          </w:p>
          <w:p>
            <w:pPr>
              <w:jc w:val="center"/>
            </w:pPr>
            <w:r>
              <w:rPr>
                <w:rFonts w:ascii="Arial" w:cs="Arial" w:eastAsia="Arial" w:hAnsi="Arial"/>
                <w:sz w:val="24"/>
                <w:szCs w:val="24"/>
              </w:rPr>
              <w:t xml:space="preserve">- сводный приказ на депонирование;</w:t>
            </w:r>
          </w:p>
          <w:p>
            <w:pPr>
              <w:jc w:val="center"/>
            </w:pPr>
            <w:r>
              <w:rPr>
                <w:rFonts w:ascii="Arial" w:cs="Arial" w:eastAsia="Arial" w:hAnsi="Arial"/>
                <w:sz w:val="24"/>
                <w:szCs w:val="24"/>
              </w:rPr>
              <w:t xml:space="preserve">- сделка на бирже;</w:t>
            </w:r>
          </w:p>
          <w:p>
            <w:pPr>
              <w:jc w:val="center"/>
            </w:pPr>
            <w:r>
              <w:rPr>
                <w:rFonts w:ascii="Arial" w:cs="Arial" w:eastAsia="Arial" w:hAnsi="Arial"/>
                <w:sz w:val="24"/>
                <w:szCs w:val="24"/>
              </w:rPr>
              <w:t xml:space="preserve">- сводное передаточное распоряжение и др.</w:t>
            </w:r>
          </w:p>
        </w:tc>
      </w:tr>
    </w:tbl>
    <w:p>
      <w:pPr>
        <w:spacing w:after="120" w:before="120"/>
        <w:ind w:firstLine="567"/>
        <w:jc w:val="both"/>
      </w:pPr>
      <w:r>
        <w:rPr>
          <w:rFonts w:ascii="Arial" w:cs="Arial" w:eastAsia="Arial" w:hAnsi="Arial"/>
          <w:sz w:val="24"/>
          <w:szCs w:val="24"/>
        </w:rPr>
        <w:t xml:space="preserve">14. Список аффилированных лиц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4788"/>
      </w:tblGrid>
      <w:tr>
        <w:tc>
          <w:tcPr>
            <w:tcW w:type="dxa" w:w="5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r>
      <w:tr>
        <w:tc>
          <w:tcPr>
            <w:tcW w:type="dxa" w:w="5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15. Список юридических лиц, в которых данный эмитент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3"/>
        <w:gridCol w:w="4641"/>
        <w:gridCol w:w="2264"/>
      </w:tblGrid>
      <w:tr>
        <w:tc>
          <w:tcPr>
            <w:tcW w:type="dxa" w:w="3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r>
      <w:tr>
        <w:tc>
          <w:tcPr>
            <w:tcW w:type="dxa" w:w="3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16. Список филиалов и представительств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4"/>
        <w:gridCol w:w="3566"/>
        <w:gridCol w:w="4788"/>
      </w:tblGrid>
      <w:tr>
        <w:tc>
          <w:tcPr>
            <w:tcW w:type="dxa" w:w="18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35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w:t>
            </w:r>
          </w:p>
        </w:tc>
      </w:tr>
      <w:tr>
        <w:tc>
          <w:tcPr>
            <w:tcW w:type="dxa" w:w="18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17. Сведения о реорганизации эмитента, его дочерних и зависимых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4"/>
        <w:gridCol w:w="2422"/>
        <w:gridCol w:w="3992"/>
      </w:tblGrid>
      <w:tr>
        <w:tc>
          <w:tcPr>
            <w:tcW w:type="dxa" w:w="3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принятия решения о реорганизации эмитента</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реорганизации эмитента</w:t>
            </w:r>
          </w:p>
        </w:tc>
        <w:tc>
          <w:tcPr>
            <w:tcW w:type="dxa" w:w="39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принявший решение о реорганизации эмитента</w:t>
            </w:r>
          </w:p>
        </w:tc>
      </w:tr>
      <w:tr>
        <w:tc>
          <w:tcPr>
            <w:tcW w:type="dxa" w:w="37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18. Данные о финансовом положении эмитента</w:t>
      </w:r>
    </w:p>
    <w:p>
      <w:pPr>
        <w:spacing w:after="120"/>
        <w:ind w:firstLine="567"/>
        <w:jc w:val="both"/>
      </w:pPr>
      <w:r>
        <w:rPr>
          <w:rFonts w:ascii="Arial" w:cs="Arial" w:eastAsia="Arial" w:hAnsi="Arial"/>
          <w:sz w:val="24"/>
          <w:szCs w:val="24"/>
        </w:rPr>
        <w:t xml:space="preserve">1) Капитал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2"/>
        <w:gridCol w:w="1606"/>
      </w:tblGrid>
      <w:tr>
        <w:tc>
          <w:tcPr>
            <w:tcW w:type="dxa" w:w="8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уставного капитала</w:t>
            </w:r>
          </w:p>
        </w:tc>
        <w:tc>
          <w:tcPr>
            <w:tcW w:type="dxa" w:w="16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общее количество выпущенных акций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объем фактически оплаченной части уставного капитала</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количество акций эмитента, выкупленных самим эмитентом</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ценных бумаг (кроме акций), находящихся в обращении у эмитента, раздельно по видам и выпускам</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Добавочный капитал</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 оплаченный капитал</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Сведения об использовании прибыли общества, полученной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Общий размер прибыли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Уплаченные налоги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направленной на формирование резервного фонда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распределяемой между владельцами ЦБ (дивиденд, доход)</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дивиденда на одну простую и привилегированную акцию</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Доходы эмитента по ценным бумагам (кроме акций), начисленные в отчетном году по каждому виду ценных бумаг раздельно</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направления использования прибыли</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Данные об использовании резервного и других специальных фондов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8"/>
        <w:gridCol w:w="3320"/>
        <w:gridCol w:w="3680"/>
      </w:tblGrid>
      <w:tr>
        <w:tc>
          <w:tcPr>
            <w:tcW w:type="dxa" w:w="3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Резервный фонд</w:t>
            </w:r>
          </w:p>
        </w:tc>
        <w:tc>
          <w:tcPr>
            <w:tcW w:type="dxa" w:w="33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специальные фонды</w:t>
            </w:r>
          </w:p>
        </w:tc>
        <w:tc>
          <w:tcPr>
            <w:tcW w:type="dxa" w:w="36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Использование резервного и других специальных фондов</w:t>
            </w:r>
          </w:p>
        </w:tc>
      </w:tr>
      <w:tr>
        <w:tc>
          <w:tcPr>
            <w:tcW w:type="dxa" w:w="3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Сведения о направлениях инвестирования средств, привлеченных в результате выпуска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5"/>
        <w:gridCol w:w="2573"/>
      </w:tblGrid>
      <w:tr>
        <w:tc>
          <w:tcPr>
            <w:tcW w:type="dxa" w:w="7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инвестированных средств</w:t>
            </w:r>
          </w:p>
        </w:tc>
        <w:tc>
          <w:tcPr>
            <w:tcW w:type="dxa" w:w="25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Направления инвестирования</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К годовому отчету прилагаются:</w:t>
      </w:r>
    </w:p>
    <w:p>
      <w:pPr>
        <w:spacing w:after="60"/>
        <w:ind w:firstLine="567"/>
        <w:jc w:val="both"/>
      </w:pPr>
      <w:r>
        <w:rPr>
          <w:rFonts w:ascii="Arial" w:cs="Arial" w:eastAsia="Arial" w:hAnsi="Arial"/>
          <w:sz w:val="24"/>
          <w:szCs w:val="24"/>
        </w:rPr>
        <w:t xml:space="preserve">- бухгалтерский баланс, отчет о прибылях и убытках, отчет о движении денежных средств, отчет об изменении в капитале, примечания, содержащие свод значительных элементов учетной политики и прочие пояснительные записки;</w:t>
      </w:r>
    </w:p>
    <w:p>
      <w:pPr>
        <w:spacing w:after="60"/>
        <w:ind w:firstLine="567"/>
        <w:jc w:val="both"/>
      </w:pPr>
      <w:r>
        <w:rPr>
          <w:rFonts w:ascii="Arial" w:cs="Arial" w:eastAsia="Arial" w:hAnsi="Arial"/>
          <w:sz w:val="24"/>
          <w:szCs w:val="24"/>
        </w:rPr>
        <w:t xml:space="preserve">- аудиторское заключение о результатах проверки финансовой отчетности эмитента в отчетном году для эмитентов, обязанных в соответствии с законодательством Кыргызской Республики осуществлять аудит;</w:t>
      </w:r>
    </w:p>
    <w:p>
      <w:pPr>
        <w:spacing w:after="60"/>
        <w:ind w:firstLine="567"/>
        <w:jc w:val="both"/>
      </w:pPr>
      <w:r>
        <w:rPr>
          <w:rFonts w:ascii="Arial" w:cs="Arial" w:eastAsia="Arial" w:hAnsi="Arial"/>
          <w:sz w:val="24"/>
          <w:szCs w:val="24"/>
        </w:rPr>
        <w:t xml:space="preserve">- решения годового собрания владельцев ценных бумаг/участников эмитента, а также протокол счетной комиссии;</w:t>
      </w:r>
    </w:p>
    <w:p>
      <w:pPr>
        <w:spacing w:after="60"/>
        <w:ind w:firstLine="567"/>
        <w:jc w:val="both"/>
      </w:pPr>
      <w:r>
        <w:rPr>
          <w:rFonts w:ascii="Arial" w:cs="Arial" w:eastAsia="Arial" w:hAnsi="Arial"/>
          <w:sz w:val="24"/>
          <w:szCs w:val="24"/>
        </w:rPr>
        <w:t xml:space="preserve">- краткое описание практики корпоративного управления эмитента, включая краткое описание практики, которая применялась или изменялась в течение отчетного периода.</w:t>
      </w:r>
    </w:p>
    <w:p>
      <w:pPr>
        <w:spacing w:after="60"/>
        <w:ind w:firstLine="567"/>
        <w:jc w:val="both"/>
      </w:pPr>
      <w:r>
        <w:rPr>
          <w:rFonts w:ascii="Arial" w:cs="Arial" w:eastAsia="Arial" w:hAnsi="Arial"/>
          <w:sz w:val="24"/>
          <w:szCs w:val="24"/>
        </w:rPr>
        <w:t xml:space="preserve">19. Информация об общих собраниях владельцев ценных бумаг эмитента, проведенных в отчетном периоде:</w:t>
      </w:r>
    </w:p>
    <w:p>
      <w:pPr>
        <w:spacing w:after="120"/>
        <w:ind w:firstLine="567"/>
        <w:jc w:val="both"/>
      </w:pPr>
      <w:r>
        <w:rPr>
          <w:rFonts w:ascii="Arial" w:cs="Arial" w:eastAsia="Arial" w:hAnsi="Arial"/>
          <w:sz w:val="24"/>
          <w:szCs w:val="24"/>
        </w:rPr>
        <w:t xml:space="preserve">1) Общие собрания акционеров, проведенные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3213"/>
        <w:gridCol w:w="2003"/>
        <w:gridCol w:w="884"/>
        <w:gridCol w:w="2429"/>
      </w:tblGrid>
      <w:tr>
        <w:tc>
          <w:tcPr>
            <w:tcW w:type="dxa" w:w="16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проведения общего собрания владельцев ценных бумаг</w:t>
            </w:r>
          </w:p>
        </w:tc>
        <w:tc>
          <w:tcPr>
            <w:tcW w:type="dxa" w:w="3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публикации сообщения о проведении общего собрания акционеров и наименование печатного издания, в котором было опубликовано сообщение о проведении собрания (прилагается копия опубликованного сообщения)</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Информация о рассылке персональных уведомлений о проведении общего собрания</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Кворум</w:t>
            </w:r>
          </w:p>
        </w:tc>
        <w:tc>
          <w:tcPr>
            <w:tcW w:type="dxa" w:w="24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представления в уполномоченный государственный орган протокола собрания и отчета счетной комиссии</w:t>
            </w:r>
          </w:p>
        </w:tc>
      </w:tr>
      <w:tr>
        <w:tc>
          <w:tcPr>
            <w:tcW w:type="dxa" w:w="16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К годовому отчету прилагаются все протоколы общих собраний владельцев ценных бумаг/участников в отчетном году и отчеты счетной комиссии этих собраний, а также копия публикации о созыве общего собрания, если они ранее не были представлены в уполномоченный государственный орган.</w:t>
      </w:r>
    </w:p>
    <w:p>
      <w:pPr>
        <w:spacing w:after="120"/>
        <w:ind w:firstLine="567"/>
        <w:jc w:val="both"/>
      </w:pPr>
      <w:r>
        <w:rPr>
          <w:rFonts w:ascii="Arial" w:cs="Arial" w:eastAsia="Arial" w:hAnsi="Arial"/>
          <w:sz w:val="24"/>
          <w:szCs w:val="24"/>
        </w:rPr>
        <w:t xml:space="preserve">20. Информация о существенных фактах (далее факт), затрагивающих деятельность эмитента ценных бумаг в отчетном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3"/>
        <w:gridCol w:w="1872"/>
        <w:gridCol w:w="3075"/>
        <w:gridCol w:w="3297"/>
      </w:tblGrid>
      <w:tr>
        <w:tc>
          <w:tcPr>
            <w:tcW w:type="dxa" w:w="19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факта</w:t>
            </w:r>
          </w:p>
        </w:tc>
        <w:tc>
          <w:tcPr>
            <w:tcW w:type="dxa" w:w="1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появления факта</w:t>
            </w:r>
          </w:p>
        </w:tc>
        <w:tc>
          <w:tcPr>
            <w:tcW w:type="dxa" w:w="3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Влияние факта на деятельность эмитента</w:t>
            </w:r>
          </w:p>
        </w:tc>
        <w:tc>
          <w:tcPr>
            <w:tcW w:type="dxa" w:w="32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форма раскрытия информации о факте</w:t>
            </w:r>
          </w:p>
        </w:tc>
      </w:tr>
      <w:tr>
        <w:tc>
          <w:tcPr>
            <w:tcW w:type="dxa" w:w="19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21. Информация обо всех выпусках ценных бумаг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1311"/>
        <w:gridCol w:w="1138"/>
        <w:gridCol w:w="1054"/>
        <w:gridCol w:w="889"/>
        <w:gridCol w:w="1056"/>
        <w:gridCol w:w="2224"/>
        <w:gridCol w:w="1587"/>
      </w:tblGrid>
      <w:tr>
        <w:tc>
          <w:tcPr>
            <w:tcW w:type="dxa" w:w="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ценной бумаги</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сумма, на которую выпущен данный вид ценной бумаги</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Общее количество выпущенных ценных бумаг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выпуска ценных бумаг</w:t>
            </w:r>
          </w:p>
        </w:tc>
        <w:tc>
          <w:tcPr>
            <w:tcW w:type="dxa" w:w="8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размещения</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ценных бумаг</w:t>
            </w:r>
          </w:p>
        </w:tc>
        <w:tc>
          <w:tcPr>
            <w:tcW w:type="dxa" w:w="2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Профессиональные участники рынка ценных бумаг, оказывающие услуги в размещении выпусков данных ценных бумаг (номер лицензии юридический адрес)</w:t>
            </w:r>
          </w:p>
        </w:tc>
        <w:tc>
          <w:tcPr>
            <w:tcW w:type="dxa" w:w="15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владельцев ценных бумаг на конец отчетного периода</w:t>
            </w:r>
          </w:p>
        </w:tc>
      </w:tr>
    </w:tbl>
    <w:p>
      <w:pPr>
        <w:spacing w:after="60" w:before="120"/>
        <w:ind w:firstLine="567"/>
        <w:jc w:val="both"/>
      </w:pPr>
      <w:r>
        <w:rPr>
          <w:rFonts w:ascii="Arial" w:cs="Arial" w:eastAsia="Arial" w:hAnsi="Arial"/>
          <w:sz w:val="24"/>
          <w:szCs w:val="24"/>
        </w:rPr>
        <w:t xml:space="preserve">22. Информация об условиях и характере совершенной обществом сделки с заинтересованными лицами:</w:t>
      </w:r>
    </w:p>
    <w:p>
      <w:pPr>
        <w:spacing w:after="60"/>
        <w:ind w:firstLine="567"/>
        <w:jc w:val="both"/>
      </w:pPr>
      <w:r>
        <w:rPr>
          <w:rFonts w:ascii="Arial" w:cs="Arial" w:eastAsia="Arial" w:hAnsi="Arial"/>
          <w:sz w:val="24"/>
          <w:szCs w:val="24"/>
        </w:rPr>
        <w:t xml:space="preserve">1) дата совершения сделки;</w:t>
      </w:r>
    </w:p>
    <w:p>
      <w:pPr>
        <w:spacing w:after="60"/>
        <w:ind w:firstLine="567"/>
        <w:jc w:val="both"/>
      </w:pPr>
      <w:r>
        <w:rPr>
          <w:rFonts w:ascii="Arial" w:cs="Arial" w:eastAsia="Arial" w:hAnsi="Arial"/>
          <w:sz w:val="24"/>
          <w:szCs w:val="24"/>
        </w:rPr>
        <w:t xml:space="preserve">2) информация о влиянии сделки на деятельность эмитента (финансовый результат, дополнительные инвестиции и т.д.);</w:t>
      </w:r>
    </w:p>
    <w:p>
      <w:pPr>
        <w:spacing w:after="60"/>
        <w:ind w:firstLine="567"/>
        <w:jc w:val="both"/>
      </w:pPr>
      <w:r>
        <w:rPr>
          <w:rFonts w:ascii="Arial" w:cs="Arial" w:eastAsia="Arial" w:hAnsi="Arial"/>
          <w:sz w:val="24"/>
          <w:szCs w:val="24"/>
        </w:rPr>
        <w:t xml:space="preserve">3) информация об условиях и характере заключенной сделки (предмет, условия, цена сделки и т.д.);</w:t>
      </w:r>
    </w:p>
    <w:p>
      <w:pPr>
        <w:spacing w:after="60"/>
        <w:ind w:firstLine="567"/>
        <w:jc w:val="both"/>
      </w:pPr>
      <w:r>
        <w:rPr>
          <w:rFonts w:ascii="Arial" w:cs="Arial" w:eastAsia="Arial" w:hAnsi="Arial"/>
          <w:sz w:val="24"/>
          <w:szCs w:val="24"/>
        </w:rPr>
        <w:t xml:space="preserve">4) степень имеющейся заинтересованности (лица, заинтересованные в сделке);</w:t>
      </w:r>
    </w:p>
    <w:p>
      <w:pPr>
        <w:spacing w:after="60"/>
        <w:ind w:firstLine="567"/>
        <w:jc w:val="both"/>
      </w:pPr>
      <w:r>
        <w:rPr>
          <w:rFonts w:ascii="Arial" w:cs="Arial" w:eastAsia="Arial" w:hAnsi="Arial"/>
          <w:sz w:val="24"/>
          <w:szCs w:val="24"/>
        </w:rPr>
        <w:t xml:space="preserve">5) дата опубликования информации о сделке в средствах массовой информации (прилагается копия опубликованного сообщения);</w:t>
      </w:r>
    </w:p>
    <w:p>
      <w:pPr>
        <w:spacing w:after="60"/>
        <w:ind w:firstLine="567"/>
        <w:jc w:val="both"/>
      </w:pPr>
      <w:r>
        <w:rPr>
          <w:rFonts w:ascii="Arial" w:cs="Arial" w:eastAsia="Arial" w:hAnsi="Arial"/>
          <w:sz w:val="24"/>
          <w:szCs w:val="24"/>
        </w:rPr>
        <w:t xml:space="preserve">6) дата раскрытия информации о сделке в уполномоченный орган, регулирующий рынок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включаемые в ежеквартальный отчет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t_85td5felrwnzat5pt4d">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 </w:t>
      </w:r>
      <w:hyperlink w:history="1" r:id="rIdtfasmvm1abaedyw-wdunf">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и сокращенное наименование эмитента,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(Юридический и почтовый адрес эмитента,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(Основной вид деятельности)</w:t>
      </w:r>
    </w:p>
    <w:p>
      <w:pPr>
        <w:spacing w:after="60"/>
        <w:ind w:firstLine="567"/>
        <w:jc w:val="both"/>
      </w:pPr>
      <w:r>
        <w:rPr>
          <w:rFonts w:ascii="Arial" w:cs="Arial" w:eastAsia="Arial" w:hAnsi="Arial"/>
          <w:sz w:val="24"/>
          <w:szCs w:val="24"/>
        </w:rPr>
        <w:t xml:space="preserve">2. Структура органов управления эмитента:</w:t>
      </w:r>
    </w:p>
    <w:p>
      <w:pPr>
        <w:spacing w:after="120"/>
        <w:ind w:firstLine="567"/>
        <w:jc w:val="both"/>
      </w:pPr>
      <w:r>
        <w:rPr>
          <w:rFonts w:ascii="Arial" w:cs="Arial" w:eastAsia="Arial" w:hAnsi="Arial"/>
          <w:sz w:val="24"/>
          <w:szCs w:val="24"/>
        </w:rPr>
        <w:t xml:space="preserve">1) Список всех членов исполнительного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7"/>
        <w:gridCol w:w="1040"/>
        <w:gridCol w:w="1040"/>
        <w:gridCol w:w="1364"/>
        <w:gridCol w:w="859"/>
        <w:gridCol w:w="1095"/>
        <w:gridCol w:w="1150"/>
        <w:gridCol w:w="1010"/>
        <w:gridCol w:w="1191"/>
      </w:tblGrid>
      <w:tr>
        <w:tc>
          <w:tcPr>
            <w:tcW w:type="dxa" w:w="14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исполнительного органа</w:t>
            </w:r>
          </w:p>
        </w:tc>
        <w:tc>
          <w:tcPr>
            <w:tcW w:type="dxa" w:w="20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в настоящее время и за последние 5 лет</w:t>
            </w:r>
          </w:p>
        </w:tc>
        <w:tc>
          <w:tcPr>
            <w:tcW w:type="dxa" w:w="11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Список всех членов Совета директоров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в настоящее время и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Список всех членов </w:t>
      </w:r>
      <w:r>
        <w:rPr>
          <w:rFonts w:ascii="Arial" w:cs="Arial" w:eastAsia="Arial" w:hAnsi="Arial"/>
          <w:sz w:val="24"/>
          <w:szCs w:val="24"/>
        </w:rPr>
        <w:t xml:space="preserve">ревизионного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3"/>
        <w:gridCol w:w="1070"/>
        <w:gridCol w:w="1070"/>
        <w:gridCol w:w="1403"/>
        <w:gridCol w:w="884"/>
        <w:gridCol w:w="1126"/>
        <w:gridCol w:w="1183"/>
        <w:gridCol w:w="1036"/>
        <w:gridCol w:w="1224"/>
      </w:tblGrid>
      <w:tr>
        <w:tc>
          <w:tcPr>
            <w:tcW w:type="dxa" w:w="11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контрольного органа</w:t>
            </w:r>
          </w:p>
        </w:tc>
        <w:tc>
          <w:tcPr>
            <w:tcW w:type="dxa" w:w="21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в настоящее время и за последние 5 лет</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1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2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Сведения о Секретаре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6"/>
        <w:gridCol w:w="1521"/>
        <w:gridCol w:w="1521"/>
        <w:gridCol w:w="2160"/>
        <w:gridCol w:w="1745"/>
        <w:gridCol w:w="1736"/>
      </w:tblGrid>
      <w:tr>
        <w:tc>
          <w:tcPr>
            <w:tcW w:type="dxa" w:w="149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секретаря общества</w:t>
            </w:r>
          </w:p>
        </w:tc>
        <w:tc>
          <w:tcPr>
            <w:tcW w:type="dxa" w:w="30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2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акций</w:t>
            </w:r>
          </w:p>
        </w:tc>
        <w:tc>
          <w:tcPr>
            <w:tcW w:type="dxa" w:w="1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эмитента (в %)</w:t>
            </w:r>
          </w:p>
        </w:tc>
        <w:tc>
          <w:tcPr>
            <w:tcW w:type="dxa" w:w="17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Контактная информация (тел.)</w:t>
            </w:r>
          </w:p>
        </w:tc>
      </w:tr>
      <w:tr>
        <w:tc>
          <w:tcPr>
            <w:vMerge w:val="continue"/>
            <w:tcBorders>
              <w:top w:val="single" w:color="CBBF9E" w:sz="4"/>
              <w:left w:val="single" w:color="CBBF9E" w:sz="4"/>
              <w:bottom w:val="single" w:color="CBBF9E" w:sz="4"/>
              <w:right w:val="single" w:color="CBBF9E" w:sz="4"/>
            </w:tcBorders>
          </w:tcP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4788"/>
      </w:tblGrid>
      <w:tr>
        <w:tc>
          <w:tcPr>
            <w:tcW w:type="dxa" w:w="5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Должностные лица общества</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выплачиваемого вознаграждения и компенсаций</w:t>
            </w:r>
          </w:p>
        </w:tc>
      </w:tr>
      <w:tr>
        <w:tc>
          <w:tcPr>
            <w:tcW w:type="dxa" w:w="5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Доля государства в уставном капитале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4788"/>
      </w:tblGrid>
      <w:tr>
        <w:tc>
          <w:tcPr>
            <w:tcW w:type="dxa" w:w="5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Уставной капитал (всего)</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государства</w:t>
            </w:r>
          </w:p>
        </w:tc>
      </w:tr>
      <w:tr>
        <w:tc>
          <w:tcPr>
            <w:tcW w:type="dxa" w:w="5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случае отсутствия государственной доли этот пункт не заполняется.</w:t>
      </w:r>
    </w:p>
    <w:p>
      <w:pPr>
        <w:spacing w:after="120" w:before="120"/>
        <w:ind w:firstLine="567"/>
        <w:jc w:val="both"/>
      </w:pPr>
      <w:r>
        <w:rPr>
          <w:rFonts w:ascii="Arial" w:cs="Arial" w:eastAsia="Arial" w:hAnsi="Arial"/>
          <w:sz w:val="24"/>
          <w:szCs w:val="24"/>
        </w:rPr>
        <w:t xml:space="preserve">3. Количество владельцев ценных бумаг и работников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95"/>
        <w:gridCol w:w="1883"/>
      </w:tblGrid>
      <w:tr>
        <w:tc>
          <w:tcPr>
            <w:tcW w:type="dxa" w:w="82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владельцев ценных бумаг по состоянию на конец отчетного квартала</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работников эмитента на конец отчетного квартала</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Список всех владельцев ценных бумаг эмитента, которые владеют не менее чем 5 процентами от общего количества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517"/>
        <w:gridCol w:w="1301"/>
        <w:gridCol w:w="1301"/>
        <w:gridCol w:w="1209"/>
        <w:gridCol w:w="1077"/>
        <w:gridCol w:w="1218"/>
        <w:gridCol w:w="1427"/>
      </w:tblGrid>
      <w:tr>
        <w:tc>
          <w:tcPr>
            <w:tcW w:type="dxa" w:w="1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совершения сделки</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эмитента, государственный регистрационный номер выпуска ценных бумаг</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 юридического лица или Ф.И.О. владельцев ценных бумаг - физического лица, от которого отчуждаются ценные бумаги</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 юридического лица или Ф.И.О. владельцев ценных бумаг - физического лица, которое приобретает (принимает) ценные бумаги</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номинальной стоимости сделки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по сделке</w:t>
            </w:r>
          </w:p>
        </w:tc>
        <w:tc>
          <w:tcPr>
            <w:tcW w:type="dxa" w:w="12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ценных бумаг, по совершенной сделке, в уставном капитале (в %)</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w:t>
            </w:r>
          </w:p>
          <w:p>
            <w:pPr>
              <w:jc w:val="center"/>
            </w:pPr>
            <w:r>
              <w:rPr>
                <w:rFonts w:ascii="Arial" w:cs="Arial" w:eastAsia="Arial" w:hAnsi="Arial"/>
                <w:sz w:val="24"/>
                <w:szCs w:val="24"/>
              </w:rPr>
              <w:t xml:space="preserve">- сводный приказ на депонирование;</w:t>
            </w:r>
          </w:p>
          <w:p>
            <w:pPr>
              <w:jc w:val="center"/>
            </w:pPr>
            <w:r>
              <w:rPr>
                <w:rFonts w:ascii="Arial" w:cs="Arial" w:eastAsia="Arial" w:hAnsi="Arial"/>
                <w:sz w:val="24"/>
                <w:szCs w:val="24"/>
              </w:rPr>
              <w:t xml:space="preserve">- сделка на бирже;</w:t>
            </w:r>
          </w:p>
          <w:p>
            <w:pPr>
              <w:jc w:val="center"/>
            </w:pPr>
            <w:r>
              <w:rPr>
                <w:rFonts w:ascii="Arial" w:cs="Arial" w:eastAsia="Arial" w:hAnsi="Arial"/>
                <w:sz w:val="24"/>
                <w:szCs w:val="24"/>
              </w:rPr>
              <w:t xml:space="preserve">- сводное передаточное распоряжение и др.</w:t>
            </w:r>
          </w:p>
        </w:tc>
      </w:tr>
    </w:tbl>
    <w:p>
      <w:pPr>
        <w:spacing w:after="120" w:before="120"/>
        <w:ind w:firstLine="567"/>
        <w:jc w:val="both"/>
      </w:pPr>
      <w:r>
        <w:rPr>
          <w:rFonts w:ascii="Arial" w:cs="Arial" w:eastAsia="Arial" w:hAnsi="Arial"/>
          <w:sz w:val="24"/>
          <w:szCs w:val="24"/>
        </w:rPr>
        <w:t xml:space="preserve">5. Сведения об аудиторе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Сведения о регистраторе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Сведения о депозитарии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7-1. Сведения о депозитарии ипотечного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2"/>
        <w:gridCol w:w="3355"/>
        <w:gridCol w:w="3872"/>
      </w:tblGrid>
      <w:tr>
        <w:tc>
          <w:tcPr>
            <w:tcW w:type="dxa" w:w="29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3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bl>
    <w:p>
      <w:pPr>
        <w:spacing w:after="120" w:before="120"/>
        <w:ind w:firstLine="567"/>
        <w:jc w:val="both"/>
      </w:pPr>
      <w:r>
        <w:rPr>
          <w:rFonts w:ascii="Arial" w:cs="Arial" w:eastAsia="Arial" w:hAnsi="Arial"/>
          <w:sz w:val="24"/>
          <w:szCs w:val="24"/>
        </w:rPr>
        <w:t xml:space="preserve">8. Список юридических лиц, в которых данный эмитент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4757"/>
        <w:gridCol w:w="2080"/>
      </w:tblGrid>
      <w:tr>
        <w:tc>
          <w:tcPr>
            <w:tcW w:type="dxa" w:w="3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7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w:t>
            </w:r>
          </w:p>
        </w:tc>
      </w:tr>
      <w:tr>
        <w:tc>
          <w:tcPr>
            <w:tcW w:type="dxa" w:w="3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Список филиалов и представительств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1"/>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Сведения, перечисленные в подпунктах 1-9, предоставляются в составе ежеквартального отчета за квартал, в течение которого было принято решение о выпуске ценных бумаг, и при изменении данных, содержащихся в этих пунктах.</w:t>
      </w:r>
    </w:p>
    <w:p>
      <w:pPr>
        <w:spacing w:after="60"/>
        <w:ind w:firstLine="567"/>
        <w:jc w:val="both"/>
      </w:pPr>
      <w:r>
        <w:rPr>
          <w:rFonts w:ascii="Arial" w:cs="Arial" w:eastAsia="Arial" w:hAnsi="Arial"/>
          <w:sz w:val="24"/>
          <w:szCs w:val="24"/>
        </w:rPr>
        <w:t xml:space="preserve">10. Сведения об изменениях в наименовании, организационно-правовой форме, месте расположения эмитента, а также его дочерних обществ, в отчетном квартале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120" w:before="120"/>
        <w:ind w:firstLine="567"/>
        <w:jc w:val="both"/>
      </w:pPr>
      <w:r>
        <w:rPr>
          <w:rFonts w:ascii="Arial" w:cs="Arial" w:eastAsia="Arial" w:hAnsi="Arial"/>
          <w:sz w:val="24"/>
          <w:szCs w:val="24"/>
        </w:rPr>
        <w:t xml:space="preserve">11. Информация о существенных фактах (далее факт), затрагивающих деятельность эмитента ценных бумаг в отчетном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3"/>
        <w:gridCol w:w="1872"/>
        <w:gridCol w:w="3075"/>
        <w:gridCol w:w="3297"/>
      </w:tblGrid>
      <w:tr>
        <w:tc>
          <w:tcPr>
            <w:tcW w:type="dxa" w:w="19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факта</w:t>
            </w:r>
          </w:p>
        </w:tc>
        <w:tc>
          <w:tcPr>
            <w:tcW w:type="dxa" w:w="1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появления факта</w:t>
            </w:r>
          </w:p>
        </w:tc>
        <w:tc>
          <w:tcPr>
            <w:tcW w:type="dxa" w:w="3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Влияние факта на деятельность эмитента</w:t>
            </w:r>
          </w:p>
        </w:tc>
        <w:tc>
          <w:tcPr>
            <w:tcW w:type="dxa" w:w="32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форма раскрытия информации о факте</w:t>
            </w:r>
          </w:p>
        </w:tc>
      </w:tr>
      <w:tr>
        <w:tc>
          <w:tcPr>
            <w:tcW w:type="dxa" w:w="19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Финансовая отчетность эмитента за отчетный квартал</w:t>
      </w:r>
    </w:p>
    <w:p>
      <w:pPr>
        <w:spacing w:after="60"/>
        <w:ind w:firstLine="567"/>
        <w:jc w:val="both"/>
      </w:pPr>
      <w:r>
        <w:rPr>
          <w:rFonts w:ascii="Arial" w:cs="Arial" w:eastAsia="Arial" w:hAnsi="Arial"/>
          <w:sz w:val="24"/>
          <w:szCs w:val="24"/>
        </w:rPr>
        <w:t xml:space="preserve">Предоставляется бухгалтерский баланс, отчет о прибылях и убытках, отчет об изменении капитала на конец отчетного квартала. Эти документы не предоставляются в отчете за 4 квартал.</w:t>
      </w:r>
    </w:p>
    <w:p>
      <w:pPr>
        <w:spacing w:after="120" w:before="120"/>
        <w:ind w:firstLine="567"/>
        <w:jc w:val="both"/>
      </w:pPr>
      <w:r>
        <w:rPr>
          <w:rFonts w:ascii="Arial" w:cs="Arial" w:eastAsia="Arial" w:hAnsi="Arial"/>
          <w:sz w:val="24"/>
          <w:szCs w:val="24"/>
        </w:rPr>
        <w:t xml:space="preserve">13. Сведения о формировании и использовании средств резервного и других специальных фондов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2"/>
        <w:gridCol w:w="2439"/>
        <w:gridCol w:w="2789"/>
        <w:gridCol w:w="2437"/>
      </w:tblGrid>
      <w:tr>
        <w:tc>
          <w:tcPr>
            <w:tcW w:type="dxa" w:w="25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Размер резервного фонда на конец отчетного квартала</w:t>
            </w:r>
          </w:p>
        </w:tc>
        <w:tc>
          <w:tcPr>
            <w:tcW w:type="dxa" w:w="24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поступлений в фонд в отчетном квартале</w:t>
            </w:r>
          </w:p>
        </w:tc>
        <w:tc>
          <w:tcPr>
            <w:tcW w:type="dxa" w:w="27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использованных средств в отчетном квартале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Направления использования средств фонда</w:t>
            </w:r>
          </w:p>
        </w:tc>
      </w:tr>
      <w:tr>
        <w:tc>
          <w:tcPr>
            <w:tcW w:type="dxa" w:w="2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Такие же данные подаются по другим специальным фондам.</w:t>
      </w:r>
    </w:p>
    <w:p>
      <w:pPr>
        <w:spacing w:after="120" w:before="120"/>
        <w:ind w:firstLine="567"/>
        <w:jc w:val="both"/>
      </w:pPr>
      <w:r>
        <w:rPr>
          <w:rFonts w:ascii="Arial" w:cs="Arial" w:eastAsia="Arial" w:hAnsi="Arial"/>
          <w:sz w:val="24"/>
          <w:szCs w:val="24"/>
        </w:rPr>
        <w:t xml:space="preserve">14. Сведения о направлении средств, привлеченных эмитентом в результате размещения эмиссионных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привлеченных средств</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 использованные по каждому из направлений</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Направления использования привлеченных средств</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15. Заемные средства, полученные эмитентом и его дочерними обществами в отчетном квартале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6"/>
        <w:gridCol w:w="5512"/>
      </w:tblGrid>
      <w:tr>
        <w:tc>
          <w:tcPr>
            <w:tcW w:type="dxa" w:w="4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Заемные средства, полученные эмитентом в отчетном квартале</w:t>
            </w:r>
          </w:p>
        </w:tc>
        <w:tc>
          <w:tcPr>
            <w:tcW w:type="dxa" w:w="55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Заемные средства, полученные дочерними обществами в отчетном квартале</w:t>
            </w:r>
          </w:p>
        </w:tc>
      </w:tr>
      <w:tr>
        <w:tc>
          <w:tcPr>
            <w:tcW w:type="dxa" w:w="4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16. Дебиторская, кредиторская задолженность эмитента и его дочерних обществ на конец отчетного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за отчетный квартал</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за отчетный квартал</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17. Финансовые вложения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вложения эмитента за отчетный квартал</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вложения эмитента за отчетный квартал</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18. Данные о ценных бумагах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эмитента</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ценных бумаг</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размещения ценных бумаг</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ценных бумаг, выкупленных эмитентом</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19. Состояние ценных бумаг эмитента по выпускам в отчетном квартале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8"/>
        <w:gridCol w:w="3456"/>
        <w:gridCol w:w="3544"/>
      </w:tblGrid>
      <w:tr>
        <w:tc>
          <w:tcPr>
            <w:tcW w:type="dxa" w:w="3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ценных бумаг</w:t>
            </w:r>
          </w:p>
        </w:tc>
        <w:tc>
          <w:tcPr>
            <w:tcW w:type="dxa" w:w="34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Выпуски ценных бумаг эмитента</w:t>
            </w:r>
          </w:p>
        </w:tc>
        <w:tc>
          <w:tcPr>
            <w:tcW w:type="dxa" w:w="35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Состояние выпуска ценных бумаг(*)</w:t>
            </w:r>
          </w:p>
        </w:tc>
      </w:tr>
      <w:tr>
        <w:tc>
          <w:tcPr>
            <w:tcW w:type="dxa" w:w="3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 Указывается, в каком состоянии находится выпуск ценных бумаг (размещаются, размещение приостановлено, размещение завершено, часть выпуска ценных бумаг погашена (аннулирована), все ценные бумаги выпуска погашены (аннулированы), государственная регистрация выпуска ценных бумаг аннулирована (выпуск ценных бумаг признан несостоявшимся или недействительным).</w:t>
      </w:r>
    </w:p>
    <w:p>
      <w:pPr>
        <w:spacing w:after="60"/>
        <w:ind w:firstLine="567"/>
        <w:jc w:val="both"/>
      </w:pPr>
      <w:r>
        <w:rPr>
          <w:rFonts w:ascii="Arial" w:cs="Arial" w:eastAsia="Arial" w:hAnsi="Arial"/>
          <w:sz w:val="24"/>
          <w:szCs w:val="24"/>
        </w:rPr>
        <w:t xml:space="preserve">Если выпуск ценных бумаг находится в состоянии размещения, указать количество фактически размещенных ценных бумаг выпуска и объем поступлений за эти ценные бумаги.</w:t>
      </w:r>
    </w:p>
    <w:p>
      <w:pPr>
        <w:spacing w:after="120" w:before="120"/>
        <w:ind w:firstLine="567"/>
        <w:jc w:val="both"/>
      </w:pPr>
      <w:r>
        <w:rPr>
          <w:rFonts w:ascii="Arial" w:cs="Arial" w:eastAsia="Arial" w:hAnsi="Arial"/>
          <w:sz w:val="24"/>
          <w:szCs w:val="24"/>
        </w:rPr>
        <w:t xml:space="preserve">20. Рыночная информация о ценных бумагах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3"/>
        <w:gridCol w:w="5065"/>
      </w:tblGrid>
      <w:tr>
        <w:tc>
          <w:tcPr>
            <w:tcW w:type="dxa" w:w="5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Места, где осуществляется торговля ценными бумагами выпуска</w:t>
            </w:r>
          </w:p>
        </w:tc>
        <w:tc>
          <w:tcPr>
            <w:tcW w:type="dxa" w:w="5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Средняя рыночная цена ценной бумаги</w:t>
            </w:r>
          </w:p>
        </w:tc>
      </w:tr>
      <w:tr>
        <w:tc>
          <w:tcPr>
            <w:tcW w:type="dxa" w:w="5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21. Доходы по ценным бумагам эмитента</w:t>
      </w:r>
    </w:p>
    <w:p>
      <w:pPr>
        <w:spacing w:after="120"/>
        <w:ind w:firstLine="567"/>
        <w:jc w:val="both"/>
      </w:pPr>
      <w:r>
        <w:rPr>
          <w:rFonts w:ascii="Arial" w:cs="Arial" w:eastAsia="Arial" w:hAnsi="Arial"/>
          <w:sz w:val="24"/>
          <w:szCs w:val="24"/>
        </w:rPr>
        <w:t xml:space="preserve">Эта информация представляется при начислении доходов по ценным бумагам эмитента в отчетном квартале или в квартале, предшествующем отчетному.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9"/>
        <w:gridCol w:w="3595"/>
        <w:gridCol w:w="3544"/>
      </w:tblGrid>
      <w:tr>
        <w:tc>
          <w:tcPr>
            <w:tcW w:type="dxa" w:w="3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ценной бумаги</w:t>
            </w:r>
          </w:p>
        </w:tc>
        <w:tc>
          <w:tcPr>
            <w:tcW w:type="dxa" w:w="3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доходов, начисленных на одну ценную бумагу</w:t>
            </w:r>
          </w:p>
        </w:tc>
        <w:tc>
          <w:tcPr>
            <w:tcW w:type="dxa" w:w="35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сумма ценных бумаг, начисленных по ценным бумагам данного вида</w:t>
            </w:r>
          </w:p>
        </w:tc>
      </w:tr>
      <w:tr>
        <w:tc>
          <w:tcPr>
            <w:tcW w:type="dxa" w:w="3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Информация об условиях и характере сделки, совершенной обществом с заинтересованными лицами:</w:t>
      </w:r>
    </w:p>
    <w:p>
      <w:pPr>
        <w:spacing w:after="60"/>
        <w:ind w:firstLine="567"/>
        <w:jc w:val="both"/>
      </w:pPr>
      <w:r>
        <w:rPr>
          <w:rFonts w:ascii="Arial" w:cs="Arial" w:eastAsia="Arial" w:hAnsi="Arial"/>
          <w:sz w:val="24"/>
          <w:szCs w:val="24"/>
        </w:rPr>
        <w:t xml:space="preserve">1) дата совершения сделки;</w:t>
      </w:r>
    </w:p>
    <w:p>
      <w:pPr>
        <w:spacing w:after="60"/>
        <w:ind w:firstLine="567"/>
        <w:jc w:val="both"/>
      </w:pPr>
      <w:r>
        <w:rPr>
          <w:rFonts w:ascii="Arial" w:cs="Arial" w:eastAsia="Arial" w:hAnsi="Arial"/>
          <w:sz w:val="24"/>
          <w:szCs w:val="24"/>
        </w:rPr>
        <w:t xml:space="preserve">2) информация о влиянии сделки на деятельность эмитента (финансовый результат, дополнительные инвестиции и т.д.);</w:t>
      </w:r>
    </w:p>
    <w:p>
      <w:pPr>
        <w:spacing w:after="60"/>
        <w:ind w:firstLine="567"/>
        <w:jc w:val="both"/>
      </w:pPr>
      <w:r>
        <w:rPr>
          <w:rFonts w:ascii="Arial" w:cs="Arial" w:eastAsia="Arial" w:hAnsi="Arial"/>
          <w:sz w:val="24"/>
          <w:szCs w:val="24"/>
        </w:rPr>
        <w:t xml:space="preserve">3) информация об условиях и характере заключенной сделки (предмет, условия, цена сделки и т.д.);</w:t>
      </w:r>
    </w:p>
    <w:p>
      <w:pPr>
        <w:spacing w:after="60"/>
        <w:ind w:firstLine="567"/>
        <w:jc w:val="both"/>
      </w:pPr>
      <w:r>
        <w:rPr>
          <w:rFonts w:ascii="Arial" w:cs="Arial" w:eastAsia="Arial" w:hAnsi="Arial"/>
          <w:sz w:val="24"/>
          <w:szCs w:val="24"/>
        </w:rPr>
        <w:t xml:space="preserve">4) степень имеющейся заинтересованности (лица, заинтересованные в сделке);</w:t>
      </w:r>
    </w:p>
    <w:p>
      <w:pPr>
        <w:spacing w:after="60"/>
        <w:ind w:firstLine="567"/>
        <w:jc w:val="both"/>
      </w:pPr>
      <w:r>
        <w:rPr>
          <w:rFonts w:ascii="Arial" w:cs="Arial" w:eastAsia="Arial" w:hAnsi="Arial"/>
          <w:sz w:val="24"/>
          <w:szCs w:val="24"/>
        </w:rPr>
        <w:t xml:space="preserve">5) дата опубликования информации о сделке в средствах массовой информации (прилагается копия опубликованного сообщения);</w:t>
      </w:r>
    </w:p>
    <w:p>
      <w:pPr>
        <w:spacing w:after="60"/>
        <w:ind w:firstLine="567"/>
        <w:jc w:val="both"/>
      </w:pPr>
      <w:r>
        <w:rPr>
          <w:rFonts w:ascii="Arial" w:cs="Arial" w:eastAsia="Arial" w:hAnsi="Arial"/>
          <w:sz w:val="24"/>
          <w:szCs w:val="24"/>
        </w:rPr>
        <w:t xml:space="preserve">6) дата направления уведомления с информацией о сделке в уполномоченный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Существенные факты, затрагивающие финансово-хозяйственную деятельность эмитента и подлежащие обязательному раскрытию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Изменения в списке лиц, входящих в органы управления эмитента (за исключением общего собрания участников в обществах с ограниченной ответственностью и общего собрания акционеров в акционерных обществах):</w:t>
      </w:r>
    </w:p>
    <w:p>
      <w:pPr>
        <w:spacing w:after="120"/>
        <w:jc w:val="both"/>
      </w:pPr>
      <w:r>
        <w:rPr>
          <w:rFonts w:ascii="Arial" w:cs="Arial" w:eastAsia="Arial" w:hAnsi="Arial"/>
          <w:sz w:val="24"/>
          <w:szCs w:val="24"/>
        </w:rPr>
        <w:t xml:space="preserve">Эмитенты обязаны сообщать об избрании (назначении) и прекращении (в том числе досрочном) полномочий единоличного исполнительного органа, об избрании члена (членов) коллегиального исполнительного органа и Совета директоров (наблюдательного совета), прекращении его (их) полномочий, а также о передаче и прекращении полномочий единоличного исполнительного органа коммерческой организации (управляющей организации) или индивидуальному предпринимателю (управляющему).</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орган управления, в котором произошли изменения;</w:t>
      </w:r>
    </w:p>
    <w:p>
      <w:pPr>
        <w:spacing w:after="120"/>
        <w:jc w:val="both"/>
      </w:pPr>
      <w:r>
        <w:rPr>
          <w:rFonts w:ascii="Arial" w:cs="Arial" w:eastAsia="Arial" w:hAnsi="Arial"/>
          <w:sz w:val="24"/>
          <w:szCs w:val="24"/>
        </w:rPr>
        <w:t xml:space="preserve">- фамилия, имя, отчество каждого лица, избранного (назначенного) в орган управления эмитента и (или) каждого лица, полномочия которого прекращены;</w:t>
      </w:r>
    </w:p>
    <w:p>
      <w:pPr>
        <w:spacing w:after="120"/>
        <w:jc w:val="both"/>
      </w:pPr>
      <w:r>
        <w:rPr>
          <w:rFonts w:ascii="Arial" w:cs="Arial" w:eastAsia="Arial" w:hAnsi="Arial"/>
          <w:sz w:val="24"/>
          <w:szCs w:val="24"/>
        </w:rPr>
        <w:t xml:space="preserve">- полное наименование, местонахождение и почтовый адрес коммерческой организации, которой переданы полномочия единоличного исполнительного органа эмитента и (или) коммерческой организации, полномочия единоличного исполнительного органа которой прекращены;</w:t>
      </w:r>
    </w:p>
    <w:p>
      <w:pPr>
        <w:spacing w:after="120"/>
        <w:jc w:val="both"/>
      </w:pPr>
      <w:r>
        <w:rPr>
          <w:rFonts w:ascii="Arial" w:cs="Arial" w:eastAsia="Arial" w:hAnsi="Arial"/>
          <w:sz w:val="24"/>
          <w:szCs w:val="24"/>
        </w:rPr>
        <w:t xml:space="preserve">- доля участия в уставном капитале эмитента лица, которое лично является акционером (участником) эмитента; дата, с которой произошли или произойдут указанные изменения;</w:t>
      </w:r>
    </w:p>
    <w:p>
      <w:pPr>
        <w:spacing w:after="120"/>
        <w:jc w:val="both"/>
      </w:pPr>
      <w:r>
        <w:rPr>
          <w:rFonts w:ascii="Arial" w:cs="Arial" w:eastAsia="Arial" w:hAnsi="Arial"/>
          <w:sz w:val="24"/>
          <w:szCs w:val="24"/>
        </w:rPr>
        <w:t xml:space="preserve">- уполномоченный орган эмитента, принявший решение, являющееся основанием указанных изменений, и дата его принятия или иные обстоятельства, повлекшие указанные изменения.</w:t>
      </w:r>
    </w:p>
    <w:p>
      <w:pPr>
        <w:spacing w:after="120"/>
        <w:jc w:val="both"/>
      </w:pPr>
      <w:r>
        <w:rPr>
          <w:rFonts w:ascii="Arial" w:cs="Arial" w:eastAsia="Arial" w:hAnsi="Arial"/>
          <w:sz w:val="24"/>
          <w:szCs w:val="24"/>
        </w:rPr>
        <w:t xml:space="preserve">Моментом изменений в списке лиц, входящих в органы управления эмитента, считается дата принятия уполномоченным органом эмитента соответствующего решения или дата возникновения иных обстоятельств, повлекших указанные изменения.</w:t>
      </w:r>
    </w:p>
    <w:p>
      <w:pPr>
        <w:spacing w:after="120"/>
        <w:jc w:val="both"/>
      </w:pPr>
      <w:r>
        <w:rPr>
          <w:rFonts w:ascii="Arial" w:cs="Arial" w:eastAsia="Arial" w:hAnsi="Arial"/>
          <w:sz w:val="24"/>
          <w:szCs w:val="24"/>
        </w:rPr>
        <w:t xml:space="preserve">2. Изменения в размере участия лиц, входящих в органы управления эмитента, в уставном капитале эмитента, а также его дочерних и зависимых обществ, и об участии этих лиц в капитале других юридических лиц, если они владеют более чем 20 процентами указанного капитала:</w:t>
      </w:r>
    </w:p>
    <w:p>
      <w:pPr>
        <w:spacing w:after="120"/>
        <w:jc w:val="both"/>
      </w:pPr>
      <w:r>
        <w:rPr>
          <w:rFonts w:ascii="Arial" w:cs="Arial" w:eastAsia="Arial" w:hAnsi="Arial"/>
          <w:sz w:val="24"/>
          <w:szCs w:val="24"/>
        </w:rPr>
        <w:t xml:space="preserve">Эмитенты обязаны сообщать о приобретении лицом, являющимся членом исполнительного органа или Совета директоров, доли в уставном капитале эмитента, его дочерних и зависимых обществ, а также о любых изменениях такой доли участия.</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фамилия, имя, отчество и должность лица (полное наименование коммерческой организации, которой переданы полномочия единоличного исполнительного органа эмитента, местонахождение и почтовый адрес);</w:t>
      </w:r>
    </w:p>
    <w:p>
      <w:pPr>
        <w:spacing w:after="120"/>
        <w:jc w:val="both"/>
      </w:pPr>
      <w:r>
        <w:rPr>
          <w:rFonts w:ascii="Arial" w:cs="Arial" w:eastAsia="Arial" w:hAnsi="Arial"/>
          <w:sz w:val="24"/>
          <w:szCs w:val="24"/>
        </w:rPr>
        <w:t xml:space="preserve">- доля в уставном капитале эмитента, его дочерних и зависимых обществ до и после ее изменения;</w:t>
      </w:r>
    </w:p>
    <w:p>
      <w:pPr>
        <w:spacing w:after="120"/>
        <w:jc w:val="both"/>
      </w:pPr>
      <w:r>
        <w:rPr>
          <w:rFonts w:ascii="Arial" w:cs="Arial" w:eastAsia="Arial" w:hAnsi="Arial"/>
          <w:sz w:val="24"/>
          <w:szCs w:val="24"/>
        </w:rPr>
        <w:t xml:space="preserve">- дата, с которой произошло изменение доли в уставном капитале эмитента, его дочерних и зависимых обществ.</w:t>
      </w:r>
    </w:p>
    <w:p>
      <w:pPr>
        <w:spacing w:after="120"/>
        <w:jc w:val="both"/>
      </w:pPr>
      <w:r>
        <w:rPr>
          <w:rFonts w:ascii="Arial" w:cs="Arial" w:eastAsia="Arial" w:hAnsi="Arial"/>
          <w:sz w:val="24"/>
          <w:szCs w:val="24"/>
        </w:rPr>
        <w:t xml:space="preserve">Моментом изменения доли в уставном капитале эмитента, его дочерних и зависимых обществ считается дата внесения записи в систему ведения реестра ценных бумаг эмитента (или по счету депо) либо дата приобретения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120"/>
        <w:jc w:val="both"/>
      </w:pPr>
      <w:r>
        <w:rPr>
          <w:rFonts w:ascii="Arial" w:cs="Arial" w:eastAsia="Arial" w:hAnsi="Arial"/>
          <w:sz w:val="24"/>
          <w:szCs w:val="24"/>
        </w:rPr>
        <w:t xml:space="preserve">3. Изменения в списке владельцев ценных бумаг эмитента:</w:t>
      </w:r>
    </w:p>
    <w:p>
      <w:pPr>
        <w:spacing w:after="120"/>
        <w:jc w:val="both"/>
      </w:pPr>
      <w:r>
        <w:rPr>
          <w:rFonts w:ascii="Arial" w:cs="Arial" w:eastAsia="Arial" w:hAnsi="Arial"/>
          <w:sz w:val="24"/>
          <w:szCs w:val="24"/>
        </w:rPr>
        <w:t xml:space="preserve">Эмитент обязан сообщать о приобретении каким-либо лицом доли в его уставном капитале - 5 и более процентов ценных бумаг (долей), а также об изменениях доли владельцев 5 и более процентами ценных бумаг (долей).</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фамилия, имя, отчество физического лица или полное наименование, местонахождение, почтовый адрес, код ОКПО юридического лица, доля участия (доля ценных бумаг) которого изменилась;</w:t>
      </w:r>
    </w:p>
    <w:p>
      <w:pPr>
        <w:spacing w:after="120"/>
        <w:jc w:val="both"/>
      </w:pPr>
      <w:r>
        <w:rPr>
          <w:rFonts w:ascii="Arial" w:cs="Arial" w:eastAsia="Arial" w:hAnsi="Arial"/>
          <w:sz w:val="24"/>
          <w:szCs w:val="24"/>
        </w:rPr>
        <w:t xml:space="preserve">- доля в уставном капитале (в денежном выражении и в процентах от уставного капитала) эмитента до и после ее изменения, а также количество принадлежащих ему ценных бумаг (в случае акций раздельно простых и привилегированных);</w:t>
      </w:r>
    </w:p>
    <w:p>
      <w:pPr>
        <w:spacing w:after="120"/>
        <w:jc w:val="both"/>
      </w:pPr>
      <w:r>
        <w:rPr>
          <w:rFonts w:ascii="Arial" w:cs="Arial" w:eastAsia="Arial" w:hAnsi="Arial"/>
          <w:sz w:val="24"/>
          <w:szCs w:val="24"/>
        </w:rPr>
        <w:t xml:space="preserve">- дата, с которой произошли изменения доли участия в уставном капитале (доли ценных бумаг).</w:t>
      </w:r>
    </w:p>
    <w:p>
      <w:pPr>
        <w:spacing w:after="120"/>
        <w:jc w:val="both"/>
      </w:pPr>
      <w:r>
        <w:rPr>
          <w:rFonts w:ascii="Arial" w:cs="Arial" w:eastAsia="Arial" w:hAnsi="Arial"/>
          <w:sz w:val="24"/>
          <w:szCs w:val="24"/>
        </w:rPr>
        <w:t xml:space="preserve">Моментом изменения доли в уставном капитале (доли ценных бумаг) эмитента считается дата внесения записи в систему ведения реестра владельцев ценных бумаг акционерного общества (по счету депо) или приобретение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120"/>
        <w:jc w:val="both"/>
      </w:pPr>
      <w:r>
        <w:rPr>
          <w:rFonts w:ascii="Arial" w:cs="Arial" w:eastAsia="Arial" w:hAnsi="Arial"/>
          <w:sz w:val="24"/>
          <w:szCs w:val="24"/>
        </w:rPr>
        <w:t xml:space="preserve">4. Изменения в списке юридических лиц, в которых эмитент владеет 20 и более процентами уставного капитала:</w:t>
      </w:r>
    </w:p>
    <w:p>
      <w:pPr>
        <w:spacing w:after="120"/>
        <w:jc w:val="both"/>
      </w:pPr>
      <w:r>
        <w:rPr>
          <w:rFonts w:ascii="Arial" w:cs="Arial" w:eastAsia="Arial" w:hAnsi="Arial"/>
          <w:sz w:val="24"/>
          <w:szCs w:val="24"/>
        </w:rPr>
        <w:t xml:space="preserve">Эмитент обязан сообщать о приобретении им доли в уставном капитале (доли ценных бумаг) другого юридического лица, составляющей 5 и более процентов, а также об изменениях такой доли.</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полное наименование, а также местонахождение, почтовый адрес, код ОКПО юридического лица, доля участия в уставном капитале (доля ценных бумаг) которого, принадлежащая эмитенту, изменилась;</w:t>
      </w:r>
    </w:p>
    <w:p>
      <w:pPr>
        <w:spacing w:after="120"/>
        <w:jc w:val="both"/>
      </w:pPr>
      <w:r>
        <w:rPr>
          <w:rFonts w:ascii="Arial" w:cs="Arial" w:eastAsia="Arial" w:hAnsi="Arial"/>
          <w:sz w:val="24"/>
          <w:szCs w:val="24"/>
        </w:rPr>
        <w:t xml:space="preserve">- доля эмитента в уставном капитале (доля ценных бумаг) юридического лица до и после ее изменения;</w:t>
      </w:r>
    </w:p>
    <w:p>
      <w:pPr>
        <w:spacing w:after="120"/>
        <w:jc w:val="both"/>
      </w:pPr>
      <w:r>
        <w:rPr>
          <w:rFonts w:ascii="Arial" w:cs="Arial" w:eastAsia="Arial" w:hAnsi="Arial"/>
          <w:sz w:val="24"/>
          <w:szCs w:val="24"/>
        </w:rPr>
        <w:t xml:space="preserve">- дата, с которой произошло изменение доли в уставном капитале (доли ценных бумаг).</w:t>
      </w:r>
    </w:p>
    <w:p>
      <w:pPr>
        <w:spacing w:after="120"/>
        <w:jc w:val="both"/>
      </w:pPr>
      <w:r>
        <w:rPr>
          <w:rFonts w:ascii="Arial" w:cs="Arial" w:eastAsia="Arial" w:hAnsi="Arial"/>
          <w:sz w:val="24"/>
          <w:szCs w:val="24"/>
        </w:rPr>
        <w:t xml:space="preserve">Моментом изменения доли эмитента в уставном капитале (доли ценных бумаг) другого юридического лица считается дата внесения записи в систему ведения реестра владельцев ценных бумаг эмитента (по счету депо) или приобретение (отчуждение) доли участия в обществе с ограниченной (дополнительной) ответственностью, в результате которых произошли изменения.</w:t>
      </w:r>
    </w:p>
    <w:p>
      <w:pPr>
        <w:spacing w:after="120"/>
        <w:jc w:val="both"/>
      </w:pPr>
      <w:r>
        <w:rPr>
          <w:rFonts w:ascii="Arial" w:cs="Arial" w:eastAsia="Arial" w:hAnsi="Arial"/>
          <w:sz w:val="24"/>
          <w:szCs w:val="24"/>
        </w:rPr>
        <w:t xml:space="preserve">5. Появление в реестре эмитента лица, владеющего более чем 5 процентами его эмиссионных ценных бумаг любого отдельного вида.</w:t>
      </w:r>
    </w:p>
    <w:p>
      <w:pPr>
        <w:spacing w:after="120"/>
        <w:jc w:val="both"/>
      </w:pPr>
      <w:r>
        <w:rPr>
          <w:rFonts w:ascii="Arial" w:cs="Arial" w:eastAsia="Arial" w:hAnsi="Arial"/>
          <w:sz w:val="24"/>
          <w:szCs w:val="24"/>
        </w:rPr>
        <w:t xml:space="preserve">Эмитенты обязаны сообщать о приобретении каким-либо лицом доли его именных эмиссионных ценных бумаг любого отдельного вида, превышающей 5 процентов.</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фамилия, имя, отчество гражданина или полное наименование, местонахождение и почтовый адрес, код ОКПО юридического лица, приобретшего указанную выше долю; дата, с которой произошли указанные изменения.</w:t>
      </w:r>
    </w:p>
    <w:p>
      <w:pPr>
        <w:spacing w:after="120"/>
        <w:jc w:val="both"/>
      </w:pPr>
      <w:r>
        <w:rPr>
          <w:rFonts w:ascii="Arial" w:cs="Arial" w:eastAsia="Arial" w:hAnsi="Arial"/>
          <w:sz w:val="24"/>
          <w:szCs w:val="24"/>
        </w:rPr>
        <w:t xml:space="preserve">Моментом появления в реестре именных ценных бумаг эмитента лица, владеющего более чем 5 процентами его эмиссионных ценных бумаг любого отдельного вида, считается дата внесения записи в систему ведения реестра владельцев именных ценных бумаг (по счету депо).</w:t>
      </w:r>
    </w:p>
    <w:p>
      <w:pPr>
        <w:spacing w:after="120"/>
        <w:jc w:val="both"/>
      </w:pPr>
      <w:r>
        <w:rPr>
          <w:rFonts w:ascii="Arial" w:cs="Arial" w:eastAsia="Arial" w:hAnsi="Arial"/>
          <w:sz w:val="24"/>
          <w:szCs w:val="24"/>
        </w:rPr>
        <w:t xml:space="preserve">6. Разовые сделки эмитента, размер которых, либо стоимость имущества по которым составляет 10 и более процентов от активов эмитента на дату сделки.</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фамилия, имя, отчество или полное наименование, местонахождение и почтовый адрес контрагента по сделке (сделкам);</w:t>
      </w:r>
    </w:p>
    <w:p>
      <w:pPr>
        <w:spacing w:after="120"/>
        <w:jc w:val="both"/>
      </w:pPr>
      <w:r>
        <w:rPr>
          <w:rFonts w:ascii="Arial" w:cs="Arial" w:eastAsia="Arial" w:hAnsi="Arial"/>
          <w:sz w:val="24"/>
          <w:szCs w:val="24"/>
        </w:rPr>
        <w:t xml:space="preserve">- дата совершения сделки (сделок);</w:t>
      </w:r>
    </w:p>
    <w:p>
      <w:pPr>
        <w:spacing w:after="120"/>
        <w:jc w:val="both"/>
      </w:pPr>
      <w:r>
        <w:rPr>
          <w:rFonts w:ascii="Arial" w:cs="Arial" w:eastAsia="Arial" w:hAnsi="Arial"/>
          <w:sz w:val="24"/>
          <w:szCs w:val="24"/>
        </w:rPr>
        <w:t xml:space="preserve">- описание сделки (сделок).</w:t>
      </w:r>
    </w:p>
    <w:p>
      <w:pPr>
        <w:spacing w:after="120"/>
        <w:jc w:val="both"/>
      </w:pPr>
      <w:r>
        <w:rPr>
          <w:rFonts w:ascii="Arial" w:cs="Arial" w:eastAsia="Arial" w:hAnsi="Arial"/>
          <w:sz w:val="24"/>
          <w:szCs w:val="24"/>
        </w:rPr>
        <w:t xml:space="preserve">Моментом появления факта считается дата совершения указанной сделки (сделок).</w:t>
      </w:r>
    </w:p>
    <w:p>
      <w:pPr>
        <w:spacing w:after="120"/>
        <w:jc w:val="both"/>
      </w:pPr>
      <w:r>
        <w:rPr>
          <w:rFonts w:ascii="Arial" w:cs="Arial" w:eastAsia="Arial" w:hAnsi="Arial"/>
          <w:sz w:val="24"/>
          <w:szCs w:val="24"/>
        </w:rPr>
        <w:t xml:space="preserve">7. Факт (факты), повлекший разовое увеличение или уменьшение стоимости активов эмитента более чем на 10 процентов.</w:t>
      </w:r>
    </w:p>
    <w:p>
      <w:pPr>
        <w:spacing w:after="120"/>
        <w:jc w:val="both"/>
      </w:pPr>
      <w:r>
        <w:rPr>
          <w:rFonts w:ascii="Arial" w:cs="Arial" w:eastAsia="Arial" w:hAnsi="Arial"/>
          <w:sz w:val="24"/>
          <w:szCs w:val="24"/>
        </w:rPr>
        <w:t xml:space="preserve">Эмитенты обязаны сообщать о фактах, повлекших разовое увеличение или уменьшение стоимости активов эмитента более чем на 10 процентов по состоянию на конец квартала, предшествующего месяцу, в котором появился соответствующий факт.</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факт (факты) и дата появления факта (фактов), повлекшего разовое увеличение или уменьшение стоимости активов эмитента более чем на 10 процентов;</w:t>
      </w:r>
    </w:p>
    <w:p>
      <w:pPr>
        <w:spacing w:after="120"/>
        <w:jc w:val="both"/>
      </w:pPr>
      <w:r>
        <w:rPr>
          <w:rFonts w:ascii="Arial" w:cs="Arial" w:eastAsia="Arial" w:hAnsi="Arial"/>
          <w:sz w:val="24"/>
          <w:szCs w:val="24"/>
        </w:rPr>
        <w:t xml:space="preserve">- величина активов эмитента на конец квартала, предшествующего месяцу, в котором появился соответствующий факт (факты);</w:t>
      </w:r>
    </w:p>
    <w:p>
      <w:pPr>
        <w:spacing w:after="120"/>
        <w:jc w:val="both"/>
      </w:pPr>
      <w:r>
        <w:rPr>
          <w:rFonts w:ascii="Arial" w:cs="Arial" w:eastAsia="Arial" w:hAnsi="Arial"/>
          <w:sz w:val="24"/>
          <w:szCs w:val="24"/>
        </w:rPr>
        <w:t xml:space="preserve">- изменение величины активов эмитента в абсолютном и процентном соотношении в месяце, в котором произошел факт, повлекший разовое увеличение или уменьшение стоимости активов эмитента более чем на 10 процентов по сравнению с кварталом, предшествующим месяцу, в котором появился соответствующий факт.</w:t>
      </w:r>
    </w:p>
    <w:p>
      <w:pPr>
        <w:spacing w:after="120"/>
        <w:jc w:val="both"/>
      </w:pPr>
      <w:r>
        <w:rPr>
          <w:rFonts w:ascii="Arial" w:cs="Arial" w:eastAsia="Arial" w:hAnsi="Arial"/>
          <w:sz w:val="24"/>
          <w:szCs w:val="24"/>
        </w:rPr>
        <w:t xml:space="preserve">Моментом появления факта считается 10-й день окончания месяца, в котором произошло разовое увеличение или уменьшение стоимости активов эмитента более чем на 10 процентов.</w:t>
      </w:r>
    </w:p>
    <w:p>
      <w:pPr>
        <w:spacing w:after="120"/>
        <w:jc w:val="both"/>
      </w:pPr>
      <w:r>
        <w:rPr>
          <w:rFonts w:ascii="Arial" w:cs="Arial" w:eastAsia="Arial" w:hAnsi="Arial"/>
          <w:sz w:val="24"/>
          <w:szCs w:val="24"/>
        </w:rPr>
        <w:t xml:space="preserve">8. Факт (факты), повлекший разовое увеличение чистой прибыли или чистых убытков эмитента более чем на 10 процентов.</w:t>
      </w:r>
    </w:p>
    <w:p>
      <w:pPr>
        <w:spacing w:after="120"/>
        <w:jc w:val="both"/>
      </w:pPr>
      <w:r>
        <w:rPr>
          <w:rFonts w:ascii="Arial" w:cs="Arial" w:eastAsia="Arial" w:hAnsi="Arial"/>
          <w:sz w:val="24"/>
          <w:szCs w:val="24"/>
        </w:rPr>
        <w:t xml:space="preserve">Эмитенты обязаны сообщать о фактах, повлекших разовое увеличение чистой прибыли или чистых убытков более чем на 10 процентов. В сообщении должны быть указаны:</w:t>
      </w:r>
    </w:p>
    <w:p>
      <w:pPr>
        <w:spacing w:after="120"/>
        <w:jc w:val="both"/>
      </w:pPr>
      <w:r>
        <w:rPr>
          <w:rFonts w:ascii="Arial" w:cs="Arial" w:eastAsia="Arial" w:hAnsi="Arial"/>
          <w:sz w:val="24"/>
          <w:szCs w:val="24"/>
        </w:rPr>
        <w:t xml:space="preserve">- факт (факты), повлекший разовое увеличение прибыли или убытков эмитента более чем на 10 процентов;</w:t>
      </w:r>
    </w:p>
    <w:p>
      <w:pPr>
        <w:spacing w:after="120"/>
        <w:jc w:val="both"/>
      </w:pPr>
      <w:r>
        <w:rPr>
          <w:rFonts w:ascii="Arial" w:cs="Arial" w:eastAsia="Arial" w:hAnsi="Arial"/>
          <w:sz w:val="24"/>
          <w:szCs w:val="24"/>
        </w:rPr>
        <w:t xml:space="preserve">- дата появления факта (фактов), повлекшего за собой разовое увеличение прибыли или убытков эмитента более чем на 10 процентов;</w:t>
      </w:r>
    </w:p>
    <w:p>
      <w:pPr>
        <w:spacing w:after="120"/>
        <w:jc w:val="both"/>
      </w:pPr>
      <w:r>
        <w:rPr>
          <w:rFonts w:ascii="Arial" w:cs="Arial" w:eastAsia="Arial" w:hAnsi="Arial"/>
          <w:sz w:val="24"/>
          <w:szCs w:val="24"/>
        </w:rPr>
        <w:t xml:space="preserve">- значение прибыли (убытков) эмитента на конец квартала, предшествующего месяцу, в котором появился соответствующий факт (факты);</w:t>
      </w:r>
    </w:p>
    <w:p>
      <w:pPr>
        <w:spacing w:after="120"/>
        <w:jc w:val="both"/>
      </w:pPr>
      <w:r>
        <w:rPr>
          <w:rFonts w:ascii="Arial" w:cs="Arial" w:eastAsia="Arial" w:hAnsi="Arial"/>
          <w:sz w:val="24"/>
          <w:szCs w:val="24"/>
        </w:rPr>
        <w:t xml:space="preserve">- изменение прибыли (убытков) эмитента в абсолютном и процентном соотношении в месяце, в котором произошел существенный факт по сравнению с кварталом, предшествующим месяцу, в котором появился соответствующий факт.</w:t>
      </w:r>
    </w:p>
    <w:p>
      <w:pPr>
        <w:spacing w:after="120"/>
        <w:jc w:val="both"/>
      </w:pPr>
      <w:r>
        <w:rPr>
          <w:rFonts w:ascii="Arial" w:cs="Arial" w:eastAsia="Arial" w:hAnsi="Arial"/>
          <w:sz w:val="24"/>
          <w:szCs w:val="24"/>
        </w:rPr>
        <w:t xml:space="preserve">Моментом появления факта считается 10-й день после окончания месяца, в котором произошло разовое увеличение прибыли (убытков) эмитента более чем на 10 процентов.</w:t>
      </w:r>
    </w:p>
    <w:p>
      <w:pPr>
        <w:spacing w:after="120"/>
        <w:jc w:val="both"/>
      </w:pPr>
      <w:r>
        <w:rPr>
          <w:rFonts w:ascii="Arial" w:cs="Arial" w:eastAsia="Arial" w:hAnsi="Arial"/>
          <w:sz w:val="24"/>
          <w:szCs w:val="24"/>
        </w:rPr>
        <w:t xml:space="preserve">9. Реорганизация эмитента, его дочерних и зависимых обществ.</w:t>
      </w:r>
    </w:p>
    <w:p>
      <w:pPr>
        <w:spacing w:after="120"/>
        <w:jc w:val="both"/>
      </w:pPr>
      <w:r>
        <w:rPr>
          <w:rFonts w:ascii="Arial" w:cs="Arial" w:eastAsia="Arial" w:hAnsi="Arial"/>
          <w:sz w:val="24"/>
          <w:szCs w:val="24"/>
        </w:rPr>
        <w:t xml:space="preserve">Эмитенты обязаны сообщать о своей реорганизации, а также о реорганизации своих дочерних и зависимых обществ.</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полное наименование, местонахождение и почтовый адрес реорганизуемого юридического лица (юридических лиц, участвующих в реорганизации);</w:t>
      </w:r>
    </w:p>
    <w:p>
      <w:pPr>
        <w:spacing w:after="120"/>
        <w:jc w:val="both"/>
      </w:pPr>
      <w:r>
        <w:rPr>
          <w:rFonts w:ascii="Arial" w:cs="Arial" w:eastAsia="Arial" w:hAnsi="Arial"/>
          <w:sz w:val="24"/>
          <w:szCs w:val="24"/>
        </w:rPr>
        <w:t xml:space="preserve">- вид реорганизации (слияние, присоединение, разделение, выделение, преобразование);</w:t>
      </w:r>
    </w:p>
    <w:p>
      <w:pPr>
        <w:spacing w:after="120"/>
        <w:jc w:val="both"/>
      </w:pPr>
      <w:r>
        <w:rPr>
          <w:rFonts w:ascii="Arial" w:cs="Arial" w:eastAsia="Arial" w:hAnsi="Arial"/>
          <w:sz w:val="24"/>
          <w:szCs w:val="24"/>
        </w:rPr>
        <w:t xml:space="preserve">- уполномоченный орган, принявший решение, являющееся основанием реорганизации, и дата его принятия;</w:t>
      </w:r>
    </w:p>
    <w:p>
      <w:pPr>
        <w:spacing w:after="120"/>
        <w:jc w:val="both"/>
      </w:pPr>
      <w:r>
        <w:rPr>
          <w:rFonts w:ascii="Arial" w:cs="Arial" w:eastAsia="Arial" w:hAnsi="Arial"/>
          <w:sz w:val="24"/>
          <w:szCs w:val="24"/>
        </w:rPr>
        <w:t xml:space="preserve">- способ и порядок размещения ценных бумаг при реорганизации;</w:t>
      </w:r>
    </w:p>
    <w:p>
      <w:pPr>
        <w:spacing w:after="120"/>
        <w:jc w:val="both"/>
      </w:pPr>
      <w:r>
        <w:rPr>
          <w:rFonts w:ascii="Arial" w:cs="Arial" w:eastAsia="Arial" w:hAnsi="Arial"/>
          <w:sz w:val="24"/>
          <w:szCs w:val="24"/>
        </w:rPr>
        <w:t xml:space="preserve">- дата реорганизации (дата государственной регистрации организации, созданной в результате слияния, разделения, выделения, преобразования; дата внесения в реестр записи о прекращении деятельности присоединенной организации).</w:t>
      </w:r>
    </w:p>
    <w:p>
      <w:pPr>
        <w:spacing w:after="120"/>
        <w:jc w:val="both"/>
      </w:pPr>
      <w:r>
        <w:rPr>
          <w:rFonts w:ascii="Arial" w:cs="Arial" w:eastAsia="Arial" w:hAnsi="Arial"/>
          <w:sz w:val="24"/>
          <w:szCs w:val="24"/>
        </w:rPr>
        <w:t xml:space="preserve">Моментом реорганизации считается дата государственной регистрации юридического лица, созданного в результате слияния, разделения, выделения, преобразования; дата внесения в реестр записи о прекращении деятельности присоединенного юридического лица.</w:t>
      </w:r>
    </w:p>
    <w:p>
      <w:pPr>
        <w:spacing w:after="120"/>
        <w:jc w:val="both"/>
      </w:pPr>
      <w:r>
        <w:rPr>
          <w:rFonts w:ascii="Arial" w:cs="Arial" w:eastAsia="Arial" w:hAnsi="Arial"/>
          <w:sz w:val="24"/>
          <w:szCs w:val="24"/>
        </w:rPr>
        <w:t xml:space="preserve">10. Начисленные и (или) выплачиваемые (выплаченные) доходы по ценным бумагам эмитента.</w:t>
      </w:r>
    </w:p>
    <w:p>
      <w:pPr>
        <w:spacing w:after="120"/>
        <w:jc w:val="both"/>
      </w:pPr>
      <w:r>
        <w:rPr>
          <w:rFonts w:ascii="Arial" w:cs="Arial" w:eastAsia="Arial" w:hAnsi="Arial"/>
          <w:sz w:val="24"/>
          <w:szCs w:val="24"/>
        </w:rPr>
        <w:t xml:space="preserve">Эмитенты обязаны сообщать о начисленных доходах по ценным бумагам эмитента, а также о выплачиваемых (выплаченных) доходах по ценным бумагам эмитента: дивидендов (в том числе промежуточных, если это прямо разрешено уставом акционерного общества) по акциям и доходов по облигациям.</w:t>
      </w:r>
    </w:p>
    <w:p>
      <w:pPr>
        <w:spacing w:after="120"/>
        <w:jc w:val="both"/>
      </w:pPr>
      <w:r>
        <w:rPr>
          <w:rFonts w:ascii="Arial" w:cs="Arial" w:eastAsia="Arial" w:hAnsi="Arial"/>
          <w:sz w:val="24"/>
          <w:szCs w:val="24"/>
        </w:rPr>
        <w:t xml:space="preserve">Раскрытие информации по данному факту осуществляется в соответствии с пунктами 56-59 Положения.</w:t>
      </w:r>
    </w:p>
    <w:p>
      <w:pPr>
        <w:spacing w:after="120"/>
        <w:jc w:val="both"/>
      </w:pPr>
      <w:r>
        <w:rPr>
          <w:rFonts w:ascii="Arial" w:cs="Arial" w:eastAsia="Arial" w:hAnsi="Arial"/>
          <w:sz w:val="24"/>
          <w:szCs w:val="24"/>
        </w:rPr>
        <w:t xml:space="preserve">11. Решения общих собраний.</w:t>
      </w:r>
    </w:p>
    <w:p>
      <w:pPr>
        <w:spacing w:after="120"/>
        <w:jc w:val="both"/>
      </w:pPr>
      <w:r>
        <w:rPr>
          <w:rFonts w:ascii="Arial" w:cs="Arial" w:eastAsia="Arial" w:hAnsi="Arial"/>
          <w:sz w:val="24"/>
          <w:szCs w:val="24"/>
        </w:rPr>
        <w:t xml:space="preserve">Эмитенты обязаны раскрывать информацию о решениях, принятых общим собранием его владельцев ценных бумаг в соответствии с пунктами 43-50 Положения.</w:t>
      </w:r>
    </w:p>
    <w:p>
      <w:pPr>
        <w:spacing w:after="120"/>
        <w:jc w:val="both"/>
      </w:pPr>
      <w:r>
        <w:rPr>
          <w:rFonts w:ascii="Arial" w:cs="Arial" w:eastAsia="Arial" w:hAnsi="Arial"/>
          <w:sz w:val="24"/>
          <w:szCs w:val="24"/>
        </w:rPr>
        <w:t xml:space="preserve">12. Погашение ценных бумаг эмитента.</w:t>
      </w:r>
    </w:p>
    <w:p>
      <w:pPr>
        <w:spacing w:after="120"/>
        <w:jc w:val="both"/>
      </w:pPr>
      <w:r>
        <w:rPr>
          <w:rFonts w:ascii="Arial" w:cs="Arial" w:eastAsia="Arial" w:hAnsi="Arial"/>
          <w:sz w:val="24"/>
          <w:szCs w:val="24"/>
        </w:rPr>
        <w:t xml:space="preserve">Эмитенты обязаны сообщить о погашении, в том числе об аннулировании ценных бумаг.</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основание погашения (аннулирования);</w:t>
      </w:r>
    </w:p>
    <w:p>
      <w:pPr>
        <w:spacing w:after="120"/>
        <w:jc w:val="both"/>
      </w:pPr>
      <w:r>
        <w:rPr>
          <w:rFonts w:ascii="Arial" w:cs="Arial" w:eastAsia="Arial" w:hAnsi="Arial"/>
          <w:sz w:val="24"/>
          <w:szCs w:val="24"/>
        </w:rPr>
        <w:t xml:space="preserve">- решение об уменьшении уставного капитала путем погашения акций, конвертации, погашения облигаций;</w:t>
      </w:r>
    </w:p>
    <w:p>
      <w:pPr>
        <w:spacing w:after="120"/>
        <w:jc w:val="both"/>
      </w:pPr>
      <w:r>
        <w:rPr>
          <w:rFonts w:ascii="Arial" w:cs="Arial" w:eastAsia="Arial" w:hAnsi="Arial"/>
          <w:sz w:val="24"/>
          <w:szCs w:val="24"/>
        </w:rPr>
        <w:t xml:space="preserve">- вид, категория, форма, серия, государственный регистрационный номер выпуска, ценные бумаги которого погашаются;</w:t>
      </w:r>
    </w:p>
    <w:p>
      <w:pPr>
        <w:spacing w:after="120"/>
        <w:jc w:val="both"/>
      </w:pPr>
      <w:r>
        <w:rPr>
          <w:rFonts w:ascii="Arial" w:cs="Arial" w:eastAsia="Arial" w:hAnsi="Arial"/>
          <w:sz w:val="24"/>
          <w:szCs w:val="24"/>
        </w:rPr>
        <w:t xml:space="preserve">- цена размещения каждой ценной бумаги данного вида (категории); серии, количество ценных бумаг данного вида (категории), серии; количество погашенных ценных бумаг;</w:t>
      </w:r>
    </w:p>
    <w:p>
      <w:pPr>
        <w:spacing w:after="120"/>
        <w:jc w:val="both"/>
      </w:pPr>
      <w:r>
        <w:rPr>
          <w:rFonts w:ascii="Arial" w:cs="Arial" w:eastAsia="Arial" w:hAnsi="Arial"/>
          <w:sz w:val="24"/>
          <w:szCs w:val="24"/>
        </w:rPr>
        <w:t xml:space="preserve">- в случае погашения (в том числе досрочного) облигаций: срок (дата начала, дата окончания) обращения погашенных облигаций; порядок, условия, срок (дата начала и дата окончания) досрочного погашения облигаций (если досрочное погашение предусмотрено решением о выпуске облигаций); порядок, условия, срок (дата начала и дата окончания) погашения облигаций.</w:t>
      </w:r>
    </w:p>
    <w:p>
      <w:pPr>
        <w:spacing w:after="120"/>
        <w:jc w:val="both"/>
      </w:pPr>
      <w:r>
        <w:rPr>
          <w:rFonts w:ascii="Arial" w:cs="Arial" w:eastAsia="Arial" w:hAnsi="Arial"/>
          <w:sz w:val="24"/>
          <w:szCs w:val="24"/>
        </w:rPr>
        <w:t xml:space="preserve">Моментом появления факта считается дата принятия эмитентом решения о погашении акций, дата конвертации (или дата окончания конвертации), дата погашения облигаций (дата окончания срока).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phyitlisy6e_jof9oe31">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 полное и сокращенное наименование эмитента 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______________________________________________________</w:t>
      </w:r>
    </w:p>
    <w:p>
      <w:pPr>
        <w:spacing w:after="60"/>
        <w:ind w:firstLine="567"/>
        <w:jc w:val="both"/>
      </w:pPr>
      <w:r>
        <w:rPr>
          <w:rFonts w:ascii="Arial" w:cs="Arial" w:eastAsia="Arial" w:hAnsi="Arial"/>
          <w:sz w:val="24"/>
          <w:szCs w:val="24"/>
        </w:rPr>
        <w:t xml:space="preserve">- юридический и почтовый адрес эмитента, номер телефона и телефакса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основной вид деятельности эмитента __________________________________________________</w:t>
      </w:r>
    </w:p>
    <w:p>
      <w:pPr>
        <w:spacing w:after="60"/>
        <w:ind w:firstLine="567"/>
        <w:jc w:val="both"/>
      </w:pPr>
      <w:r>
        <w:rPr>
          <w:rFonts w:ascii="Arial" w:cs="Arial" w:eastAsia="Arial" w:hAnsi="Arial"/>
          <w:sz w:val="24"/>
          <w:szCs w:val="24"/>
        </w:rPr>
        <w:t xml:space="preserve">2. Количество владельцев ценных бумаг и работников эмитента.</w:t>
      </w:r>
    </w:p>
    <w:p>
      <w:pPr>
        <w:spacing w:after="60"/>
        <w:ind w:firstLine="567"/>
        <w:jc w:val="both"/>
      </w:pPr>
      <w:r>
        <w:rPr>
          <w:rFonts w:ascii="Arial" w:cs="Arial" w:eastAsia="Arial" w:hAnsi="Arial"/>
          <w:sz w:val="24"/>
          <w:szCs w:val="24"/>
        </w:rPr>
        <w:t xml:space="preserve">Данный пункт включает в себя сведения о количестве владельцев ценных бумаг по состоянию на конец отчетного квартала и количестве работников эмитента на конец отчетного квартала.</w:t>
      </w:r>
    </w:p>
    <w:p>
      <w:pPr>
        <w:spacing w:after="60"/>
        <w:ind w:firstLine="567"/>
        <w:jc w:val="both"/>
      </w:pPr>
      <w:r>
        <w:rPr>
          <w:rFonts w:ascii="Arial" w:cs="Arial" w:eastAsia="Arial" w:hAnsi="Arial"/>
          <w:sz w:val="24"/>
          <w:szCs w:val="24"/>
        </w:rPr>
        <w:t xml:space="preserve">3. Список юридических лиц, в которых данный эмитент владеет 5 процентами и более уставного капитала.</w:t>
      </w:r>
    </w:p>
    <w:p>
      <w:pPr>
        <w:spacing w:after="60"/>
        <w:ind w:firstLine="567"/>
        <w:jc w:val="both"/>
      </w:pPr>
      <w:r>
        <w:rPr>
          <w:rFonts w:ascii="Arial" w:cs="Arial" w:eastAsia="Arial" w:hAnsi="Arial"/>
          <w:sz w:val="24"/>
          <w:szCs w:val="24"/>
        </w:rPr>
        <w:t xml:space="preserve">В данном пункте отражается полное наименование юридического лица, его организационно-правовая форма, местонахождение, почтовый адрес, телефон, факс, адрес электронной почты и код ОКПО, а также доля участия в уставном капитале.</w:t>
      </w:r>
    </w:p>
    <w:p>
      <w:pPr>
        <w:spacing w:after="60"/>
        <w:ind w:firstLine="567"/>
        <w:jc w:val="both"/>
      </w:pPr>
      <w:r>
        <w:rPr>
          <w:rFonts w:ascii="Arial" w:cs="Arial" w:eastAsia="Arial" w:hAnsi="Arial"/>
          <w:sz w:val="24"/>
          <w:szCs w:val="24"/>
        </w:rPr>
        <w:t xml:space="preserve">4. Информация о существенных фактах (далее - факт), затрагивающих деятельность эмитента ценных бумаг в отчетном периоде.</w:t>
      </w:r>
    </w:p>
    <w:p>
      <w:pPr>
        <w:spacing w:after="60"/>
        <w:ind w:firstLine="567"/>
        <w:jc w:val="both"/>
      </w:pPr>
      <w:r>
        <w:rPr>
          <w:rFonts w:ascii="Arial" w:cs="Arial" w:eastAsia="Arial" w:hAnsi="Arial"/>
          <w:sz w:val="24"/>
          <w:szCs w:val="24"/>
        </w:rPr>
        <w:t xml:space="preserve">Данный пункт включает в себя сведения о наименовании факта, дате его появления, влиянии факта на деятельность эмитента, а также дату и форму раскрытия информации о данном факте.</w:t>
      </w:r>
    </w:p>
    <w:p>
      <w:pPr>
        <w:spacing w:after="60" w:before="120"/>
        <w:ind w:firstLine="567"/>
        <w:jc w:val="both"/>
      </w:pPr>
      <w:r>
        <w:rPr>
          <w:rFonts w:ascii="Arial" w:cs="Arial" w:eastAsia="Arial" w:hAnsi="Arial"/>
          <w:sz w:val="24"/>
          <w:szCs w:val="24"/>
        </w:rPr>
        <w:t xml:space="preserve">5. Финансовая отчетность эмитента за отчетный квартал</w:t>
      </w:r>
    </w:p>
    <w:p>
      <w:pPr>
        <w:spacing w:after="120" w:before="120"/>
        <w:ind w:firstLine="567"/>
        <w:jc w:val="both"/>
      </w:pPr>
      <w:r>
        <w:rPr>
          <w:rFonts w:ascii="Arial" w:cs="Arial" w:eastAsia="Arial" w:hAnsi="Arial"/>
          <w:sz w:val="24"/>
          <w:szCs w:val="24"/>
        </w:rPr>
        <w:t xml:space="preserve">1) Сведения, включаемые в бухгалтерский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9"/>
        <w:gridCol w:w="4562"/>
        <w:gridCol w:w="2363"/>
        <w:gridCol w:w="2274"/>
      </w:tblGrid>
      <w:tr>
        <w:tc>
          <w:tcPr>
            <w:tcW w:type="dxa" w:w="9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5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Оборотные активы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Внеоборотные активы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Долгосрочная дебиторская задолженность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Краткосрочная дебиторская задолженность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(010+020+030+040)</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и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Краткосрочные обязательства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Долгосрочные обязательства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(060+070)</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Уставный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Дополнительный оплаченный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Резервный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(060+070+090)</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Сведения, включаемые в отчет о прибылях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2"/>
        <w:gridCol w:w="5008"/>
        <w:gridCol w:w="2156"/>
        <w:gridCol w:w="2082"/>
      </w:tblGrid>
      <w:tr>
        <w:tc>
          <w:tcPr>
            <w:tcW w:type="dxa" w:w="9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50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прочей операционной деятельности (доходы - расходы)</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Прибыль/убыток от операционной деятельности (010+020-030)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неоперационной деятельности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до вычета налогов (040+050)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от обычной деятельности (060-070)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статьи за минусом налога на прибыль</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(убыток) отчетного периода (080+090)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0"/>
        <w:gridCol w:w="4938"/>
        <w:gridCol w:w="2188"/>
        <w:gridCol w:w="2111"/>
      </w:tblGrid>
      <w:tr>
        <w:tc>
          <w:tcPr>
            <w:tcW w:type="dxa" w:w="9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 20 г.</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учетной политике и исправление существенных ошибок</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Пересчитанное сальдо</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 за отчетный период</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акций</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прибыли к распределению</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уставного капитала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__________ 20 г.</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Сведения о направлении средств, привлеченных эмитентом в результате размещения эмиссионных ценных бумаг и ипотечных ценных бумаг, которые включают в себя: общий объем привлеченных средств, сведения о привлеченных средствах, использованных по каждому из направлений, и о направлениях использования привлеченных средств.</w:t>
      </w:r>
    </w:p>
    <w:p>
      <w:pPr>
        <w:spacing w:after="60"/>
        <w:ind w:firstLine="567"/>
        <w:jc w:val="both"/>
      </w:pPr>
      <w:r>
        <w:rPr>
          <w:rFonts w:ascii="Arial" w:cs="Arial" w:eastAsia="Arial" w:hAnsi="Arial"/>
          <w:sz w:val="24"/>
          <w:szCs w:val="24"/>
        </w:rPr>
        <w:t xml:space="preserve">7. Заемные средства, полученные эмитентом и его дочерними обществами в отчетном квартале. Данный пункт отражает заемные средства, полученные эмитентом в отчетном квартале, и заемные средства, полученные дочерними обществами в отчетном квартале.</w:t>
      </w:r>
    </w:p>
    <w:p>
      <w:pPr>
        <w:spacing w:after="60"/>
        <w:ind w:firstLine="567"/>
        <w:jc w:val="both"/>
      </w:pPr>
      <w:r>
        <w:rPr>
          <w:rFonts w:ascii="Arial" w:cs="Arial" w:eastAsia="Arial" w:hAnsi="Arial"/>
          <w:sz w:val="24"/>
          <w:szCs w:val="24"/>
        </w:rPr>
        <w:t xml:space="preserve">8. Сведения о долгосрочных и краткосрочных финансовых вложениях эмитента за отчетный квартал.</w:t>
      </w:r>
    </w:p>
    <w:p>
      <w:pPr>
        <w:spacing w:after="60"/>
        <w:ind w:firstLine="567"/>
        <w:jc w:val="both"/>
      </w:pPr>
      <w:r>
        <w:rPr>
          <w:rFonts w:ascii="Arial" w:cs="Arial" w:eastAsia="Arial" w:hAnsi="Arial"/>
          <w:sz w:val="24"/>
          <w:szCs w:val="24"/>
        </w:rPr>
        <w:t xml:space="preserve">9. Доходы по ценным бумагам эмитента.</w:t>
      </w:r>
    </w:p>
    <w:p>
      <w:pPr>
        <w:spacing w:after="60"/>
        <w:ind w:firstLine="567"/>
        <w:jc w:val="both"/>
      </w:pPr>
      <w:r>
        <w:rPr>
          <w:rFonts w:ascii="Arial" w:cs="Arial" w:eastAsia="Arial" w:hAnsi="Arial"/>
          <w:sz w:val="24"/>
          <w:szCs w:val="24"/>
        </w:rPr>
        <w:t xml:space="preserve">Эта информация представляется при начислении доходов по ценным бумагам эмитента в отчетном квартале или в квартале, предшествующем отчетному кварталу, и включает: вид ценной бумаги, размер доходов, начисленных на одну ценную бумагу, и общую сумму доходов, начисленных по ценным бумагам данного вида.</w:t>
      </w:r>
    </w:p>
    <w:p>
      <w:pPr>
        <w:spacing w:after="60"/>
        <w:ind w:firstLine="567"/>
        <w:jc w:val="both"/>
      </w:pPr>
      <w:r>
        <w:rPr>
          <w:rFonts w:ascii="Arial" w:cs="Arial" w:eastAsia="Arial" w:hAnsi="Arial"/>
          <w:sz w:val="24"/>
          <w:szCs w:val="24"/>
        </w:rPr>
        <w:t xml:space="preserve">10. Информация об условиях и характере сделки, совершенной лицами, заинтересованными в совершении обществом сделки, включает: дату совершения сделки, информацию о влиянии сделки на деятельность эмитента (финансовый результат, дополнительные инвестиции и т.д.), информацию об условиях и характере заключенной сделки (предмет, условия, цена сделки и т.д.), степень имеющейся заинтересованности (лица, заинтересованного в сделке), дату опубликования информации о сделке в средствах массовой информации (прилагается копия опубликованного сообщения), а также дату направления уведомления с информацией о сделке в уполномоченный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Положению о порядке раскрытия</w:t>
      </w:r>
    </w:p>
    <w:p>
      <w:pPr>
        <w:spacing w:after="120"/>
        <w:jc w:val="right"/>
      </w:pPr>
      <w:r>
        <w:rPr>
          <w:rFonts w:ascii="Arial" w:cs="Arial" w:eastAsia="Arial" w:hAnsi="Arial"/>
          <w:sz w:val="24"/>
          <w:szCs w:val="24"/>
        </w:rPr>
        <w:t xml:space="preserve">информации на рынке ценных бумаг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Данные, включаемые в краткий годовой отчет</w:t>
      </w:r>
    </w:p>
    <w:p>
      <w:pPr>
        <w:spacing w:after="120"/>
        <w:jc w:val="center"/>
      </w:pPr>
      <w:r>
        <w:rPr>
          <w:rFonts w:ascii="Arial" w:cs="Arial" w:eastAsia="Arial" w:hAnsi="Arial"/>
          <w:sz w:val="24"/>
          <w:szCs w:val="24"/>
        </w:rPr>
        <w:t xml:space="preserve">для публикации в средствах массовой информации</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 апреля 2015 года № 176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 полное и сокращенное наименование эмитента _____________________</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_________________________________</w:t>
      </w:r>
    </w:p>
    <w:p>
      <w:pPr>
        <w:spacing w:after="60"/>
        <w:ind w:firstLine="567"/>
        <w:jc w:val="both"/>
      </w:pPr>
      <w:r>
        <w:rPr>
          <w:rFonts w:ascii="Arial" w:cs="Arial" w:eastAsia="Arial" w:hAnsi="Arial"/>
          <w:sz w:val="24"/>
          <w:szCs w:val="24"/>
        </w:rPr>
        <w:t xml:space="preserve">- юридический и почтовый адрес эмитента,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 основной вид деятельности эмитента ______________________________</w:t>
      </w:r>
    </w:p>
    <w:p>
      <w:pPr>
        <w:spacing w:after="60"/>
        <w:ind w:firstLine="567"/>
        <w:jc w:val="both"/>
      </w:pPr>
      <w:r>
        <w:rPr>
          <w:rFonts w:ascii="Arial" w:cs="Arial" w:eastAsia="Arial" w:hAnsi="Arial"/>
          <w:sz w:val="24"/>
          <w:szCs w:val="24"/>
        </w:rPr>
        <w:t xml:space="preserve">2. Количество владельцев ценных бумаг и работников эмитента.</w:t>
      </w:r>
    </w:p>
    <w:p>
      <w:pPr>
        <w:spacing w:after="60"/>
        <w:ind w:firstLine="567"/>
        <w:jc w:val="both"/>
      </w:pPr>
      <w:r>
        <w:rPr>
          <w:rFonts w:ascii="Arial" w:cs="Arial" w:eastAsia="Arial" w:hAnsi="Arial"/>
          <w:sz w:val="24"/>
          <w:szCs w:val="24"/>
        </w:rPr>
        <w:t xml:space="preserve">Данный пункт включает в себя сведения о количестве владельцев ценных бумаг по состоянию на конец отчетного года и количестве работников эмитента на конец отчетного года.</w:t>
      </w:r>
    </w:p>
    <w:p>
      <w:pPr>
        <w:spacing w:after="60"/>
        <w:ind w:firstLine="567"/>
        <w:jc w:val="both"/>
      </w:pPr>
      <w:r>
        <w:rPr>
          <w:rFonts w:ascii="Arial" w:cs="Arial" w:eastAsia="Arial" w:hAnsi="Arial"/>
          <w:sz w:val="24"/>
          <w:szCs w:val="24"/>
        </w:rPr>
        <w:t xml:space="preserve">3. Список юридических лиц, в которых данный эмитент владеет 5 и более процентами уставного капитала.</w:t>
      </w:r>
    </w:p>
    <w:p>
      <w:pPr>
        <w:spacing w:after="60"/>
        <w:ind w:firstLine="567"/>
        <w:jc w:val="both"/>
      </w:pPr>
      <w:r>
        <w:rPr>
          <w:rFonts w:ascii="Arial" w:cs="Arial" w:eastAsia="Arial" w:hAnsi="Arial"/>
          <w:sz w:val="24"/>
          <w:szCs w:val="24"/>
        </w:rPr>
        <w:t xml:space="preserve">В данном пункте отражается полное наименование юридического лица, его организационно-правовая форма, местонахождение, почтовый адрес, телефон, факс, адрес электронной почты и код ОКНО, а также доля участия в уставном капитале.</w:t>
      </w:r>
    </w:p>
    <w:p>
      <w:pPr>
        <w:spacing w:after="60"/>
        <w:ind w:firstLine="567"/>
        <w:jc w:val="both"/>
      </w:pPr>
      <w:r>
        <w:rPr>
          <w:rFonts w:ascii="Arial" w:cs="Arial" w:eastAsia="Arial" w:hAnsi="Arial"/>
          <w:sz w:val="24"/>
          <w:szCs w:val="24"/>
        </w:rPr>
        <w:t xml:space="preserve">4. Информация о существенных фактах (далее - факт), затрагивающих деятельность эмитента ценных бумаг в отчетном периоде.</w:t>
      </w:r>
    </w:p>
    <w:p>
      <w:pPr>
        <w:spacing w:after="60"/>
        <w:ind w:firstLine="567"/>
        <w:jc w:val="both"/>
      </w:pPr>
      <w:r>
        <w:rPr>
          <w:rFonts w:ascii="Arial" w:cs="Arial" w:eastAsia="Arial" w:hAnsi="Arial"/>
          <w:sz w:val="24"/>
          <w:szCs w:val="24"/>
        </w:rPr>
        <w:t xml:space="preserve">Данный пункт включает в себя сведения о наименовании факта, дате его появления, влиянии факта на деятельность эмитента, а также дату и форму раскрытия информации о данном факте.</w:t>
      </w:r>
    </w:p>
    <w:p>
      <w:pPr>
        <w:spacing w:after="60"/>
        <w:ind w:firstLine="567"/>
        <w:jc w:val="both"/>
      </w:pPr>
      <w:r>
        <w:rPr>
          <w:rFonts w:ascii="Arial" w:cs="Arial" w:eastAsia="Arial" w:hAnsi="Arial"/>
          <w:sz w:val="24"/>
          <w:szCs w:val="24"/>
        </w:rPr>
        <w:t xml:space="preserve">5. Финансовая отчетность эмитента за отчетный год.</w:t>
      </w:r>
    </w:p>
    <w:p>
      <w:pPr>
        <w:spacing w:after="120"/>
        <w:ind w:firstLine="567"/>
        <w:jc w:val="both"/>
      </w:pPr>
      <w:r>
        <w:rPr>
          <w:rFonts w:ascii="Arial" w:cs="Arial" w:eastAsia="Arial" w:hAnsi="Arial"/>
          <w:sz w:val="24"/>
          <w:szCs w:val="24"/>
        </w:rPr>
        <w:t xml:space="preserve">1) Сведения, включаемые в бухгалтерский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6"/>
        <w:gridCol w:w="3931"/>
        <w:gridCol w:w="2534"/>
        <w:gridCol w:w="2477"/>
      </w:tblGrid>
      <w:tr>
        <w:tc>
          <w:tcPr>
            <w:tcW w:type="dxa" w:w="1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39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4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Оборотные активы</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Внеоборотные активы</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Долгосрочная дебиторская задолженность</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Краткосрочная дебиторская задолженность</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(010+020+030+040)</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и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Краткосрочные обязательства</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Долгосрочные обязательства</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(060+070)</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Уставный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Дополнительный оплаченный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Резервный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Сведения, включаемые в отчет о прибылях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4"/>
        <w:gridCol w:w="4638"/>
        <w:gridCol w:w="2238"/>
        <w:gridCol w:w="2189"/>
      </w:tblGrid>
      <w:tr>
        <w:tc>
          <w:tcPr>
            <w:tcW w:type="dxa" w:w="11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прочей операционной деятельности (доходы - расходы)</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Прибыль/убыток от операционной деятельности (010+020-030)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неоперационной деятельности</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до вычета налогов (040+050)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от обычной деятельности (060-070)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статьи за минусом налога на прибыль</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(убыток) отчетного периода (080+090)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5"/>
        <w:gridCol w:w="4338"/>
        <w:gridCol w:w="2345"/>
        <w:gridCol w:w="2300"/>
      </w:tblGrid>
      <w:tr>
        <w:tc>
          <w:tcPr>
            <w:tcW w:type="dxa" w:w="11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__________ 20__ г.</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учетной политике и исправление существенных ошибок</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Пересчитанное сальдо</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 за отчетный период</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акций</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прибыли к распределению</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уставного капитала</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___________ 20__ г.</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Аудиторское заключение к годовой финансовой отчетности эмитента.</w:t>
      </w:r>
    </w:p>
    <w:p>
      <w:pPr>
        <w:spacing w:after="60"/>
        <w:ind w:firstLine="567"/>
        <w:jc w:val="both"/>
      </w:pPr>
      <w:r>
        <w:rPr>
          <w:rFonts w:ascii="Arial" w:cs="Arial" w:eastAsia="Arial" w:hAnsi="Arial"/>
          <w:sz w:val="24"/>
          <w:szCs w:val="24"/>
        </w:rPr>
        <w:t xml:space="preserve">7. Сведения о долгосрочных и краткосрочных финансовых вложениях эмитента за отчетный год (объекты вложений, сумма вложений по каждому объекту, срок и другие существенные условия).</w:t>
      </w:r>
    </w:p>
    <w:p>
      <w:pPr>
        <w:spacing w:after="60"/>
        <w:ind w:firstLine="567"/>
        <w:jc w:val="both"/>
      </w:pPr>
      <w:r>
        <w:rPr>
          <w:rFonts w:ascii="Arial" w:cs="Arial" w:eastAsia="Arial" w:hAnsi="Arial"/>
          <w:sz w:val="24"/>
          <w:szCs w:val="24"/>
        </w:rPr>
        <w:t xml:space="preserve">8. Информация об условиях и характере сделки, совершенной лицами, заинтересованными в совершении обществом сделки, включает: дату совершения сделки, информацию о влиянии сделки на деятельность эмитента (финансовый результат, дополнительные инвестиции и т.д.), информацию об условиях и характере заключенной сделки (предмет, условия, цена сделки и т.д.), информацию о заинтересованных в сделке лицах, степень имеющейся заинтересованности (лица, заинтересованного в сделке), дату опубликования информации о сделке в средствах массовой информации (прилагается копия опубликованного сообщения), а также дату направления уведомления с информацией о сделке в уполномоченный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zarh7zib86cd6rb0wde">
      <w:r>
        <w:rPr>
          <w:rFonts w:ascii="Arial" w:cs="Arial" w:eastAsia="Arial" w:hAnsi="Arial"/>
          <w:color w:val="132D3F"/>
          <w:sz w:val="16"/>
          <w:szCs w:val="16"/>
          <w:u w:val="single"/>
        </w:rPr>
        <w:t xml:space="preserve">dalil.kg/document/92709</w:t>
      </w:r>
    </w:hyperlink>
  </w:p>
  <w:p>
    <w:pPr>
      <w:spacing w:after="0" w:before="40"/>
      <w:jc w:val="center"/>
    </w:pPr>
    <w:hyperlink w:history="1" r:id="rId704lye7gqvdsjbi3peu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esn0zibbpwjyoik7hixb" Type="http://schemas.openxmlformats.org/officeDocument/2006/relationships/hyperlink" Target="https://dalil.kg/document/12633" TargetMode="External"/><Relationship Id="rIdpposglmq-nw1y6m4xqacr" Type="http://schemas.openxmlformats.org/officeDocument/2006/relationships/hyperlink" Target="https://dalil.kg/document/92624" TargetMode="External"/><Relationship Id="rId79b9atkqn_t2ieyuazdxi" Type="http://schemas.openxmlformats.org/officeDocument/2006/relationships/hyperlink" Target="https://dalil.kg/document/93143" TargetMode="External"/><Relationship Id="rId5yoeegieeyhvhycob0n3q" Type="http://schemas.openxmlformats.org/officeDocument/2006/relationships/hyperlink" Target="https://dalil.kg/document/97427" TargetMode="External"/><Relationship Id="rIdwqxwpw9jjojxjq14smv82" Type="http://schemas.openxmlformats.org/officeDocument/2006/relationships/hyperlink" Target="https://dalil.kg/document/98796" TargetMode="External"/><Relationship Id="rId1gayd-459qznbe8nb0to1" Type="http://schemas.openxmlformats.org/officeDocument/2006/relationships/hyperlink" Target="https://dalil.kg/document/4" TargetMode="External"/><Relationship Id="rIdxfx-o3kia7jmxeaxqchrk" Type="http://schemas.openxmlformats.org/officeDocument/2006/relationships/hyperlink" Target="https://dalil.kg/document/98796" TargetMode="External"/><Relationship Id="rIdeslnma-ektart1tzds7f4" Type="http://schemas.openxmlformats.org/officeDocument/2006/relationships/hyperlink" Target="https://dalil.kg/document/92709#p5" TargetMode="External"/><Relationship Id="rIdy62a5uugmxmzonlasqg6q" Type="http://schemas.openxmlformats.org/officeDocument/2006/relationships/hyperlink" Target="https://dalil.kg/document/93143" TargetMode="External"/><Relationship Id="rIdg9dtvgbsas2d8tpttuksk" Type="http://schemas.openxmlformats.org/officeDocument/2006/relationships/hyperlink" Target="https://dalil.kg/document/93143" TargetMode="External"/><Relationship Id="rId_mn97zbolhkkqp2bmekrg" Type="http://schemas.openxmlformats.org/officeDocument/2006/relationships/hyperlink" Target="https://dalil.kg/document/97427" TargetMode="External"/><Relationship Id="rIdnckz1jbq-9s2mvqhs_v3r" Type="http://schemas.openxmlformats.org/officeDocument/2006/relationships/hyperlink" Target="https://dalil.kg/document/97427" TargetMode="External"/><Relationship Id="rIdfp1we105zyvl994els4ot" Type="http://schemas.openxmlformats.org/officeDocument/2006/relationships/hyperlink" Target="https://dalil.kg/document/98796" TargetMode="External"/><Relationship Id="rIdp6nwctwojz3igt4stcwd8" Type="http://schemas.openxmlformats.org/officeDocument/2006/relationships/hyperlink" Target="https://dalil.kg/document/98796" TargetMode="External"/><Relationship Id="rId23eoj1vfimcadydwdof0m" Type="http://schemas.openxmlformats.org/officeDocument/2006/relationships/hyperlink" Target="https://dalil.kg/document/98796" TargetMode="External"/><Relationship Id="rIdzn-eemtwkhiypphqp04k-" Type="http://schemas.openxmlformats.org/officeDocument/2006/relationships/hyperlink" Target="https://dalil.kg/document/98796" TargetMode="External"/><Relationship Id="rIdlqmnpkwypzyb_tluwzg4y" Type="http://schemas.openxmlformats.org/officeDocument/2006/relationships/hyperlink" Target="https://dalil.kg/document/97427" TargetMode="External"/><Relationship Id="rId0adtwndum2ltqc63uwuir" Type="http://schemas.openxmlformats.org/officeDocument/2006/relationships/hyperlink" Target="https://dalil.kg/document/98796" TargetMode="External"/><Relationship Id="rId2aqgmspg8hfpkvx9tzcna" Type="http://schemas.openxmlformats.org/officeDocument/2006/relationships/hyperlink" Target="https://dalil.kg/document/98796" TargetMode="External"/><Relationship Id="rIdp44vl9fi7124dobputicu" Type="http://schemas.openxmlformats.org/officeDocument/2006/relationships/hyperlink" Target="https://dalil.kg/document/97427" TargetMode="External"/><Relationship Id="rIdvaacqozjuxtzpf48oyzdn" Type="http://schemas.openxmlformats.org/officeDocument/2006/relationships/hyperlink" Target="https://dalil.kg/document/98796" TargetMode="External"/><Relationship Id="rIdt_85td5felrwnzat5pt4d" Type="http://schemas.openxmlformats.org/officeDocument/2006/relationships/hyperlink" Target="https://dalil.kg/document/97427" TargetMode="External"/><Relationship Id="rIdtfasmvm1abaedyw-wdunf" Type="http://schemas.openxmlformats.org/officeDocument/2006/relationships/hyperlink" Target="https://dalil.kg/document/98796" TargetMode="External"/><Relationship Id="rIdnphyitlisy6e_jof9oe31" Type="http://schemas.openxmlformats.org/officeDocument/2006/relationships/hyperlink" Target="https://dalil.kg/document/98796"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zarh7zib86cd6rb0wde" Type="http://schemas.openxmlformats.org/officeDocument/2006/relationships/hyperlink" Target="https://dalil.kg/document/92709" TargetMode="External"/><Relationship Id="rId704lye7gqvdsjbi3peu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2026-09-24T23:14:07.459Z</dcterms:created>
  <dcterms:modified xsi:type="dcterms:W3CDTF">2026-09-24T23:14:07.459Z</dcterms:modified>
</cp:coreProperties>
</file>

<file path=docProps/custom.xml><?xml version="1.0" encoding="utf-8"?>
<Properties xmlns="http://schemas.openxmlformats.org/officeDocument/2006/custom-properties" xmlns:vt="http://schemas.openxmlformats.org/officeDocument/2006/docPropsVTypes"/>
</file>