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h0cyvj6m-zh06bs7vgkw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23 августа 2011 года №488</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инициированный депутатом Жогорку Кенеша Кыргызской Республики Иманалиевым К.К.</w:t>
      </w:r>
    </w:p>
    <w:p>
      <w:pPr>
        <w:spacing w:after="120"/>
        <w:jc w:val="both"/>
      </w:pPr>
      <w:r>
        <w:rPr>
          <w:rFonts w:ascii="Arial" w:cs="Arial" w:eastAsia="Arial" w:hAnsi="Arial"/>
          <w:sz w:val="24"/>
          <w:szCs w:val="24"/>
        </w:rPr>
        <w:t xml:space="preserve">В соответствии со статьей 79 </w:t>
      </w:r>
      <w:hyperlink w:history="1" r:id="rIdh5m8y6r14sxq6vsafjt4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w:t>
      </w:r>
      <w:hyperlink w:history="1" r:id="rIda9bygssk5fu68tfmgtns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q7sogs9speqbhmzdp_qy5">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инициированный депутатом Жогорку Кенеша Кыргызской Республики Иманалиевым К.К.</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r-dvxazxsflpcwmgvnfn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№488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инициированный депутатом Жогорку Кенеша Кыргызской Республики Иманалиевым К.К.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yxjrnxmlgc0a4pqmnczg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w:t>
      </w:r>
      <w:hyperlink w:history="1" r:id="rId2c11fzwplur7jo3c-nlm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и дополнений в Налоговый </w:t>
      </w:r>
      <w:hyperlink w:history="1" r:id="rId-eozbiosbb4ciuzqqxp3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Иманалиевым К.К., предусматривающий освобождение от уплаты подоходного налога, налога на прибыль, налога на добавленную стоимость, налога с продаж и налога на специальные средства, деятельность, связанную с производством и реализацией книжной продукции, Правительство Кыргызской Республики пришло к следующему заключению.</w:t>
      </w:r>
    </w:p>
    <w:p>
      <w:pPr>
        <w:spacing w:after="120"/>
        <w:jc w:val="both"/>
      </w:pPr>
      <w:r>
        <w:rPr>
          <w:rFonts w:ascii="Arial" w:cs="Arial" w:eastAsia="Arial" w:hAnsi="Arial"/>
          <w:sz w:val="24"/>
          <w:szCs w:val="24"/>
        </w:rPr>
        <w:t xml:space="preserve">Налоговый кодекс Кыргызской Республики предусматривает единый подход к налогообложению хозяйствующих субъектов и основывается на принципах обязательности уплаты налогов и сборов в бюджет, определенности, справедливости обложения налогами и сборами, единства налоговой системы, стабильности и гласности законодательства о налогах и сборах.</w:t>
      </w:r>
    </w:p>
    <w:p>
      <w:pPr>
        <w:spacing w:after="120"/>
        <w:jc w:val="both"/>
      </w:pPr>
      <w:r>
        <w:rPr>
          <w:rFonts w:ascii="Arial" w:cs="Arial" w:eastAsia="Arial" w:hAnsi="Arial"/>
          <w:sz w:val="24"/>
          <w:szCs w:val="24"/>
        </w:rPr>
        <w:t xml:space="preserve">Также следует отметить, что в соответствии со статьей 10 Налогового </w:t>
      </w:r>
      <w:hyperlink w:history="1" r:id="rIdoidrgw2ymcpdppmuqk_g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запрещается предоставление налоговых льгот индивидуального характера.</w:t>
      </w:r>
    </w:p>
    <w:p>
      <w:pPr>
        <w:spacing w:after="120"/>
        <w:jc w:val="both"/>
      </w:pPr>
      <w:r>
        <w:rPr>
          <w:rFonts w:ascii="Arial" w:cs="Arial" w:eastAsia="Arial" w:hAnsi="Arial"/>
          <w:sz w:val="24"/>
          <w:szCs w:val="24"/>
        </w:rPr>
        <w:t xml:space="preserve">Любые льготы, предоставляемые отдельным категориям налогоплательщиков, не предусмотренные налоговым законодательством Кыргызской Республики, приводят к нарушению одного из перечисленных принципов налогообложения, т.е. принципа справедливости, предполагающего создание условий экономической деятельности для всех категорий налогоплательщиков и создание механизма распределения налогов между отдельными налогоплательщиками по принципу справедливости и равномерности. Предоставляя налоговые льготы в одних видах экономической деятельности, государство вынуждено, для восполнения выпадающих доходов, повышать налоговые платежи для других видов деятельности. Это приводит к неравномерному распределению налогового бремени.</w:t>
      </w:r>
    </w:p>
    <w:p>
      <w:pPr>
        <w:spacing w:after="120"/>
        <w:jc w:val="both"/>
      </w:pPr>
      <w:r>
        <w:rPr>
          <w:rFonts w:ascii="Arial" w:cs="Arial" w:eastAsia="Arial" w:hAnsi="Arial"/>
          <w:sz w:val="24"/>
          <w:szCs w:val="24"/>
        </w:rPr>
        <w:t xml:space="preserve">Кроме того, в соответствии с пунктом 10 раздела "А" Налогово-бюджетной политики Меморандума об экономической и финансовой политике (МЭФП) на 2011-2014 годы между Правительством Кыргызской Республики и Международным валютным фондом (МВФ) Правительство Кыргызской Республики приняло на себя обязательство не вводить новые налоговые льготы на протяжении срока действия Меморандума.</w:t>
      </w:r>
    </w:p>
    <w:p>
      <w:pPr>
        <w:spacing w:after="120"/>
        <w:jc w:val="both"/>
      </w:pPr>
      <w:r>
        <w:rPr>
          <w:rFonts w:ascii="Arial" w:cs="Arial" w:eastAsia="Arial" w:hAnsi="Arial"/>
          <w:sz w:val="24"/>
          <w:szCs w:val="24"/>
        </w:rPr>
        <w:t xml:space="preserve">Для предоставления освобождения от уплаты какого-либо вида налога необходимо сначала определить соответствующие альтернативные источники по компенсации прямых потерь доходов бюджета, поскольку рассматриваемым законопроектом предлагается освободить от уплаты подоходного налога, налога на прибыль, налога на добавленную стоимость, налога с продаж и налога на специальные средства деятельность, связанную с реализацией книжной продукции, а также работу, связанную с выпуском книжной продукции, в том числе редакционно-издательские услуги, услуги тиражирования, а также услуги и работы по транспортировке книжной продукции.</w:t>
      </w:r>
    </w:p>
    <w:p>
      <w:pPr>
        <w:spacing w:after="120"/>
        <w:jc w:val="both"/>
      </w:pPr>
      <w:r>
        <w:rPr>
          <w:rFonts w:ascii="Arial" w:cs="Arial" w:eastAsia="Arial" w:hAnsi="Arial"/>
          <w:sz w:val="24"/>
          <w:szCs w:val="24"/>
        </w:rPr>
        <w:t xml:space="preserve">На основании вышеизложенного, учитывая отсутствие альтернативных источников возмещения прямых потерь доходов бюджета, Правительство Кыргызской Республики считает нецелесообразным принятие проекта Закона Кыргызской Республики "О внесении изменений и дополнений в Налоговый </w:t>
      </w:r>
      <w:hyperlink w:history="1" r:id="rIdwr5c-l9itryqfe03hitc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инициированного депутатом Жогорку Кенеша Кыргызской Республики Иманалиевым К.К.</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_bhilbh1-hyt0z2ixrt6">
      <w:r>
        <w:rPr>
          <w:rFonts w:ascii="Arial" w:cs="Arial" w:eastAsia="Arial" w:hAnsi="Arial"/>
          <w:color w:val="132D3F"/>
          <w:sz w:val="16"/>
          <w:szCs w:val="16"/>
          <w:u w:val="single"/>
        </w:rPr>
        <w:t xml:space="preserve">dalil.kg/document/92791</w:t>
      </w:r>
    </w:hyperlink>
  </w:p>
  <w:p>
    <w:pPr>
      <w:spacing w:after="0" w:before="40"/>
      <w:jc w:val="center"/>
    </w:pPr>
    <w:hyperlink w:history="1" r:id="rIdrg_r02nkjtvxotjzjzb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0cyvj6m-zh06bs7vgkwv" Type="http://schemas.openxmlformats.org/officeDocument/2006/relationships/hyperlink" Target="https://dalil.kg/document/159126" TargetMode="External"/><Relationship Id="rIdh5m8y6r14sxq6vsafjt49" Type="http://schemas.openxmlformats.org/officeDocument/2006/relationships/hyperlink" Target="https://dalil.kg/document/202913" TargetMode="External"/><Relationship Id="rIda9bygssk5fu68tfmgtnsf" Type="http://schemas.openxmlformats.org/officeDocument/2006/relationships/hyperlink" Target="https://dalil.kg/document/1754" TargetMode="External"/><Relationship Id="rIdq7sogs9speqbhmzdp_qy5" Type="http://schemas.openxmlformats.org/officeDocument/2006/relationships/hyperlink" Target="https://dalil.kg/document/92791#&#1088;1" TargetMode="External"/><Relationship Id="rIdr-dvxazxsflpcwmgvnfnz" Type="http://schemas.openxmlformats.org/officeDocument/2006/relationships/hyperlink" Target="https://dalil.kg/document/92791" TargetMode="External"/><Relationship Id="rIdyxjrnxmlgc0a4pqmnczgg" Type="http://schemas.openxmlformats.org/officeDocument/2006/relationships/hyperlink" Target="https://dalil.kg/document/202913" TargetMode="External"/><Relationship Id="rId2c11fzwplur7jo3c-nlm1" Type="http://schemas.openxmlformats.org/officeDocument/2006/relationships/hyperlink" Target="https://dalil.kg/document/1754" TargetMode="External"/><Relationship Id="rId-eozbiosbb4ciuzqqxp3c" Type="http://schemas.openxmlformats.org/officeDocument/2006/relationships/hyperlink" Target="https://dalil.kg/document/202445" TargetMode="External"/><Relationship Id="rIdoidrgw2ymcpdppmuqk_gu" Type="http://schemas.openxmlformats.org/officeDocument/2006/relationships/hyperlink" Target="https://dalil.kg/document/202445" TargetMode="External"/><Relationship Id="rIdwr5c-l9itryqfe03hitcy"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_bhilbh1-hyt0z2ixrt6" Type="http://schemas.openxmlformats.org/officeDocument/2006/relationships/hyperlink" Target="https://dalil.kg/document/92791" TargetMode="External"/><Relationship Id="rIdrg_r02nkjtvxotjzjzb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2026-09-24T19:17:07.120Z</dcterms:created>
  <dcterms:modified xsi:type="dcterms:W3CDTF">2026-09-24T19:17:07.120Z</dcterms:modified>
</cp:coreProperties>
</file>

<file path=docProps/custom.xml><?xml version="1.0" encoding="utf-8"?>
<Properties xmlns="http://schemas.openxmlformats.org/officeDocument/2006/custom-properties" xmlns:vt="http://schemas.openxmlformats.org/officeDocument/2006/docPropsVTypes"/>
</file>