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августа 2011 года №490</w:t>
      </w:r>
    </w:p>
    <w:p>
      <w:pPr>
        <w:spacing w:after="120"/>
        <w:jc w:val="both"/>
      </w:pPr>
      <w:r>
        <w:rPr>
          <w:rFonts w:ascii="Arial" w:cs="Arial" w:eastAsia="Arial" w:hAnsi="Arial"/>
          <w:sz w:val="24"/>
          <w:szCs w:val="24"/>
        </w:rPr>
        <w:t xml:space="preserve">О реализации Закона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w:t>
      </w:r>
    </w:p>
    <w:p>
      <w:pPr>
        <w:spacing w:after="120"/>
        <w:jc w:val="both"/>
      </w:pPr>
      <w:r>
        <w:rPr>
          <w:rFonts w:ascii="Arial" w:cs="Arial" w:eastAsia="Arial" w:hAnsi="Arial"/>
          <w:sz w:val="24"/>
          <w:szCs w:val="24"/>
        </w:rPr>
        <w:t xml:space="preserve">В целях реализации </w:t>
      </w:r>
      <w:hyperlink w:history="1" r:id="rId63pdioo6jawupn3gms4j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и создания необходимых условий для инвестирования средств пенсионных накоплений Социальным фондом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hm9nbkfa2x1ebv8fz5e_9">
        <w:r>
          <w:rPr>
            <w:rFonts w:ascii="Arial" w:cs="Arial" w:eastAsia="Arial" w:hAnsi="Arial"/>
            <w:color w:val="1D4ED8"/>
            <w:sz w:val="24"/>
            <w:szCs w:val="24"/>
            <w:u w:val="single"/>
          </w:rPr>
          <w:t xml:space="preserve">Временные правила</w:t>
        </w:r>
      </w:hyperlink>
      <w:r>
        <w:rPr>
          <w:rFonts w:ascii="Arial" w:cs="Arial" w:eastAsia="Arial" w:hAnsi="Arial"/>
          <w:sz w:val="24"/>
          <w:szCs w:val="24"/>
        </w:rPr>
        <w:t xml:space="preserve"> инвестирования средств пенсионных накоплений Социальным фондом Кыргызской Республики;</w:t>
      </w:r>
    </w:p>
    <w:p>
      <w:pPr>
        <w:spacing w:after="120"/>
        <w:jc w:val="both"/>
      </w:pPr>
      <w:r>
        <w:rPr>
          <w:rFonts w:ascii="Arial" w:cs="Arial" w:eastAsia="Arial" w:hAnsi="Arial"/>
          <w:sz w:val="24"/>
          <w:szCs w:val="24"/>
        </w:rPr>
        <w:t xml:space="preserve">- </w:t>
      </w:r>
      <w:hyperlink w:history="1" r:id="rId5o7ual1ux9rjqhkl8mix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Социальным фондом Кыргызской Республики депозитных аукционов.</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отдел финансовой и кредитной политики Аппарата Правительства Кыргызской Республики.</w:t>
      </w:r>
    </w:p>
    <w:p>
      <w:pPr>
        <w:spacing w:after="120"/>
        <w:jc w:val="both"/>
      </w:pPr>
      <w:r>
        <w:rPr>
          <w:rFonts w:ascii="Arial" w:cs="Arial" w:eastAsia="Arial" w:hAnsi="Arial"/>
          <w:sz w:val="24"/>
          <w:szCs w:val="24"/>
        </w:rPr>
        <w:t xml:space="preserve">3. Постановление вступает в силу со дня официального опубликования и действует до 31 декабря 2012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w:t>
      </w:r>
      <w:r>
        <w:rPr>
          <w:rFonts w:ascii="Arial" w:cs="Arial" w:eastAsia="Arial" w:hAnsi="Arial"/>
          <w:sz w:val="24"/>
          <w:szCs w:val="24"/>
        </w:rPr>
        <w:t xml:space="preserve"> </w:t>
      </w:r>
      <w:hyperlink w:history="1" r:id="rIddumvda375glrugwprpds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2011 года №490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ВРЕМЕННЫЕ ПРАВИЛА
 инвестирования средств пенсионных накоплений Социальным фондом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положения</w:t>
      </w:r>
    </w:p>
    <w:p>
      <w:pPr>
        <w:spacing w:after="120"/>
        <w:jc w:val="both"/>
      </w:pPr>
      <w:r>
        <w:rPr>
          <w:rFonts w:ascii="Arial" w:cs="Arial" w:eastAsia="Arial" w:hAnsi="Arial"/>
          <w:sz w:val="24"/>
          <w:szCs w:val="24"/>
        </w:rPr>
        <w:t xml:space="preserve">2. Требования по формированию состава и структуры инвестирования пенсионных накоплений</w:t>
      </w:r>
    </w:p>
    <w:p>
      <w:pPr>
        <w:spacing w:after="120"/>
        <w:jc w:val="both"/>
      </w:pPr>
      <w:r>
        <w:rPr>
          <w:rFonts w:ascii="Arial" w:cs="Arial" w:eastAsia="Arial" w:hAnsi="Arial"/>
          <w:sz w:val="24"/>
          <w:szCs w:val="24"/>
        </w:rPr>
        <w:t xml:space="preserve">3. Порядок осуществления контроля за инвестированием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Временные правила инвестирования средств пенсионных накоплений Социальным фондом Кыргызской Республики (далее - Правила) устанавливают порядок инвестирования пенсионных накоплений для Социального фонда Кыргызской Республики (далее - Социальный фонд) и требования по формированию состава и структуры инвестирования пенсионных накоплений, а также контроля за их размещением.</w:t>
      </w:r>
    </w:p>
    <w:p>
      <w:pPr>
        <w:spacing w:after="120"/>
        <w:jc w:val="both"/>
      </w:pPr>
      <w:r>
        <w:rPr>
          <w:rFonts w:ascii="Arial" w:cs="Arial" w:eastAsia="Arial" w:hAnsi="Arial"/>
          <w:sz w:val="24"/>
          <w:szCs w:val="24"/>
        </w:rPr>
        <w:t xml:space="preserve">2. Пенсионные накопления размещаются исключительно в целях сохранения и прироста средств пенсионных накоплений в интересах застрахованных лиц по накопительной части пенсии.</w:t>
      </w:r>
    </w:p>
    <w:p>
      <w:pPr>
        <w:spacing w:after="120"/>
        <w:jc w:val="both"/>
      </w:pPr>
      <w:r>
        <w:rPr>
          <w:rFonts w:ascii="Arial" w:cs="Arial" w:eastAsia="Arial" w:hAnsi="Arial"/>
          <w:sz w:val="24"/>
          <w:szCs w:val="24"/>
        </w:rPr>
        <w:t xml:space="preserve">3. Инвестирование пенсионных накоплений осуществляется Социальным фондом до 31 декабря 2012 года, а в дальнейшем передается для управления управляющим компаниям в соответствии с законодательством Кыргызской Республики.</w:t>
      </w:r>
    </w:p>
    <w:p>
      <w:pPr>
        <w:spacing w:after="120"/>
        <w:jc w:val="both"/>
      </w:pPr>
      <w:r>
        <w:rPr>
          <w:rFonts w:ascii="Arial" w:cs="Arial" w:eastAsia="Arial" w:hAnsi="Arial"/>
          <w:sz w:val="24"/>
          <w:szCs w:val="24"/>
        </w:rPr>
        <w:t xml:space="preserve">4. Инвестирование пенсионных накоплений осуществляется в соответствии с настоящими Правилами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5. Социальный фонд несет полную материальную и финансовую ответственность за сохранность, возвратность пенсионных накоплений и их прирост в период управления пенсионными накоплениями.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по формированию состава и структуры инвестирования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Социальному фонду разрешается инвестировать пенсионные накопления по следующим направлениям:</w:t>
      </w:r>
    </w:p>
    <w:p>
      <w:pPr>
        <w:spacing w:after="120"/>
        <w:jc w:val="both"/>
      </w:pPr>
      <w:r>
        <w:rPr>
          <w:rFonts w:ascii="Arial" w:cs="Arial" w:eastAsia="Arial" w:hAnsi="Arial"/>
          <w:sz w:val="24"/>
          <w:szCs w:val="24"/>
        </w:rPr>
        <w:t xml:space="preserve">1) государственные ценные бумаги Кыргызской Республики - не более 80 процентов стоимости пенсионных накоплений (в том числе - ноты Национального банка Кыргызской Республики и ценные бумаги органов местного самоуправления);</w:t>
      </w:r>
    </w:p>
    <w:p>
      <w:pPr>
        <w:spacing w:after="120"/>
        <w:jc w:val="both"/>
      </w:pPr>
      <w:r>
        <w:rPr>
          <w:rFonts w:ascii="Arial" w:cs="Arial" w:eastAsia="Arial" w:hAnsi="Arial"/>
          <w:sz w:val="24"/>
          <w:szCs w:val="24"/>
        </w:rPr>
        <w:t xml:space="preserve">2) срочные депозиты в кредитных организациях - не более 30 процентов стоимости пенсионных накоплений. При этом разрешается инвестировать в депозиты одной кредитной организации не более 25 процентов пенсионных накоплений, разрешенных настоящим подпунктом.</w:t>
      </w:r>
    </w:p>
    <w:p>
      <w:pPr>
        <w:spacing w:after="120"/>
        <w:jc w:val="both"/>
      </w:pPr>
      <w:r>
        <w:rPr>
          <w:rFonts w:ascii="Arial" w:cs="Arial" w:eastAsia="Arial" w:hAnsi="Arial"/>
          <w:sz w:val="24"/>
          <w:szCs w:val="24"/>
        </w:rPr>
        <w:t xml:space="preserve">7. Запрещается инвестирование пенсионных накоплений в следующие объекты и направления:</w:t>
      </w:r>
    </w:p>
    <w:p>
      <w:pPr>
        <w:spacing w:after="120"/>
        <w:jc w:val="both"/>
      </w:pPr>
      <w:r>
        <w:rPr>
          <w:rFonts w:ascii="Arial" w:cs="Arial" w:eastAsia="Arial" w:hAnsi="Arial"/>
          <w:sz w:val="24"/>
          <w:szCs w:val="24"/>
        </w:rPr>
        <w:t xml:space="preserve">- торгово-посредническая, банковская и производственная деятельность;</w:t>
      </w:r>
    </w:p>
    <w:p>
      <w:pPr>
        <w:spacing w:after="120"/>
        <w:jc w:val="both"/>
      </w:pPr>
      <w:r>
        <w:rPr>
          <w:rFonts w:ascii="Arial" w:cs="Arial" w:eastAsia="Arial" w:hAnsi="Arial"/>
          <w:sz w:val="24"/>
          <w:szCs w:val="24"/>
        </w:rPr>
        <w:t xml:space="preserve">- интеллектуальная собственность;</w:t>
      </w:r>
    </w:p>
    <w:p>
      <w:pPr>
        <w:spacing w:after="120"/>
        <w:jc w:val="both"/>
      </w:pPr>
      <w:r>
        <w:rPr>
          <w:rFonts w:ascii="Arial" w:cs="Arial" w:eastAsia="Arial" w:hAnsi="Arial"/>
          <w:sz w:val="24"/>
          <w:szCs w:val="24"/>
        </w:rPr>
        <w:t xml:space="preserve">- акции, облигации, выпущенные эмитентами Кыргызской Республики и иностранных государств;</w:t>
      </w:r>
    </w:p>
    <w:p>
      <w:pPr>
        <w:spacing w:after="120"/>
        <w:jc w:val="both"/>
      </w:pPr>
      <w:r>
        <w:rPr>
          <w:rFonts w:ascii="Arial" w:cs="Arial" w:eastAsia="Arial" w:hAnsi="Arial"/>
          <w:sz w:val="24"/>
          <w:szCs w:val="24"/>
        </w:rPr>
        <w:t xml:space="preserve">- физические активы, которые нечасто котируются на организованных рынках, и оценка стоимости которых является не определенной (антикварные вещи, предметы искусства и автомобили);</w:t>
      </w:r>
    </w:p>
    <w:p>
      <w:pPr>
        <w:spacing w:after="120"/>
        <w:jc w:val="both"/>
      </w:pPr>
      <w:r>
        <w:rPr>
          <w:rFonts w:ascii="Arial" w:cs="Arial" w:eastAsia="Arial" w:hAnsi="Arial"/>
          <w:sz w:val="24"/>
          <w:szCs w:val="24"/>
        </w:rPr>
        <w:t xml:space="preserve">- операции с производными финансовыми инструментами (опционы, фьючерсные и форвардные контракты).</w:t>
      </w:r>
    </w:p>
    <w:p>
      <w:pPr>
        <w:spacing w:after="120"/>
        <w:jc w:val="both"/>
      </w:pPr>
      <w:r>
        <w:rPr>
          <w:rFonts w:ascii="Arial" w:cs="Arial" w:eastAsia="Arial" w:hAnsi="Arial"/>
          <w:sz w:val="24"/>
          <w:szCs w:val="24"/>
        </w:rPr>
        <w:t xml:space="preserve">8. При инвестировании пенсионных накоплений не допускается:</w:t>
      </w:r>
    </w:p>
    <w:p>
      <w:pPr>
        <w:spacing w:after="120"/>
        <w:jc w:val="both"/>
      </w:pPr>
      <w:r>
        <w:rPr>
          <w:rFonts w:ascii="Arial" w:cs="Arial" w:eastAsia="Arial" w:hAnsi="Arial"/>
          <w:sz w:val="24"/>
          <w:szCs w:val="24"/>
        </w:rPr>
        <w:t xml:space="preserve">- представлять ссуды, давать гарантии по исполнению денежных обязательств третьих сторон и закладывать имущество фонда (активы не могут служить предметом залога и уплаты кредитору денежных сумм по обязательствам гаранта);</w:t>
      </w:r>
    </w:p>
    <w:p>
      <w:pPr>
        <w:spacing w:after="120"/>
        <w:jc w:val="both"/>
      </w:pPr>
      <w:r>
        <w:rPr>
          <w:rFonts w:ascii="Arial" w:cs="Arial" w:eastAsia="Arial" w:hAnsi="Arial"/>
          <w:sz w:val="24"/>
          <w:szCs w:val="24"/>
        </w:rPr>
        <w:t xml:space="preserve">- выступать учредителем организаций с полной имущественной ответственностью;</w:t>
      </w:r>
    </w:p>
    <w:p>
      <w:pPr>
        <w:spacing w:after="120"/>
        <w:jc w:val="both"/>
      </w:pPr>
      <w:r>
        <w:rPr>
          <w:rFonts w:ascii="Arial" w:cs="Arial" w:eastAsia="Arial" w:hAnsi="Arial"/>
          <w:sz w:val="24"/>
          <w:szCs w:val="24"/>
        </w:rPr>
        <w:t xml:space="preserve">- заключать договора купли-продажи, кроме договоров купли-продажи по объектам, предусмотренным пунктом 6 настоящих Правил;</w:t>
      </w:r>
    </w:p>
    <w:p>
      <w:pPr>
        <w:spacing w:after="120"/>
        <w:jc w:val="both"/>
      </w:pPr>
      <w:r>
        <w:rPr>
          <w:rFonts w:ascii="Arial" w:cs="Arial" w:eastAsia="Arial" w:hAnsi="Arial"/>
          <w:sz w:val="24"/>
          <w:szCs w:val="24"/>
        </w:rPr>
        <w:t xml:space="preserve">- безвозмездно отчуждать пенсионные накопления;</w:t>
      </w:r>
    </w:p>
    <w:p>
      <w:pPr>
        <w:spacing w:after="120"/>
        <w:jc w:val="both"/>
      </w:pPr>
      <w:r>
        <w:rPr>
          <w:rFonts w:ascii="Arial" w:cs="Arial" w:eastAsia="Arial" w:hAnsi="Arial"/>
          <w:sz w:val="24"/>
          <w:szCs w:val="24"/>
        </w:rPr>
        <w:t xml:space="preserve">- объединять пенсионные накопления с иными активами Социального фонда;</w:t>
      </w:r>
    </w:p>
    <w:p>
      <w:pPr>
        <w:spacing w:after="120"/>
        <w:jc w:val="both"/>
      </w:pPr>
      <w:r>
        <w:rPr>
          <w:rFonts w:ascii="Arial" w:cs="Arial" w:eastAsia="Arial" w:hAnsi="Arial"/>
          <w:sz w:val="24"/>
          <w:szCs w:val="24"/>
        </w:rPr>
        <w:t xml:space="preserve">- получать на условиях договоров займа или кредитных договоров денежные средства или иное имущество, подлежащие возврату за счет пенсионных накоплений;</w:t>
      </w:r>
    </w:p>
    <w:p>
      <w:pPr>
        <w:spacing w:after="120"/>
        <w:jc w:val="both"/>
      </w:pPr>
      <w:r>
        <w:rPr>
          <w:rFonts w:ascii="Arial" w:cs="Arial" w:eastAsia="Arial" w:hAnsi="Arial"/>
          <w:sz w:val="24"/>
          <w:szCs w:val="24"/>
        </w:rPr>
        <w:t xml:space="preserve">- предоставлять займы за счет пенсионных накоплений;</w:t>
      </w:r>
    </w:p>
    <w:p>
      <w:pPr>
        <w:spacing w:after="120"/>
        <w:jc w:val="both"/>
      </w:pPr>
      <w:r>
        <w:rPr>
          <w:rFonts w:ascii="Arial" w:cs="Arial" w:eastAsia="Arial" w:hAnsi="Arial"/>
          <w:sz w:val="24"/>
          <w:szCs w:val="24"/>
        </w:rPr>
        <w:t xml:space="preserve">- использовать пенсионные накопления для обеспечения исполнения обязательств Социального фонда, не связанных с осуществлением доверительного управления и с деятельностью по накопительному пенсионному обеспечению, а также обязательств иных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осуществления контроля за инвестированием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Социальный фонд, в целях обеспечения эффективного управления пенсионными накоплениями осуществляет следующие функции:</w:t>
      </w:r>
    </w:p>
    <w:p>
      <w:pPr>
        <w:spacing w:after="120"/>
        <w:jc w:val="both"/>
      </w:pPr>
      <w:r>
        <w:rPr>
          <w:rFonts w:ascii="Arial" w:cs="Arial" w:eastAsia="Arial" w:hAnsi="Arial"/>
          <w:sz w:val="24"/>
          <w:szCs w:val="24"/>
        </w:rPr>
        <w:t xml:space="preserve">- утверждает инвестиционную декларацию;</w:t>
      </w:r>
    </w:p>
    <w:p>
      <w:pPr>
        <w:spacing w:after="120"/>
        <w:jc w:val="both"/>
      </w:pPr>
      <w:r>
        <w:rPr>
          <w:rFonts w:ascii="Arial" w:cs="Arial" w:eastAsia="Arial" w:hAnsi="Arial"/>
          <w:sz w:val="24"/>
          <w:szCs w:val="24"/>
        </w:rPr>
        <w:t xml:space="preserve">- обеспечивает систему эффективного внутреннего учета и контроля по управлению пенсионными накоплениями.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tzw4u7kmyehuwc_taefv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2011 года №490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проведения Социальным фондом Кыргызской Республики депозитных аукционов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Определения и термины</w:t>
      </w:r>
    </w:p>
    <w:p>
      <w:pPr>
        <w:spacing w:after="120"/>
        <w:jc w:val="both"/>
      </w:pPr>
      <w:r>
        <w:rPr>
          <w:rFonts w:ascii="Arial" w:cs="Arial" w:eastAsia="Arial" w:hAnsi="Arial"/>
          <w:sz w:val="24"/>
          <w:szCs w:val="24"/>
        </w:rPr>
        <w:t xml:space="preserve">3. Общие условия проведения депозитных аукционов</w:t>
      </w:r>
    </w:p>
    <w:p>
      <w:pPr>
        <w:spacing w:after="120"/>
        <w:jc w:val="both"/>
      </w:pPr>
      <w:r>
        <w:rPr>
          <w:rFonts w:ascii="Arial" w:cs="Arial" w:eastAsia="Arial" w:hAnsi="Arial"/>
          <w:sz w:val="24"/>
          <w:szCs w:val="24"/>
        </w:rPr>
        <w:t xml:space="preserve">4. Общие условия оформления и подачи заявок по депозитным аукционам</w:t>
      </w:r>
    </w:p>
    <w:p>
      <w:pPr>
        <w:spacing w:after="120"/>
        <w:jc w:val="both"/>
      </w:pPr>
      <w:r>
        <w:rPr>
          <w:rFonts w:ascii="Arial" w:cs="Arial" w:eastAsia="Arial" w:hAnsi="Arial"/>
          <w:sz w:val="24"/>
          <w:szCs w:val="24"/>
        </w:rPr>
        <w:t xml:space="preserve">5. Порядок проведения депозитного аукциона</w:t>
      </w:r>
    </w:p>
    <w:p>
      <w:pPr>
        <w:spacing w:after="120"/>
        <w:jc w:val="both"/>
      </w:pPr>
      <w:r>
        <w:rPr>
          <w:rFonts w:ascii="Arial" w:cs="Arial" w:eastAsia="Arial" w:hAnsi="Arial"/>
          <w:sz w:val="24"/>
          <w:szCs w:val="24"/>
        </w:rPr>
        <w:t xml:space="preserve">6. Проведение расчетов по результатам депозитной операции</w:t>
      </w:r>
    </w:p>
    <w:p>
      <w:pPr>
        <w:spacing w:after="120"/>
        <w:jc w:val="both"/>
      </w:pPr>
      <w:r>
        <w:rPr>
          <w:rFonts w:ascii="Arial" w:cs="Arial" w:eastAsia="Arial" w:hAnsi="Arial"/>
          <w:sz w:val="24"/>
          <w:szCs w:val="24"/>
        </w:rPr>
        <w:t xml:space="preserve">7. Комиссия по проведению депозитных аукционов</w:t>
      </w:r>
    </w:p>
    <w:p>
      <w:pPr>
        <w:spacing w:after="120"/>
        <w:jc w:val="both"/>
      </w:pPr>
      <w:r>
        <w:rPr>
          <w:rFonts w:ascii="Arial" w:cs="Arial" w:eastAsia="Arial" w:hAnsi="Arial"/>
          <w:sz w:val="24"/>
          <w:szCs w:val="24"/>
        </w:rPr>
        <w:t xml:space="preserve">8. Заключительные положения</w:t>
      </w:r>
    </w:p>
    <w:p>
      <w:pPr>
        <w:spacing w:after="120"/>
        <w:jc w:val="both"/>
      </w:pPr>
      <w:r>
        <w:rPr>
          <w:rFonts w:ascii="Arial" w:cs="Arial" w:eastAsia="Arial" w:hAnsi="Arial"/>
          <w:sz w:val="24"/>
          <w:szCs w:val="24"/>
        </w:rPr>
        <w:t xml:space="preserve">9. Обжалование результатов депозитного аукциона</w:t>
      </w:r>
    </w:p>
    <w:p>
      <w:pPr>
        <w:spacing w:after="120"/>
        <w:jc w:val="both"/>
      </w:pPr>
      <w:r>
        <w:rPr>
          <w:rFonts w:ascii="Arial" w:cs="Arial" w:eastAsia="Arial" w:hAnsi="Arial"/>
          <w:sz w:val="24"/>
          <w:szCs w:val="24"/>
        </w:rPr>
        <w:t xml:space="preserve">Приложение 1. Параметры депозитного аукциона (пример)</w:t>
      </w:r>
    </w:p>
    <w:p>
      <w:pPr>
        <w:spacing w:after="120"/>
        <w:jc w:val="both"/>
      </w:pPr>
      <w:r>
        <w:rPr>
          <w:rFonts w:ascii="Arial" w:cs="Arial" w:eastAsia="Arial" w:hAnsi="Arial"/>
          <w:sz w:val="24"/>
          <w:szCs w:val="24"/>
        </w:rPr>
        <w:t xml:space="preserve">Приложение 2. Заявка</w:t>
      </w:r>
    </w:p>
    <w:p>
      <w:pPr>
        <w:spacing w:after="120"/>
        <w:jc w:val="both"/>
      </w:pPr>
      <w:r>
        <w:rPr>
          <w:rFonts w:ascii="Arial" w:cs="Arial" w:eastAsia="Arial" w:hAnsi="Arial"/>
          <w:sz w:val="24"/>
          <w:szCs w:val="24"/>
        </w:rPr>
        <w:t xml:space="preserve">Приложение 3. Уведомление</w:t>
      </w:r>
    </w:p>
    <w:p>
      <w:pPr>
        <w:spacing w:after="120"/>
        <w:jc w:val="both"/>
      </w:pPr>
      <w:r>
        <w:rPr>
          <w:rFonts w:ascii="Arial" w:cs="Arial" w:eastAsia="Arial" w:hAnsi="Arial"/>
          <w:sz w:val="24"/>
          <w:szCs w:val="24"/>
        </w:rPr>
        <w:t xml:space="preserve">Приложение 4. Протокол заседания комиссии по проведению депозитного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порядок проведения Социальным фондом Кыргызской Республики (далее - Социальный фонд) депозитных аукционов.</w:t>
      </w:r>
    </w:p>
    <w:p>
      <w:pPr>
        <w:spacing w:after="120"/>
        <w:jc w:val="both"/>
      </w:pPr>
      <w:r>
        <w:rPr>
          <w:rFonts w:ascii="Arial" w:cs="Arial" w:eastAsia="Arial" w:hAnsi="Arial"/>
          <w:sz w:val="24"/>
          <w:szCs w:val="24"/>
        </w:rPr>
        <w:t xml:space="preserve">2. Социальный фонд проводит депозитные аукционы в соответствии с </w:t>
      </w:r>
      <w:hyperlink w:history="1" r:id="rIdrkzseeq-v03vrn5dyhrp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Социальном фонде Кыргызской Республики", Гражданским </w:t>
      </w:r>
      <w:hyperlink w:history="1" r:id="rIdidrvi-glpvbxrgrsgm8_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3. Целью проведения депозитных аукционов является совершенствование механизма размещения средств пенсионных накоплений на депозиты коммерческих банков путем рыночного определения размера процентной ставки.</w:t>
      </w:r>
    </w:p>
    <w:p>
      <w:pPr>
        <w:spacing w:after="120"/>
        <w:jc w:val="both"/>
      </w:pPr>
      <w:r>
        <w:rPr>
          <w:rFonts w:ascii="Arial" w:cs="Arial" w:eastAsia="Arial" w:hAnsi="Arial"/>
          <w:sz w:val="24"/>
          <w:szCs w:val="24"/>
        </w:rPr>
        <w:t xml:space="preserve">4. Депозитные операции проводятся на условиях возвратности, платности и срочности.</w:t>
      </w:r>
    </w:p>
    <w:p>
      <w:pPr>
        <w:spacing w:after="120"/>
        <w:jc w:val="both"/>
      </w:pPr>
      <w:r>
        <w:rPr>
          <w:rFonts w:ascii="Arial" w:cs="Arial" w:eastAsia="Arial" w:hAnsi="Arial"/>
          <w:sz w:val="24"/>
          <w:szCs w:val="24"/>
        </w:rPr>
        <w:t xml:space="preserve">5. Участниками депозитных операций являются Социальный фонд, с одной стороны, и коммерческие банки Кыргызской Республики, отвечающие требованиям пункта 8 настоящего Положения (далее - банки), с другой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Определения и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Для целей настоящего Положения используются следующие определения и термины:</w:t>
      </w:r>
    </w:p>
    <w:p>
      <w:pPr>
        <w:spacing w:after="120"/>
        <w:jc w:val="both"/>
      </w:pPr>
      <w:r>
        <w:rPr>
          <w:rFonts w:ascii="Arial" w:cs="Arial" w:eastAsia="Arial" w:hAnsi="Arial"/>
          <w:sz w:val="24"/>
          <w:szCs w:val="24"/>
        </w:rPr>
        <w:t xml:space="preserve">временно свободные средства - сумма денежных средств в национальной валюте Кыргызской Республики, определенная согласно Графику высвобождения денежных средств;</w:t>
      </w:r>
    </w:p>
    <w:p>
      <w:pPr>
        <w:spacing w:after="120"/>
        <w:jc w:val="both"/>
      </w:pPr>
      <w:r>
        <w:rPr>
          <w:rFonts w:ascii="Arial" w:cs="Arial" w:eastAsia="Arial" w:hAnsi="Arial"/>
          <w:sz w:val="24"/>
          <w:szCs w:val="24"/>
        </w:rPr>
        <w:t xml:space="preserve">график высвобождения денежных средств - документ, разработанный в табличном виде, отражающий суммы временно свободных денежных средств и максимальный срок их размещения, утверждаемый правлением Социального фонда;</w:t>
      </w:r>
    </w:p>
    <w:p>
      <w:pPr>
        <w:spacing w:after="120"/>
        <w:jc w:val="both"/>
      </w:pPr>
      <w:r>
        <w:rPr>
          <w:rFonts w:ascii="Arial" w:cs="Arial" w:eastAsia="Arial" w:hAnsi="Arial"/>
          <w:sz w:val="24"/>
          <w:szCs w:val="24"/>
        </w:rPr>
        <w:t xml:space="preserve">дата завершения срока депозита - объявленный Социальным фондом в параметрах депозитного аукциона день, в который происходит возврат основной суммы депозита и начисленных процентов, посредством зачисления основной суммы депозита и начисленных процентов на расчетные счета Социального фонда;</w:t>
      </w:r>
    </w:p>
    <w:p>
      <w:pPr>
        <w:spacing w:after="120"/>
        <w:jc w:val="both"/>
      </w:pPr>
      <w:r>
        <w:rPr>
          <w:rFonts w:ascii="Arial" w:cs="Arial" w:eastAsia="Arial" w:hAnsi="Arial"/>
          <w:sz w:val="24"/>
          <w:szCs w:val="24"/>
        </w:rPr>
        <w:t xml:space="preserve">дата исполнения результатов депозитного аукциона - объявленный Социальным фондом в параметрах депозитного аукциона день, в который происходит фактическое зачисление денежных средств на срочный депозитный счет в банк;</w:t>
      </w:r>
    </w:p>
    <w:p>
      <w:pPr>
        <w:spacing w:after="120"/>
        <w:jc w:val="both"/>
      </w:pPr>
      <w:r>
        <w:rPr>
          <w:rFonts w:ascii="Arial" w:cs="Arial" w:eastAsia="Arial" w:hAnsi="Arial"/>
          <w:sz w:val="24"/>
          <w:szCs w:val="24"/>
        </w:rPr>
        <w:t xml:space="preserve">дата проведения депозитного аукциона - дата, объявленная Социальным фондом в параметрах депозитного аукциона, в который происходит прием, обработка и рассмотрение заявок, а также объявление результатов депозитного аукциона;</w:t>
      </w:r>
    </w:p>
    <w:p>
      <w:pPr>
        <w:spacing w:after="120"/>
        <w:jc w:val="both"/>
      </w:pPr>
      <w:r>
        <w:rPr>
          <w:rFonts w:ascii="Arial" w:cs="Arial" w:eastAsia="Arial" w:hAnsi="Arial"/>
          <w:sz w:val="24"/>
          <w:szCs w:val="24"/>
        </w:rPr>
        <w:t xml:space="preserve">депозит - сумма денежных средств в национальной валюте Кыргызской Республики, передаваемая Социальным фондом банкам на условиях возвратности, срочности и платности и хранящаяся на срочном депозитном счете;</w:t>
      </w:r>
    </w:p>
    <w:p>
      <w:pPr>
        <w:spacing w:after="120"/>
        <w:jc w:val="both"/>
      </w:pPr>
      <w:r>
        <w:rPr>
          <w:rFonts w:ascii="Arial" w:cs="Arial" w:eastAsia="Arial" w:hAnsi="Arial"/>
          <w:sz w:val="24"/>
          <w:szCs w:val="24"/>
        </w:rPr>
        <w:t xml:space="preserve">депозитный аукцион - публичная реализация права на прием временно свободных денежных средств и средств пенсионных накоплений на депозиты в банках, на конкурсной основе, который проводится Социальным фондом в соответствии с настоящим Положением;</w:t>
      </w:r>
    </w:p>
    <w:p>
      <w:pPr>
        <w:spacing w:after="120"/>
        <w:jc w:val="both"/>
      </w:pPr>
      <w:r>
        <w:rPr>
          <w:rFonts w:ascii="Arial" w:cs="Arial" w:eastAsia="Arial" w:hAnsi="Arial"/>
          <w:sz w:val="24"/>
          <w:szCs w:val="24"/>
        </w:rPr>
        <w:t xml:space="preserve">договор срочного банковского депозита - договор, регулирующий взаимоотношения Социального фонда и банка по депозитным вкладам, размещенным согласно результатам депозитного аукциона, с обеспечением исполнения обязательств;</w:t>
      </w:r>
    </w:p>
    <w:p>
      <w:pPr>
        <w:spacing w:after="120"/>
        <w:jc w:val="both"/>
      </w:pPr>
      <w:r>
        <w:rPr>
          <w:rFonts w:ascii="Arial" w:cs="Arial" w:eastAsia="Arial" w:hAnsi="Arial"/>
          <w:sz w:val="24"/>
          <w:szCs w:val="24"/>
        </w:rPr>
        <w:t xml:space="preserve">комиссия по проведению депозитных аукционов - комиссия, создаваемая по решению правления Социального фонда для проведения депозитных аукционов по размещению временно свободных денежных средств и средств пенсионных накоплений на депозиты и действующая в соответствии с настоящим Положением;</w:t>
      </w:r>
    </w:p>
    <w:p>
      <w:pPr>
        <w:spacing w:after="120"/>
        <w:jc w:val="both"/>
      </w:pPr>
      <w:r>
        <w:rPr>
          <w:rFonts w:ascii="Arial" w:cs="Arial" w:eastAsia="Arial" w:hAnsi="Arial"/>
          <w:sz w:val="24"/>
          <w:szCs w:val="24"/>
        </w:rPr>
        <w:t xml:space="preserve">минимальная процентная ставка - минимальный размер процентного дохода по депозитам, размещаемым по результатам депозитного аукциона, заявки с указанием процентного дохода ниже которого не удовлетворяются. Размер Минимальной процентной ставки устанавливается Правлением Социального фонда;</w:t>
      </w:r>
    </w:p>
    <w:p>
      <w:pPr>
        <w:spacing w:after="120"/>
        <w:jc w:val="both"/>
      </w:pPr>
      <w:r>
        <w:rPr>
          <w:rFonts w:ascii="Arial" w:cs="Arial" w:eastAsia="Arial" w:hAnsi="Arial"/>
          <w:sz w:val="24"/>
          <w:szCs w:val="24"/>
        </w:rPr>
        <w:t xml:space="preserve">средства пенсионных накоплений - суммы страховых взносов на финансирование накопительной части пенсии, поступившие в Социальный фонд на счет Государственного накопительного пенсионного фонда, и предназначенные для инвестирования и получения инвестиционных доходов в пользу застрахованных лиц;</w:t>
      </w:r>
    </w:p>
    <w:p>
      <w:pPr>
        <w:spacing w:after="120"/>
        <w:jc w:val="both"/>
      </w:pPr>
      <w:r>
        <w:rPr>
          <w:rFonts w:ascii="Arial" w:cs="Arial" w:eastAsia="Arial" w:hAnsi="Arial"/>
          <w:sz w:val="24"/>
          <w:szCs w:val="24"/>
        </w:rPr>
        <w:t xml:space="preserve">срок депозита - промежуток времени не более 12 месяцев, выраженный в календарных днях и рассчитываемый начиная со дня, следующего за днем исполнения результатов депозитного аукциона, и до дня завершения депозитной операции, включительно;</w:t>
      </w:r>
    </w:p>
    <w:p>
      <w:pPr>
        <w:spacing w:after="120"/>
        <w:jc w:val="both"/>
      </w:pPr>
      <w:r>
        <w:rPr>
          <w:rFonts w:ascii="Arial" w:cs="Arial" w:eastAsia="Arial" w:hAnsi="Arial"/>
          <w:sz w:val="24"/>
          <w:szCs w:val="24"/>
        </w:rPr>
        <w:t xml:space="preserve">срок начисления процентов по депозиту - промежуток времени, выраженный в календарных днях и рассчитываемый начиная со дня, следующего за днем зачисления банкам суммы денежных средств на срочный депозитный счет банка, и до дня, предшествующего дате завершения срока депозита;</w:t>
      </w:r>
    </w:p>
    <w:p>
      <w:pPr>
        <w:spacing w:after="120"/>
        <w:jc w:val="both"/>
      </w:pPr>
      <w:r>
        <w:rPr>
          <w:rFonts w:ascii="Arial" w:cs="Arial" w:eastAsia="Arial" w:hAnsi="Arial"/>
          <w:sz w:val="24"/>
          <w:szCs w:val="24"/>
        </w:rPr>
        <w:t xml:space="preserve">срочный депозитный счет - счет Социального фонда для учета депозитного вклада.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Общие условия проведения депозитных аукционов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Взаимоотношения банков с Социальным фондом по депозитным аукционам регулируются настоящим Положением и соответствующим двухсторонним договором об участии коммерческих банков на депозитных аукционах между Социальным фондом и банками (далее - договор об участии).</w:t>
      </w:r>
    </w:p>
    <w:p>
      <w:pPr>
        <w:spacing w:after="120"/>
        <w:jc w:val="both"/>
      </w:pPr>
      <w:r>
        <w:rPr>
          <w:rFonts w:ascii="Arial" w:cs="Arial" w:eastAsia="Arial" w:hAnsi="Arial"/>
          <w:sz w:val="24"/>
          <w:szCs w:val="24"/>
        </w:rPr>
        <w:t xml:space="preserve">8. К участию в депозитных аукционах допускаются банки, отвечающие следующим требованиям на дату проведения депозитного аукциона:</w:t>
      </w:r>
    </w:p>
    <w:p>
      <w:pPr>
        <w:spacing w:after="120"/>
        <w:jc w:val="both"/>
      </w:pPr>
      <w:r>
        <w:rPr>
          <w:rFonts w:ascii="Arial" w:cs="Arial" w:eastAsia="Arial" w:hAnsi="Arial"/>
          <w:sz w:val="24"/>
          <w:szCs w:val="24"/>
        </w:rPr>
        <w:t xml:space="preserve">- наличие лицензии Национального банка на проведение банковских операций (без ограничения привлекать депозиты от своего имени на условиях, оговоренных с вкладчиком);</w:t>
      </w:r>
    </w:p>
    <w:p>
      <w:pPr>
        <w:spacing w:after="120"/>
        <w:jc w:val="both"/>
      </w:pPr>
      <w:r>
        <w:rPr>
          <w:rFonts w:ascii="Arial" w:cs="Arial" w:eastAsia="Arial" w:hAnsi="Arial"/>
          <w:sz w:val="24"/>
          <w:szCs w:val="24"/>
        </w:rPr>
        <w:t xml:space="preserve">- наличие заключенного с Социальным фондом договора об участии;</w:t>
      </w:r>
    </w:p>
    <w:p>
      <w:pPr>
        <w:spacing w:after="120"/>
        <w:jc w:val="both"/>
      </w:pPr>
      <w:r>
        <w:rPr>
          <w:rFonts w:ascii="Arial" w:cs="Arial" w:eastAsia="Arial" w:hAnsi="Arial"/>
          <w:sz w:val="24"/>
          <w:szCs w:val="24"/>
        </w:rPr>
        <w:t xml:space="preserve">- ненахождение в процессах или процедурах, предусмотренных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 сумма средств Социального фонда по ранее размещенным депозитам в банке не превышает 75% собственного капитала и 80% от суммы высоколиквидных активов банка на день проведения депозитного аукциона;</w:t>
      </w:r>
    </w:p>
    <w:p>
      <w:pPr>
        <w:spacing w:after="120"/>
        <w:jc w:val="both"/>
      </w:pPr>
      <w:r>
        <w:rPr>
          <w:rFonts w:ascii="Arial" w:cs="Arial" w:eastAsia="Arial" w:hAnsi="Arial"/>
          <w:sz w:val="24"/>
          <w:szCs w:val="24"/>
        </w:rPr>
        <w:t xml:space="preserve">- отсутствие санкций со стороны Национального банка Кыргызской Республики за несоблюдение банком экономических нормативов и требований, установленных нормативными правовыми актами Национального банка Кыргызской Республики на дату проведения депозитного аукциона.</w:t>
      </w:r>
    </w:p>
    <w:p>
      <w:pPr>
        <w:spacing w:after="120"/>
        <w:jc w:val="both"/>
      </w:pPr>
      <w:r>
        <w:rPr>
          <w:rFonts w:ascii="Arial" w:cs="Arial" w:eastAsia="Arial" w:hAnsi="Arial"/>
          <w:sz w:val="24"/>
          <w:szCs w:val="24"/>
        </w:rPr>
        <w:t xml:space="preserve">9. Основанием для заключения договора срочного банковского депозита и размещения депозита является положительное решение комиссии по проведению депозитных аукционов о присвоении права на размещение депозитного вклада по результатам депозитного аукциона.</w:t>
      </w:r>
    </w:p>
    <w:p>
      <w:pPr>
        <w:spacing w:after="120"/>
        <w:jc w:val="both"/>
      </w:pPr>
      <w:r>
        <w:rPr>
          <w:rFonts w:ascii="Arial" w:cs="Arial" w:eastAsia="Arial" w:hAnsi="Arial"/>
          <w:sz w:val="24"/>
          <w:szCs w:val="24"/>
        </w:rPr>
        <w:t xml:space="preserve">10. Социальный фонд устанавливает и объявляет следующие параметры депозитного аукциона по форме уведомления о параметрах депозитного аукциона согласно </w:t>
      </w:r>
      <w:hyperlink w:history="1" r:id="rIdwp5cyeaogrdn3aqrdeih6">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дата проведения депозитного аукциона;</w:t>
      </w:r>
    </w:p>
    <w:p>
      <w:pPr>
        <w:spacing w:after="120"/>
        <w:jc w:val="both"/>
      </w:pPr>
      <w:r>
        <w:rPr>
          <w:rFonts w:ascii="Arial" w:cs="Arial" w:eastAsia="Arial" w:hAnsi="Arial"/>
          <w:sz w:val="24"/>
          <w:szCs w:val="24"/>
        </w:rPr>
        <w:t xml:space="preserve">- сроки депозитного вклада;</w:t>
      </w:r>
    </w:p>
    <w:p>
      <w:pPr>
        <w:spacing w:after="120"/>
        <w:jc w:val="both"/>
      </w:pPr>
      <w:r>
        <w:rPr>
          <w:rFonts w:ascii="Arial" w:cs="Arial" w:eastAsia="Arial" w:hAnsi="Arial"/>
          <w:sz w:val="24"/>
          <w:szCs w:val="24"/>
        </w:rPr>
        <w:t xml:space="preserve">- время приема заявок;</w:t>
      </w:r>
    </w:p>
    <w:p>
      <w:pPr>
        <w:spacing w:after="120"/>
        <w:jc w:val="both"/>
      </w:pPr>
      <w:r>
        <w:rPr>
          <w:rFonts w:ascii="Arial" w:cs="Arial" w:eastAsia="Arial" w:hAnsi="Arial"/>
          <w:sz w:val="24"/>
          <w:szCs w:val="24"/>
        </w:rPr>
        <w:t xml:space="preserve">- дата исполнения результатов депозитного аукциона;</w:t>
      </w:r>
    </w:p>
    <w:p>
      <w:pPr>
        <w:spacing w:after="120"/>
        <w:jc w:val="both"/>
      </w:pPr>
      <w:r>
        <w:rPr>
          <w:rFonts w:ascii="Arial" w:cs="Arial" w:eastAsia="Arial" w:hAnsi="Arial"/>
          <w:sz w:val="24"/>
          <w:szCs w:val="24"/>
        </w:rPr>
        <w:t xml:space="preserve">- сумма депозита на каждый лот депозитного аукциона отдельно;</w:t>
      </w:r>
    </w:p>
    <w:p>
      <w:pPr>
        <w:spacing w:after="120"/>
        <w:jc w:val="both"/>
      </w:pPr>
      <w:r>
        <w:rPr>
          <w:rFonts w:ascii="Arial" w:cs="Arial" w:eastAsia="Arial" w:hAnsi="Arial"/>
          <w:sz w:val="24"/>
          <w:szCs w:val="24"/>
        </w:rPr>
        <w:t xml:space="preserve">- минимальная процентная ставка на каждый лот депозитного аукциона отдельно.</w:t>
      </w:r>
    </w:p>
    <w:p>
      <w:pPr>
        <w:spacing w:after="120"/>
        <w:jc w:val="both"/>
      </w:pPr>
      <w:r>
        <w:rPr>
          <w:rFonts w:ascii="Arial" w:cs="Arial" w:eastAsia="Arial" w:hAnsi="Arial"/>
          <w:sz w:val="24"/>
          <w:szCs w:val="24"/>
        </w:rPr>
        <w:t xml:space="preserve">11. Параметры депозитных аукционов, указанные в пункте 10 настоящего Положения, утверждаются правлением Социального фонда и объявляются путем размещения информационного сообщения на веб-сайте Социального фонда, а также в письменном уведомлении банков, не позднее трех рабочих дней до даты проведения депозитного аукциона.</w:t>
      </w:r>
    </w:p>
    <w:p>
      <w:pPr>
        <w:spacing w:after="120"/>
        <w:jc w:val="both"/>
      </w:pPr>
      <w:r>
        <w:rPr>
          <w:rFonts w:ascii="Arial" w:cs="Arial" w:eastAsia="Arial" w:hAnsi="Arial"/>
          <w:sz w:val="24"/>
          <w:szCs w:val="24"/>
        </w:rPr>
        <w:t xml:space="preserve">12. Социальный фонд объявляет результаты проведенных депозитных аукционов путем размещения информационного сообщения на веб-сайте Социального фонда и отправки письменного уведомления банкам посредством факсимильной связи в течение одного рабочего дня после даты проведения депозитного аукциона.</w:t>
      </w:r>
    </w:p>
    <w:p>
      <w:pPr>
        <w:spacing w:after="120"/>
        <w:jc w:val="both"/>
      </w:pPr>
      <w:r>
        <w:rPr>
          <w:rFonts w:ascii="Arial" w:cs="Arial" w:eastAsia="Arial" w:hAnsi="Arial"/>
          <w:sz w:val="24"/>
          <w:szCs w:val="24"/>
        </w:rPr>
        <w:t xml:space="preserve">13. Проценты по размещаемым депозитам начисляются по формуле простых процентов в течение срока начисления процентов по депозиту на соответствующий расчетный счет Социального фонда, исходя из временной базы, равной 360 дням.</w:t>
      </w:r>
    </w:p>
    <w:p>
      <w:pPr>
        <w:spacing w:after="120"/>
        <w:jc w:val="both"/>
      </w:pPr>
      <w:r>
        <w:rPr>
          <w:rFonts w:ascii="Arial" w:cs="Arial" w:eastAsia="Arial" w:hAnsi="Arial"/>
          <w:sz w:val="24"/>
          <w:szCs w:val="24"/>
        </w:rPr>
        <w:t xml:space="preserve">14. Банкам, заявки которых удовлетворены, направляются соответствующие уведомления и проект договора срочного банковского депозита между Социальным фондом и данным банком.</w:t>
      </w:r>
    </w:p>
    <w:p>
      <w:pPr>
        <w:spacing w:after="120"/>
        <w:jc w:val="both"/>
      </w:pPr>
      <w:r>
        <w:rPr>
          <w:rFonts w:ascii="Arial" w:cs="Arial" w:eastAsia="Arial" w:hAnsi="Arial"/>
          <w:sz w:val="24"/>
          <w:szCs w:val="24"/>
        </w:rPr>
        <w:t xml:space="preserve">15. Банки, заявки которых не были удовлетворены по результатам состоявшихся депозитных аукционов, Социальный фонд уведомляет посредством факсимильной связи по форме уведомления о результатах депозитного аукциона согласно </w:t>
      </w:r>
      <w:hyperlink w:history="1" r:id="rIdnsf2rby-u2n2ms67foa1w">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16. Социальный фонд производит перечисление денежных средств для размещения депозита на дату, указанную в параметрах депозитного аукциона, после подписания Социальным фондом и банком договора срочного банковского депозита.</w:t>
      </w:r>
    </w:p>
    <w:p>
      <w:pPr>
        <w:spacing w:after="120"/>
        <w:jc w:val="both"/>
      </w:pPr>
      <w:r>
        <w:rPr>
          <w:rFonts w:ascii="Arial" w:cs="Arial" w:eastAsia="Arial" w:hAnsi="Arial"/>
          <w:sz w:val="24"/>
          <w:szCs w:val="24"/>
        </w:rPr>
        <w:t xml:space="preserve">17. В случаях, когда дата исполнения результатов депозитного аукциона является нерабочим днем, исполнение результатов депозитного аукциона проводится на следующий рабочий день. При этом, дата завершения срока депозита переносится.</w:t>
      </w:r>
    </w:p>
    <w:p>
      <w:pPr>
        <w:spacing w:after="120"/>
        <w:jc w:val="both"/>
      </w:pPr>
      <w:r>
        <w:rPr>
          <w:rFonts w:ascii="Arial" w:cs="Arial" w:eastAsia="Arial" w:hAnsi="Arial"/>
          <w:sz w:val="24"/>
          <w:szCs w:val="24"/>
        </w:rPr>
        <w:t xml:space="preserve">18. В случаях, когда дата завершения срока депозитного вклада является нерабочим днем, то завершение срока депозитного вклада проводится не позднее следующего рабочего дня.</w:t>
      </w:r>
    </w:p>
    <w:p>
      <w:pPr>
        <w:spacing w:after="120"/>
        <w:jc w:val="both"/>
      </w:pPr>
      <w:r>
        <w:rPr>
          <w:rFonts w:ascii="Arial" w:cs="Arial" w:eastAsia="Arial" w:hAnsi="Arial"/>
          <w:sz w:val="24"/>
          <w:szCs w:val="24"/>
        </w:rPr>
        <w:t xml:space="preserve">19. Право на досрочное изъятие Социальным фондом денежных средств, размещенных на срочных депозитных вкладах в банке, регулируется договором срочного банковского депозитного вклада и указывается в объявленных параметрах депозитного аукциона.</w:t>
      </w:r>
    </w:p>
    <w:p>
      <w:pPr>
        <w:spacing w:after="120"/>
        <w:jc w:val="both"/>
      </w:pPr>
      <w:r>
        <w:rPr>
          <w:rFonts w:ascii="Arial" w:cs="Arial" w:eastAsia="Arial" w:hAnsi="Arial"/>
          <w:sz w:val="24"/>
          <w:szCs w:val="24"/>
        </w:rPr>
        <w:t xml:space="preserve">20. Депозитные вклады, размещенные в банке, пролонгации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Общие условия оформления и подачи заявок по депозитным аукционам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 день проведения депозитного аукциона, в объявленное Социальным фондом время приема заявок, банки передают заявки секретарю Комиссии по проведению депозитного аукциона в документарном виде по форме заявки на участие в депозитном аукционе согласно </w:t>
      </w:r>
      <w:hyperlink w:history="1" r:id="rId6jwjplljkm6qvcgb-eb5e">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в одном экземпляре, заверенные подписью уполномоченного лица и печатью банка, в запечатанном конверте.</w:t>
      </w:r>
    </w:p>
    <w:p>
      <w:pPr>
        <w:spacing w:after="120"/>
        <w:jc w:val="both"/>
      </w:pPr>
      <w:r>
        <w:rPr>
          <w:rFonts w:ascii="Arial" w:cs="Arial" w:eastAsia="Arial" w:hAnsi="Arial"/>
          <w:sz w:val="24"/>
          <w:szCs w:val="24"/>
        </w:rPr>
        <w:t xml:space="preserve">22. Факт передачи заявки банками регистрируется секретарем Комиссии по проведению депозитного аукциона в Журнале регистрации заявок в присутствии представителя банка и заверяется подписью представителя банка.</w:t>
      </w:r>
    </w:p>
    <w:p>
      <w:pPr>
        <w:spacing w:after="120"/>
        <w:jc w:val="both"/>
      </w:pPr>
      <w:r>
        <w:rPr>
          <w:rFonts w:ascii="Arial" w:cs="Arial" w:eastAsia="Arial" w:hAnsi="Arial"/>
          <w:sz w:val="24"/>
          <w:szCs w:val="24"/>
        </w:rPr>
        <w:t xml:space="preserve">23. Заявка должна соответствовать параметрам депозитного аукциона, объявленного Социальным фондом.</w:t>
      </w:r>
    </w:p>
    <w:p>
      <w:pPr>
        <w:spacing w:after="120"/>
        <w:jc w:val="both"/>
      </w:pPr>
      <w:r>
        <w:rPr>
          <w:rFonts w:ascii="Arial" w:cs="Arial" w:eastAsia="Arial" w:hAnsi="Arial"/>
          <w:sz w:val="24"/>
          <w:szCs w:val="24"/>
        </w:rPr>
        <w:t xml:space="preserve">24. Размер процентной ставки, указанный в заявке для участия на депозитном аукционе, по депозитному вкладу, принимаемому банком к размещению, определяется с точностью и округлением до одного знака после запятой.</w:t>
      </w:r>
    </w:p>
    <w:p>
      <w:pPr>
        <w:spacing w:after="120"/>
        <w:jc w:val="both"/>
      </w:pPr>
      <w:r>
        <w:rPr>
          <w:rFonts w:ascii="Arial" w:cs="Arial" w:eastAsia="Arial" w:hAnsi="Arial"/>
          <w:sz w:val="24"/>
          <w:szCs w:val="24"/>
        </w:rPr>
        <w:t xml:space="preserve">25. Заявка является безотзывной.</w:t>
      </w:r>
    </w:p>
    <w:p>
      <w:pPr>
        <w:spacing w:after="120"/>
        <w:jc w:val="both"/>
      </w:pPr>
      <w:r>
        <w:rPr>
          <w:rFonts w:ascii="Arial" w:cs="Arial" w:eastAsia="Arial" w:hAnsi="Arial"/>
          <w:sz w:val="24"/>
          <w:szCs w:val="24"/>
        </w:rPr>
        <w:t xml:space="preserve">26. Банки имеют право подавать заявку на не более чем два лота депозитного аукциона.</w:t>
      </w:r>
    </w:p>
    <w:p>
      <w:pPr>
        <w:spacing w:after="120"/>
        <w:jc w:val="both"/>
      </w:pPr>
      <w:r>
        <w:rPr>
          <w:rFonts w:ascii="Arial" w:cs="Arial" w:eastAsia="Arial" w:hAnsi="Arial"/>
          <w:sz w:val="24"/>
          <w:szCs w:val="24"/>
        </w:rPr>
        <w:t xml:space="preserve">27. Сумма заявки по каждому лоту в отдельности должна быть не менее 50% от общей суммы лота, при общей сумме лота менее 10000000 (десять миллионов) сомов, и не менее 25% - при общей сумме лота более 10000000 (десять миллионов) сомов.</w:t>
      </w:r>
    </w:p>
    <w:p>
      <w:pPr>
        <w:spacing w:after="120"/>
        <w:jc w:val="both"/>
      </w:pPr>
      <w:r>
        <w:rPr>
          <w:rFonts w:ascii="Arial" w:cs="Arial" w:eastAsia="Arial" w:hAnsi="Arial"/>
          <w:sz w:val="24"/>
          <w:szCs w:val="24"/>
        </w:rPr>
        <w:t xml:space="preserve">28. Заявки, заполненные или оформленные с нарушением норм настоящего Положения, а также переданные позднее объявленного в параметрах депозитного аукциона времени приема заявок, признаются недействительными и к депозитному аукциону не допускаются.</w:t>
      </w:r>
    </w:p>
    <w:p>
      <w:pPr>
        <w:spacing w:after="120"/>
        <w:jc w:val="both"/>
      </w:pPr>
      <w:r>
        <w:rPr>
          <w:rFonts w:ascii="Arial" w:cs="Arial" w:eastAsia="Arial" w:hAnsi="Arial"/>
          <w:sz w:val="24"/>
          <w:szCs w:val="24"/>
        </w:rPr>
        <w:t xml:space="preserve">29. Заявки банков не допускаются к депозитному аукциону в случае, если суммы подаваемой заявки и ранее размещенных на депозитах средств Социального фонда, согласно действующим договорам срочного банковского депозита, превышают 75% собственного капитала и/или 80% от суммы высоколиквидных активов банка на дату проведения депозитного аукциона.</w:t>
      </w:r>
    </w:p>
    <w:p>
      <w:pPr>
        <w:spacing w:after="120"/>
        <w:jc w:val="both"/>
      </w:pPr>
      <w:r>
        <w:rPr>
          <w:rFonts w:ascii="Arial" w:cs="Arial" w:eastAsia="Arial" w:hAnsi="Arial"/>
          <w:sz w:val="24"/>
          <w:szCs w:val="24"/>
        </w:rPr>
        <w:t xml:space="preserve">30. Банки, заявки которых признаны недействительными в соответствии с пунктом 32 настоящего Положения, уведомляются об этом посредством факсимильной связи в день проведения депозитного аукциона.</w:t>
      </w:r>
    </w:p>
    <w:p>
      <w:pPr>
        <w:spacing w:after="120"/>
        <w:jc w:val="both"/>
      </w:pPr>
      <w:r>
        <w:rPr>
          <w:rFonts w:ascii="Arial" w:cs="Arial" w:eastAsia="Arial" w:hAnsi="Arial"/>
          <w:sz w:val="24"/>
          <w:szCs w:val="24"/>
        </w:rPr>
        <w:t xml:space="preserve">31. Социальный фонд обеспечивает конфиденциальность сведений, указанных в заявке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проведения депозитного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Банк для участия в депозитном аукционе может подать только одну заявку. В случае поступления от банка более одной заявки, он не допускается к участию в депозитном аукционе, а все поданные им на депозитный аукцион заявки признаются недействительными.</w:t>
      </w:r>
    </w:p>
    <w:p>
      <w:pPr>
        <w:spacing w:after="120"/>
        <w:jc w:val="both"/>
      </w:pPr>
      <w:r>
        <w:rPr>
          <w:rFonts w:ascii="Arial" w:cs="Arial" w:eastAsia="Arial" w:hAnsi="Arial"/>
          <w:sz w:val="24"/>
          <w:szCs w:val="24"/>
        </w:rPr>
        <w:t xml:space="preserve">33. Лоты в заявке должны быть указаны в порядке, указанном в объявленных Социальным фондом параметрах депозитного аукциона.</w:t>
      </w:r>
    </w:p>
    <w:p>
      <w:pPr>
        <w:spacing w:after="120"/>
        <w:jc w:val="both"/>
      </w:pPr>
      <w:r>
        <w:rPr>
          <w:rFonts w:ascii="Arial" w:cs="Arial" w:eastAsia="Arial" w:hAnsi="Arial"/>
          <w:sz w:val="24"/>
          <w:szCs w:val="24"/>
        </w:rPr>
        <w:t xml:space="preserve">34. Суммы денежных средств всех лотов заявки не должны превышать объявленные Социальным фондом суммы размещаемых денежных средств.</w:t>
      </w:r>
    </w:p>
    <w:p>
      <w:pPr>
        <w:spacing w:after="120"/>
        <w:jc w:val="both"/>
      </w:pPr>
      <w:r>
        <w:rPr>
          <w:rFonts w:ascii="Arial" w:cs="Arial" w:eastAsia="Arial" w:hAnsi="Arial"/>
          <w:sz w:val="24"/>
          <w:szCs w:val="24"/>
        </w:rPr>
        <w:t xml:space="preserve">35. К депозитному аукциону допускаются заявки с процентной ставкой выше или равной минимальной процентной ставке, объявленной Социальным фондом.</w:t>
      </w:r>
    </w:p>
    <w:p>
      <w:pPr>
        <w:spacing w:after="120"/>
        <w:jc w:val="both"/>
      </w:pPr>
      <w:r>
        <w:rPr>
          <w:rFonts w:ascii="Arial" w:cs="Arial" w:eastAsia="Arial" w:hAnsi="Arial"/>
          <w:sz w:val="24"/>
          <w:szCs w:val="24"/>
        </w:rPr>
        <w:t xml:space="preserve">36. Лоты заявок, допущенные к участию в депозитном аукционе, ранжируются по величине процентной ставки в порядке их убывания и, в первую очередь, удовлетворяются лоты заявок банков, предложивших наивысшие (относительно минимальной процентной ставки, объявленной Социальным фондом) процентные ставки. Удовлетворение лотов заявок осуществляется, начиная с наивысшей предложенной процентной ставки и, далее, в порядке убывания, заканчиваясь на ставке отсечения, при которой исчерпывается общая сумма размещаемых на депозиты денежных средств.</w:t>
      </w:r>
    </w:p>
    <w:p>
      <w:pPr>
        <w:spacing w:after="120"/>
        <w:jc w:val="both"/>
      </w:pPr>
      <w:r>
        <w:rPr>
          <w:rFonts w:ascii="Arial" w:cs="Arial" w:eastAsia="Arial" w:hAnsi="Arial"/>
          <w:sz w:val="24"/>
          <w:szCs w:val="24"/>
        </w:rPr>
        <w:t xml:space="preserve">37. В случае, если на один лот депозитного аукциона поданы заявки с одинаковой процентной ставкой от более чем одного банка, то распределение суммы денежных средств производится между двумя банками, чьи заявки были предоставлены раньше других по данным Журнала регистрации заявок, на пропорциональной основе.</w:t>
      </w:r>
    </w:p>
    <w:p>
      <w:pPr>
        <w:spacing w:after="120"/>
        <w:jc w:val="both"/>
      </w:pPr>
      <w:r>
        <w:rPr>
          <w:rFonts w:ascii="Arial" w:cs="Arial" w:eastAsia="Arial" w:hAnsi="Arial"/>
          <w:sz w:val="24"/>
          <w:szCs w:val="24"/>
        </w:rPr>
        <w:t xml:space="preserve">38. В случае, если заявки банков с одинаковыми процентными ставками не исчерпывают сумму лота депозитного аукциона, остаток суммы лота распределяется между заявками банков в соответствии с пунктами 36 и 37 настоящего Положения.</w:t>
      </w:r>
    </w:p>
    <w:p>
      <w:pPr>
        <w:spacing w:after="120"/>
        <w:jc w:val="both"/>
      </w:pPr>
      <w:r>
        <w:rPr>
          <w:rFonts w:ascii="Arial" w:cs="Arial" w:eastAsia="Arial" w:hAnsi="Arial"/>
          <w:sz w:val="24"/>
          <w:szCs w:val="24"/>
        </w:rPr>
        <w:t xml:space="preserve">39. Депозитный аукцион может быть признан Социальным фондом несостоявшимся по каждому лоту в отдельности в случае участия в них "единственного участника".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Проведение расчетов по результатам депозитной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В дату исполнения результатов депозитного аукциона Социальный фонд своевременно и в полном объеме перечисляет сумму денежных средств на срочный депозитный счет в банке, открытый согласно договору срочного банковского депозита.</w:t>
      </w:r>
    </w:p>
    <w:p>
      <w:pPr>
        <w:spacing w:after="120"/>
        <w:jc w:val="both"/>
      </w:pPr>
      <w:r>
        <w:rPr>
          <w:rFonts w:ascii="Arial" w:cs="Arial" w:eastAsia="Arial" w:hAnsi="Arial"/>
          <w:sz w:val="24"/>
          <w:szCs w:val="24"/>
        </w:rPr>
        <w:t xml:space="preserve">41. В дату завершения срока депозитного вклада банк своевременно и в полном объеме зачисляет основную сумму депозита и начисленные проценты на расчетный счет Социального фонда в банк, указываемый Социальным фондом дополнительно.</w:t>
      </w:r>
    </w:p>
    <w:p>
      <w:pPr>
        <w:spacing w:after="120"/>
        <w:jc w:val="both"/>
      </w:pPr>
      <w:r>
        <w:rPr>
          <w:rFonts w:ascii="Arial" w:cs="Arial" w:eastAsia="Arial" w:hAnsi="Arial"/>
          <w:sz w:val="24"/>
          <w:szCs w:val="24"/>
        </w:rPr>
        <w:t xml:space="preserve">42. Неисполнением банком обязательств по результатам депозитного аукциона является отказ банка от приема депозита в соответствии с условиями поданной им заявки на участие в депозитном аукционе.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Комиссия по проведению депозитных аукционов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Состав Комиссии по проведению депозитных аукционов (далее Комиссия) утверждается правлением Социального фонда из числа заместителей председателя Социального фонда, начальников управлений и самостоятельных отделов центрального аппарата Социального фонда.</w:t>
      </w:r>
    </w:p>
    <w:p>
      <w:pPr>
        <w:spacing w:after="120"/>
        <w:jc w:val="both"/>
      </w:pPr>
      <w:r>
        <w:rPr>
          <w:rFonts w:ascii="Arial" w:cs="Arial" w:eastAsia="Arial" w:hAnsi="Arial"/>
          <w:sz w:val="24"/>
          <w:szCs w:val="24"/>
        </w:rPr>
        <w:t xml:space="preserve">44. Комиссия производит вскрытие заявок банков, допущенных к депозитному аукциону, и определяет его результаты.</w:t>
      </w:r>
    </w:p>
    <w:p>
      <w:pPr>
        <w:spacing w:after="120"/>
        <w:jc w:val="both"/>
      </w:pPr>
      <w:r>
        <w:rPr>
          <w:rFonts w:ascii="Arial" w:cs="Arial" w:eastAsia="Arial" w:hAnsi="Arial"/>
          <w:sz w:val="24"/>
          <w:szCs w:val="24"/>
        </w:rPr>
        <w:t xml:space="preserve">45. Заседание Комиссии считается правомочным, если в нем принимают участие не менее 2/3 от общего числа членов Комиссии.</w:t>
      </w:r>
    </w:p>
    <w:p>
      <w:pPr>
        <w:spacing w:after="120"/>
        <w:jc w:val="both"/>
      </w:pPr>
      <w:r>
        <w:rPr>
          <w:rFonts w:ascii="Arial" w:cs="Arial" w:eastAsia="Arial" w:hAnsi="Arial"/>
          <w:sz w:val="24"/>
          <w:szCs w:val="24"/>
        </w:rPr>
        <w:t xml:space="preserve">46. Решения Комиссии принимаются простым большинством голосов присутствующих на заседании членов Комиссии. При равенстве голосов членов Комиссии решающим является голос председателя Комиссии.</w:t>
      </w:r>
    </w:p>
    <w:p>
      <w:pPr>
        <w:spacing w:after="120"/>
        <w:jc w:val="both"/>
      </w:pPr>
      <w:r>
        <w:rPr>
          <w:rFonts w:ascii="Arial" w:cs="Arial" w:eastAsia="Arial" w:hAnsi="Arial"/>
          <w:sz w:val="24"/>
          <w:szCs w:val="24"/>
        </w:rPr>
        <w:t xml:space="preserve">47. Комиссия в пределах своей компетенции принимает решения, являющиеся обязательными для всех участников аукциона и структурных подразделений Социального фонда.</w:t>
      </w:r>
    </w:p>
    <w:p>
      <w:pPr>
        <w:spacing w:after="120"/>
        <w:jc w:val="both"/>
      </w:pPr>
      <w:r>
        <w:rPr>
          <w:rFonts w:ascii="Arial" w:cs="Arial" w:eastAsia="Arial" w:hAnsi="Arial"/>
          <w:sz w:val="24"/>
          <w:szCs w:val="24"/>
        </w:rPr>
        <w:t xml:space="preserve">48. Решения Комиссии оформляются протоколом заседания Комиссии (</w:t>
      </w:r>
      <w:hyperlink w:history="1" r:id="rIdj3fwogo_fybujccqtaqgb">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настоящему Положению), которые подписываются председателем Комиссии либо его заместителем, председательствующим на заседании, и членами Комиссии.</w:t>
      </w:r>
    </w:p>
    <w:p>
      <w:pPr>
        <w:spacing w:after="120"/>
        <w:jc w:val="both"/>
      </w:pPr>
      <w:r>
        <w:rPr>
          <w:rFonts w:ascii="Arial" w:cs="Arial" w:eastAsia="Arial" w:hAnsi="Arial"/>
          <w:sz w:val="24"/>
          <w:szCs w:val="24"/>
        </w:rPr>
        <w:t xml:space="preserve">49. Организационное обеспечение деятельности Комиссии осуществляется структурным подразделением по управлению активами Социального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Порядок проведения расчетов по депозитным операциям регулируется настоящим Положением и договором срочного банковского депозита между Социальным фондом и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Обжалование результатов депозитного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Обжалование результатов аукциона проводится Комиссией по письменному заявлению участников, не позднее рабочего дня, следующего за днем объявления результатов депозитного аукциона. В случае неполучения исчерпывающего ответа заявителем на свой запрос в течение трех рабочих дней после подачи заявления на обжалование результатов депозитного аукциона, результаты депозитного аукциона обжалуются в судебных органах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Социальный фонд уведомляет о проведении "__" _________ 2011 года аукциона по размещению временно свободных денежных средств и средств пенсионных накоплений на депозитные вклады в коммерческих банках на следующих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Параметры депозитного аукциона (пример)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Номер  │    Сумма      │Минимальная │    Срок    │      Дата      │</w:t>
      </w:r>
    </w:p>
    <w:p>
      <w:pPr>
        <w:spacing w:after="120"/>
        <w:jc w:val="both"/>
      </w:pPr>
      <w:r>
        <w:rPr>
          <w:rFonts w:ascii="Arial" w:cs="Arial" w:eastAsia="Arial" w:hAnsi="Arial"/>
          <w:sz w:val="24"/>
          <w:szCs w:val="24"/>
        </w:rPr>
        <w:t xml:space="preserve">│   лота   │  размещения   │процентная  │ размещения │  перечисления  │</w:t>
      </w:r>
    </w:p>
    <w:p>
      <w:pPr>
        <w:spacing w:after="120"/>
        <w:jc w:val="both"/>
      </w:pPr>
      <w:r>
        <w:rPr>
          <w:rFonts w:ascii="Arial" w:cs="Arial" w:eastAsia="Arial" w:hAnsi="Arial"/>
          <w:sz w:val="24"/>
          <w:szCs w:val="24"/>
        </w:rPr>
        <w:t xml:space="preserve">│          │               │   ставка   │   в днях   │денежных средств│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20000000,00  │    8,5%    │    182     │20 мая 2011 года│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            │            │                │</w:t>
      </w:r>
    </w:p>
    <w:p>
      <w:pPr>
        <w:spacing w:after="120"/>
        <w:jc w:val="both"/>
      </w:pPr>
      <w:r>
        <w:rPr>
          <w:rFonts w:ascii="Arial" w:cs="Arial" w:eastAsia="Arial" w:hAnsi="Arial"/>
          <w:sz w:val="24"/>
          <w:szCs w:val="24"/>
        </w:rPr>
        <w:t xml:space="preserve">│средние   │               │            │            │                │</w:t>
      </w:r>
    </w:p>
    <w:p>
      <w:pPr>
        <w:spacing w:after="120"/>
        <w:jc w:val="both"/>
      </w:pPr>
      <w:r>
        <w:rPr>
          <w:rFonts w:ascii="Arial" w:cs="Arial" w:eastAsia="Arial" w:hAnsi="Arial"/>
          <w:sz w:val="24"/>
          <w:szCs w:val="24"/>
        </w:rPr>
        <w:t xml:space="preserve">│показатели│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Заявки на депозитный аукцион принимаются в документарной форме до __.__ часов "__" ________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w:t>
      </w:r>
    </w:p>
    <w:p>
      <w:pPr>
        <w:spacing w:after="120"/>
        <w:jc w:val="both"/>
      </w:pPr>
      <w:r>
        <w:rPr>
          <w:rFonts w:ascii="Arial" w:cs="Arial" w:eastAsia="Arial" w:hAnsi="Arial"/>
          <w:sz w:val="24"/>
          <w:szCs w:val="24"/>
        </w:rPr>
        <w:t xml:space="preserve">отдела по работе с активами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(наименование участника аукциона), именуемый в дальнейшем "Участник", выражает готовность принять денежные средства на депозитный вклад на проводимом (дата проведения аукциона) депозитном аукционе на следующих условиях: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Номер лота │     Сумма размещения      │ Годовая процентная ставка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Участник ознакомлен с правилами проведения депозитного аукциона и принимает на себя все обязательства, которые из них вытекают.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 ______________ ___________________________</w:t>
      </w:r>
    </w:p>
    <w:p>
      <w:pPr>
        <w:spacing w:after="120"/>
        <w:jc w:val="both"/>
      </w:pPr>
      <w:r>
        <w:rPr>
          <w:rFonts w:ascii="Arial" w:cs="Arial" w:eastAsia="Arial" w:hAnsi="Arial"/>
          <w:sz w:val="24"/>
          <w:szCs w:val="24"/>
        </w:rPr>
        <w:t xml:space="preserve">(должность)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Социальный фонд Кыргызской Республики уведомляет, что по итогам аукциона по размещению временно свободных денежных средств и средств пенсионных накоплений Социального фонда Кыргызской Республики на депозитные вклады, состоявшегося "__" ________ 2011 года, Ваша заявка удовлетворена в следующих объемах: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Номер лота │  Сумма размещения   │     Годовая     │Срок размещения │</w:t>
      </w:r>
    </w:p>
    <w:p>
      <w:pPr>
        <w:spacing w:after="120"/>
        <w:jc w:val="both"/>
      </w:pPr>
      <w:r>
        <w:rPr>
          <w:rFonts w:ascii="Arial" w:cs="Arial" w:eastAsia="Arial" w:hAnsi="Arial"/>
          <w:sz w:val="24"/>
          <w:szCs w:val="24"/>
        </w:rPr>
        <w:t xml:space="preserve">│            │                     │процентная ставка│     в днях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     20000000,00     │      8,9%       │      182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депозитных аукционов</w:t>
      </w:r>
    </w:p>
    <w:p>
      <w:pPr>
        <w:spacing w:after="120"/>
        <w:jc w:val="both"/>
      </w:pPr>
      <w:r>
        <w:rPr>
          <w:rFonts w:ascii="Arial" w:cs="Arial" w:eastAsia="Arial" w:hAnsi="Arial"/>
          <w:sz w:val="24"/>
          <w:szCs w:val="24"/>
        </w:rPr>
        <w:t xml:space="preserve">от "__" ________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Номер лота │  Сумма размещения   │     Годовая     │Срок размещения │</w:t>
      </w:r>
    </w:p>
    <w:p>
      <w:pPr>
        <w:spacing w:after="120"/>
        <w:jc w:val="both"/>
      </w:pPr>
      <w:r>
        <w:rPr>
          <w:rFonts w:ascii="Arial" w:cs="Arial" w:eastAsia="Arial" w:hAnsi="Arial"/>
          <w:sz w:val="24"/>
          <w:szCs w:val="24"/>
        </w:rPr>
        <w:t xml:space="preserve">│            │                     │процентная ставка│     в днях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100000000,00    │       8,5%      │      360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50000000,00    │       7%        │       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      20000000,00    │       8,9%      │      182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Отдел по работе с активами ____________ _________ ________________</w:t>
      </w:r>
    </w:p>
    <w:p>
      <w:pPr>
        <w:spacing w:after="120"/>
        <w:jc w:val="both"/>
      </w:pPr>
      <w:r>
        <w:rPr>
          <w:rFonts w:ascii="Arial" w:cs="Arial" w:eastAsia="Arial" w:hAnsi="Arial"/>
          <w:sz w:val="24"/>
          <w:szCs w:val="24"/>
        </w:rPr>
        <w:t xml:space="preserve">(должность) (подпись) (Ф.И.О.)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заседания комиссии по проведению депозитного аукциона (КПДА)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w:t>
      </w:r>
    </w:p>
    <w:p>
      <w:pPr>
        <w:spacing w:after="120"/>
        <w:jc w:val="both"/>
      </w:pPr>
      <w:r>
        <w:rPr>
          <w:rFonts w:ascii="Arial" w:cs="Arial" w:eastAsia="Arial" w:hAnsi="Arial"/>
          <w:sz w:val="24"/>
          <w:szCs w:val="24"/>
        </w:rPr>
        <w:t xml:space="preserve">(наименование учреждения)</w:t>
      </w:r>
    </w:p>
    <w:p>
      <w:pPr>
        <w:spacing w:after="120"/>
        <w:jc w:val="both"/>
      </w:pPr>
      <w:r>
        <w:rPr>
          <w:rFonts w:ascii="Arial" w:cs="Arial" w:eastAsia="Arial" w:hAnsi="Arial"/>
          <w:sz w:val="24"/>
          <w:szCs w:val="24"/>
        </w:rPr>
        <w:t xml:space="preserve">от "__" __________ № 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Повестка: ________________________________________________________</w:t>
      </w:r>
    </w:p>
    <w:p>
      <w:pPr>
        <w:spacing w:after="120"/>
        <w:jc w:val="both"/>
      </w:pPr>
      <w:r>
        <w:rPr>
          <w:rFonts w:ascii="Arial" w:cs="Arial" w:eastAsia="Arial" w:hAnsi="Arial"/>
          <w:sz w:val="24"/>
          <w:szCs w:val="24"/>
        </w:rPr>
        <w:t xml:space="preserve">1. Комиссия в составе:</w:t>
      </w:r>
    </w:p>
    <w:p>
      <w:pPr>
        <w:spacing w:after="120"/>
        <w:jc w:val="both"/>
      </w:pPr>
      <w:r>
        <w:rPr>
          <w:rFonts w:ascii="Arial" w:cs="Arial" w:eastAsia="Arial" w:hAnsi="Arial"/>
          <w:sz w:val="24"/>
          <w:szCs w:val="24"/>
        </w:rPr>
        <w:t xml:space="preserve">Председатель: ____________________________________________________</w:t>
      </w:r>
    </w:p>
    <w:p>
      <w:pPr>
        <w:spacing w:after="120"/>
        <w:jc w:val="both"/>
      </w:pPr>
      <w:r>
        <w:rPr>
          <w:rFonts w:ascii="Arial" w:cs="Arial" w:eastAsia="Arial" w:hAnsi="Arial"/>
          <w:sz w:val="24"/>
          <w:szCs w:val="24"/>
        </w:rPr>
        <w:t xml:space="preserve">Члены комиссии: _______________________________________________________________________</w:t>
      </w:r>
    </w:p>
    <w:p>
      <w:pPr>
        <w:spacing w:after="120"/>
        <w:jc w:val="both"/>
      </w:pPr>
      <w:r>
        <w:rPr>
          <w:rFonts w:ascii="Arial" w:cs="Arial" w:eastAsia="Arial" w:hAnsi="Arial"/>
          <w:sz w:val="24"/>
          <w:szCs w:val="24"/>
        </w:rPr>
        <w:t xml:space="preserve">Приглашенные _____________________________________________________</w:t>
      </w:r>
    </w:p>
    <w:p>
      <w:pPr>
        <w:spacing w:after="120"/>
        <w:jc w:val="both"/>
      </w:pPr>
      <w:r>
        <w:rPr>
          <w:rFonts w:ascii="Arial" w:cs="Arial" w:eastAsia="Arial" w:hAnsi="Arial"/>
          <w:sz w:val="24"/>
          <w:szCs w:val="24"/>
        </w:rPr>
        <w:t xml:space="preserve">(специалисты, представляющие материалы КПДА,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руководители групп экспертов, эксперты)</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Секретарь КПДА: 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2. Рассмотрела представленные материалы: _________________________</w:t>
      </w:r>
    </w:p>
    <w:p>
      <w:pPr>
        <w:spacing w:after="120"/>
        <w:jc w:val="both"/>
      </w:pPr>
      <w:r>
        <w:rPr>
          <w:rFonts w:ascii="Arial" w:cs="Arial" w:eastAsia="Arial" w:hAnsi="Arial"/>
          <w:sz w:val="24"/>
          <w:szCs w:val="24"/>
        </w:rPr>
        <w:t xml:space="preserve">(аукционные заявки)</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3. Выяснила: _____________________________________________________</w:t>
      </w:r>
    </w:p>
    <w:p>
      <w:pPr>
        <w:spacing w:after="120"/>
        <w:jc w:val="both"/>
      </w:pPr>
      <w:r>
        <w:rPr>
          <w:rFonts w:ascii="Arial" w:cs="Arial" w:eastAsia="Arial" w:hAnsi="Arial"/>
          <w:sz w:val="24"/>
          <w:szCs w:val="24"/>
        </w:rPr>
        <w:t xml:space="preserve">(изложение сущности рассматриваемого вопроса)</w:t>
      </w:r>
    </w:p>
    <w:p>
      <w:pPr>
        <w:spacing w:after="120"/>
        <w:jc w:val="both"/>
      </w:pPr>
      <w:r>
        <w:rPr>
          <w:rFonts w:ascii="Arial" w:cs="Arial" w:eastAsia="Arial" w:hAnsi="Arial"/>
          <w:sz w:val="24"/>
          <w:szCs w:val="24"/>
        </w:rPr>
        <w:t xml:space="preserve">4. Отметила: _____________________________________________________</w:t>
      </w:r>
    </w:p>
    <w:p>
      <w:pPr>
        <w:spacing w:after="120"/>
        <w:jc w:val="both"/>
      </w:pPr>
      <w:r>
        <w:rPr>
          <w:rFonts w:ascii="Arial" w:cs="Arial" w:eastAsia="Arial" w:hAnsi="Arial"/>
          <w:sz w:val="24"/>
          <w:szCs w:val="24"/>
        </w:rPr>
        <w:t xml:space="preserve">(выявленные недостатки и нарушения)</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5. Заключение: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КПДА ____________ 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Секретарь КПДА ____________ 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Члены КПДА ____________ 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0m2egwzd8ex_ek4id6ey">
      <w:r>
        <w:rPr>
          <w:rFonts w:ascii="Arial" w:cs="Arial" w:eastAsia="Arial" w:hAnsi="Arial"/>
          <w:color w:val="132D3F"/>
          <w:sz w:val="16"/>
          <w:szCs w:val="16"/>
          <w:u w:val="single"/>
        </w:rPr>
        <w:t xml:space="preserve">dalil.kg/document/92793</w:t>
      </w:r>
    </w:hyperlink>
  </w:p>
  <w:p>
    <w:pPr>
      <w:spacing w:after="0" w:before="40"/>
      <w:jc w:val="center"/>
    </w:pPr>
    <w:hyperlink w:history="1" r:id="rIdiuhpfdlxygztbdb5sy_h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3pdioo6jawupn3gms4jx" Type="http://schemas.openxmlformats.org/officeDocument/2006/relationships/hyperlink" Target="https://dalil.kg/document/203321" TargetMode="External"/><Relationship Id="rIdhm9nbkfa2x1ebv8fz5e_9" Type="http://schemas.openxmlformats.org/officeDocument/2006/relationships/hyperlink" Target="https://dalil.kg/document/92793#&#1088;1" TargetMode="External"/><Relationship Id="rId5o7ual1ux9rjqhkl8mixo" Type="http://schemas.openxmlformats.org/officeDocument/2006/relationships/hyperlink" Target="https://dalil.kg/document/92793#&#1088;2" TargetMode="External"/><Relationship Id="rIddumvda375glrugwprpdsr" Type="http://schemas.openxmlformats.org/officeDocument/2006/relationships/hyperlink" Target="https://dalil.kg/document/92793" TargetMode="External"/><Relationship Id="rIdtzw4u7kmyehuwc_taefvw" Type="http://schemas.openxmlformats.org/officeDocument/2006/relationships/hyperlink" Target="https://dalil.kg/document/92793" TargetMode="External"/><Relationship Id="rIdrkzseeq-v03vrn5dyhrpm" Type="http://schemas.openxmlformats.org/officeDocument/2006/relationships/hyperlink" Target="https://dalil.kg/document/1502" TargetMode="External"/><Relationship Id="rIdidrvi-glpvbxrgrsgm8_r" Type="http://schemas.openxmlformats.org/officeDocument/2006/relationships/hyperlink" Target="https://dalil.kg/document/4" TargetMode="External"/><Relationship Id="rIdwp5cyeaogrdn3aqrdeih6" Type="http://schemas.openxmlformats.org/officeDocument/2006/relationships/hyperlink" Target="https://dalil.kg/document/92793#&#1088;3" TargetMode="External"/><Relationship Id="rIdnsf2rby-u2n2ms67foa1w" Type="http://schemas.openxmlformats.org/officeDocument/2006/relationships/hyperlink" Target="https://dalil.kg/document/92793#&#1088;5" TargetMode="External"/><Relationship Id="rId6jwjplljkm6qvcgb-eb5e" Type="http://schemas.openxmlformats.org/officeDocument/2006/relationships/hyperlink" Target="https://dalil.kg/document/92793#&#1088;4" TargetMode="External"/><Relationship Id="rIdj3fwogo_fybujccqtaqgb" Type="http://schemas.openxmlformats.org/officeDocument/2006/relationships/hyperlink" Target="https://dalil.kg/document/92793#&#1088;6"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0m2egwzd8ex_ek4id6ey" Type="http://schemas.openxmlformats.org/officeDocument/2006/relationships/hyperlink" Target="https://dalil.kg/document/92793" TargetMode="External"/><Relationship Id="rIdiuhpfdlxygztbdb5sy_h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2026-09-24T08:17:16.910Z</dcterms:created>
  <dcterms:modified xsi:type="dcterms:W3CDTF">2026-09-24T08:17:16.910Z</dcterms:modified>
</cp:coreProperties>
</file>

<file path=docProps/custom.xml><?xml version="1.0" encoding="utf-8"?>
<Properties xmlns="http://schemas.openxmlformats.org/officeDocument/2006/custom-properties" xmlns:vt="http://schemas.openxmlformats.org/officeDocument/2006/docPropsVTypes"/>
</file>