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в соответствии с </w:t>
      </w:r>
      <w:hyperlink w:history="1" r:id="rIdbz12r5k_arolvnp-anl8e">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9 марта 2012 года № 165</w:t>
      </w:r>
    </w:p>
    <w:p>
      <w:pPr>
        <w:spacing w:after="120"/>
        <w:jc w:val="both"/>
      </w:pPr>
      <w:r>
        <w:rPr>
          <w:rFonts w:ascii="Arial" w:cs="Arial" w:eastAsia="Arial" w:hAnsi="Arial"/>
          <w:sz w:val="24"/>
          <w:szCs w:val="24"/>
        </w:rPr>
        <w:t xml:space="preserve">Об итогах социально-экономического развития  Кыргызской Республики за 2011 год</w:t>
      </w:r>
    </w:p>
    <w:p>
      <w:pPr>
        <w:spacing w:after="120"/>
        <w:jc w:val="both"/>
      </w:pPr>
      <w:r>
        <w:rPr>
          <w:rFonts w:ascii="Arial" w:cs="Arial" w:eastAsia="Arial" w:hAnsi="Arial"/>
          <w:sz w:val="24"/>
          <w:szCs w:val="24"/>
        </w:rPr>
        <w:t xml:space="preserve">В целях стабилизации социально-экономической ситуации в Кыргызской Республике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Принять к сведению прилагаемую </w:t>
      </w:r>
      <w:hyperlink w:history="1" r:id="rIdse8pabjq0desxjyb4pqmy">
        <w:r>
          <w:rPr>
            <w:rFonts w:ascii="Arial" w:cs="Arial" w:eastAsia="Arial" w:hAnsi="Arial"/>
            <w:color w:val="1D4ED8"/>
            <w:sz w:val="24"/>
            <w:szCs w:val="24"/>
            <w:u w:val="single"/>
          </w:rPr>
          <w:t xml:space="preserve">информацию</w:t>
        </w:r>
      </w:hyperlink>
      <w:r>
        <w:rPr>
          <w:rFonts w:ascii="Arial" w:cs="Arial" w:eastAsia="Arial" w:hAnsi="Arial"/>
          <w:sz w:val="24"/>
          <w:szCs w:val="24"/>
        </w:rPr>
        <w:t xml:space="preserve"> об итогах социально-экономического развития Кыргызской Республики за 2011 год.</w:t>
      </w:r>
    </w:p>
    <w:p>
      <w:pPr>
        <w:spacing w:after="120"/>
        <w:jc w:val="both"/>
      </w:pPr>
      <w:r>
        <w:rPr>
          <w:rFonts w:ascii="Arial" w:cs="Arial" w:eastAsia="Arial" w:hAnsi="Arial"/>
          <w:sz w:val="24"/>
          <w:szCs w:val="24"/>
        </w:rPr>
        <w:t xml:space="preserve">2. Министерствам, государственным комитетам, административным ведомствам, местным государственным администрациям, мэриям городов Бишкек и Ош (по согласованию) ежеквартально, не позднее 15 числа месяца, следующего за отчетным периодом, представлять отчет о социально-экономическом положении, с анализом достижений и проблем, с учетом воздействия внутренних и внешних факторов, а также об ожидаемых показателях до конца отчетного года в Министерство экономики и антимонопольной политики Кыргызской Республики.</w:t>
      </w:r>
    </w:p>
    <w:p>
      <w:pPr>
        <w:spacing w:after="120"/>
        <w:jc w:val="both"/>
      </w:pPr>
      <w:r>
        <w:rPr>
          <w:rFonts w:ascii="Arial" w:cs="Arial" w:eastAsia="Arial" w:hAnsi="Arial"/>
          <w:sz w:val="24"/>
          <w:szCs w:val="24"/>
        </w:rPr>
        <w:t xml:space="preserve">3. Министерству экономики и антимонопольной политики Кыргызской Республики ежеквартально, не позднее 25 числа месяца, следующего за отчетным периодом, представлять на рассмотрение Правительства Кыргызской Республики обобщенную информацию о социально-экономическом развитии Кыргызской Республики.</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отдел экономики и инвестиций Аппарата Правительства Кыргызской Республики.</w:t>
      </w:r>
    </w:p>
    <w:p>
      <w:pPr>
        <w:spacing w:after="120"/>
        <w:jc w:val="both"/>
      </w:pPr>
      <w:r>
        <w:rPr>
          <w:rFonts w:ascii="Arial" w:cs="Arial" w:eastAsia="Arial" w:hAnsi="Arial"/>
          <w:sz w:val="24"/>
          <w:szCs w:val="24"/>
        </w:rPr>
        <w:t xml:space="preserve">5. Настоящее постановление вступает в силу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 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Информация</w:t>
      </w:r>
    </w:p>
    <w:p>
      <w:pPr>
        <w:spacing w:after="120"/>
        <w:jc w:val="both"/>
      </w:pPr>
      <w:r>
        <w:rPr>
          <w:rFonts w:ascii="Arial" w:cs="Arial" w:eastAsia="Arial" w:hAnsi="Arial"/>
          <w:sz w:val="24"/>
          <w:szCs w:val="24"/>
        </w:rPr>
        <w:t xml:space="preserve">об итогах социально-экономического развития Кыргызской Республики за 2011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Основные макроэкономические параметры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 результатом деятельности Правительства Кыргызской Республики в 2011 году стало предотвращение угрозы спада экономического роста и сохранение устойчивых тенденций в социально-экономическом развитии в условиях внутриполитической напряженности в стране.</w:t>
      </w:r>
    </w:p>
    <w:p>
      <w:pPr>
        <w:spacing w:after="120"/>
        <w:jc w:val="both"/>
      </w:pPr>
      <w:r>
        <w:rPr>
          <w:rFonts w:ascii="Arial" w:cs="Arial" w:eastAsia="Arial" w:hAnsi="Arial"/>
          <w:sz w:val="24"/>
          <w:szCs w:val="24"/>
        </w:rPr>
        <w:t xml:space="preserve">По итогам января - декабря 2011 года объем валового внутреннего продукта (ВВП) составил 273,1 млрд. сомов с реальным темпом роста 105,7 % против 99,5 %, сложившегося в январе - декабре 2010 года.</w:t>
      </w:r>
    </w:p>
    <w:p>
      <w:pPr>
        <w:spacing w:after="120"/>
        <w:jc w:val="both"/>
      </w:pPr>
      <w:r>
        <w:rPr>
          <w:rFonts w:ascii="Arial" w:cs="Arial" w:eastAsia="Arial" w:hAnsi="Arial"/>
          <w:sz w:val="24"/>
          <w:szCs w:val="24"/>
        </w:rPr>
        <w:t xml:space="preserve">Без учета предприятий по разработке месторождения «Кумтор», объем ВВП в январе - декабре 2011 года вырос, составив 105,6 %, в то время как за аналогичный период 2010 года данный показатель составлял 99,0 %. Дефлятор ВВП, по предварительным данным, сложился на уровне 117,3 % против 110,0 % в январе -декабре 2010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Темпы роста и вклады по секторам, формирующим ВВП</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53"/>
        <w:gridCol w:w="837"/>
        <w:gridCol w:w="837"/>
        <w:gridCol w:w="837"/>
        <w:gridCol w:w="1003"/>
        <w:gridCol w:w="1003"/>
        <w:gridCol w:w="1003"/>
        <w:gridCol w:w="1003"/>
        <w:gridCol w:w="1003"/>
        <w:gridCol w:w="1003"/>
      </w:tblGrid>
      <w:tr>
        <w:tc>
          <w:tcPr>
            <w:tcW w:type="dxa" w:w="165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2511"/>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 декабрь 2010 года</w:t>
            </w:r>
          </w:p>
        </w:tc>
        <w:tc>
          <w:tcPr>
            <w:tcW w:type="dxa" w:w="6018"/>
            <w:gridSpan w:val="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 декабрь 2011 года</w:t>
            </w:r>
          </w:p>
        </w:tc>
      </w:tr>
      <w:tr>
        <w:tc>
          <w:tcPr>
            <w:vMerge w:val="continue"/>
            <w:tcBorders>
              <w:top w:val="single" w:color="CBBF9E" w:sz="4"/>
              <w:left w:val="single" w:color="CBBF9E" w:sz="4"/>
              <w:bottom w:val="single" w:color="CBBF9E" w:sz="4"/>
              <w:right w:val="single" w:color="CBBF9E" w:sz="4"/>
            </w:tcBorders>
          </w:tcPr>
          <w:p/>
        </w:tc>
        <w:tc>
          <w:tcPr>
            <w:tcW w:type="dxa" w:w="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Факт (млн. сом.)</w:t>
            </w:r>
          </w:p>
        </w:tc>
        <w:tc>
          <w:tcPr>
            <w:tcW w:type="dxa" w:w="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 ВВП</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(млн. сом.)</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факт, (%)</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прогноз (%)</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 (+/-)</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 ВВП</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вклада в рост ВВП</w:t>
            </w:r>
          </w:p>
        </w:tc>
      </w:tr>
      <w:tr>
        <w:tc>
          <w:tcPr>
            <w:tcW w:type="dxa" w:w="1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220369,3</w:t>
            </w:r>
          </w:p>
        </w:tc>
        <w:tc>
          <w:tcPr>
            <w:tcW w:type="dxa" w:w="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w:t>
            </w:r>
          </w:p>
        </w:tc>
        <w:tc>
          <w:tcPr>
            <w:tcW w:type="dxa" w:w="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273107,8</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r>
      <w:tr>
        <w:tc>
          <w:tcPr>
            <w:tcW w:type="dxa" w:w="16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Сельское хозяйство</w:t>
            </w:r>
          </w:p>
        </w:tc>
        <w:tc>
          <w:tcPr>
            <w:tcW w:type="dxa" w:w="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38459,3</w:t>
            </w:r>
          </w:p>
        </w:tc>
        <w:tc>
          <w:tcPr>
            <w:tcW w:type="dxa" w:w="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97,4</w:t>
            </w:r>
          </w:p>
        </w:tc>
        <w:tc>
          <w:tcPr>
            <w:tcW w:type="dxa" w:w="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49244,0</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r>
      <w:tr>
        <w:tc>
          <w:tcPr>
            <w:tcW w:type="dxa" w:w="1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45589,8</w:t>
            </w:r>
          </w:p>
        </w:tc>
        <w:tc>
          <w:tcPr>
            <w:tcW w:type="dxa" w:w="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c>
          <w:tcPr>
            <w:tcW w:type="dxa" w:w="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56496,5</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112,1</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w:t>
            </w:r>
          </w:p>
        </w:tc>
      </w:tr>
      <w:tr>
        <w:tc>
          <w:tcPr>
            <w:tcW w:type="dxa" w:w="1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12169,1</w:t>
            </w:r>
          </w:p>
        </w:tc>
        <w:tc>
          <w:tcPr>
            <w:tcW w:type="dxa" w:w="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81,5</w:t>
            </w:r>
          </w:p>
        </w:tc>
        <w:tc>
          <w:tcPr>
            <w:tcW w:type="dxa" w:w="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13317,8</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96,1</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-0,22</w:t>
            </w:r>
          </w:p>
        </w:tc>
      </w:tr>
      <w:tr>
        <w:tc>
          <w:tcPr>
            <w:tcW w:type="dxa" w:w="1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101568,7</w:t>
            </w:r>
          </w:p>
        </w:tc>
        <w:tc>
          <w:tcPr>
            <w:tcW w:type="dxa" w:w="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98,9</w:t>
            </w:r>
          </w:p>
        </w:tc>
        <w:tc>
          <w:tcPr>
            <w:tcW w:type="dxa" w:w="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46,1</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122698,6</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44,9</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r>
      <w:tr>
        <w:tc>
          <w:tcPr>
            <w:tcW w:type="dxa" w:w="16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Чистые налоги на продукты</w:t>
            </w:r>
          </w:p>
        </w:tc>
        <w:tc>
          <w:tcPr>
            <w:tcW w:type="dxa" w:w="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22582,4</w:t>
            </w:r>
          </w:p>
        </w:tc>
        <w:tc>
          <w:tcPr>
            <w:tcW w:type="dxa" w:w="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w:t>
            </w:r>
          </w:p>
        </w:tc>
        <w:tc>
          <w:tcPr>
            <w:tcW w:type="dxa" w:w="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31350,9</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секторами, обеспечившими положительный темп экономического роста стали: промышленность и сфера услуг с кумулятивным удельным весом 65,6 %, а суммарный вклад составил 4,9 п.п., вклад сельского хозяйства - 0,4 п.п., при этом вклад строительства сложился отрицательным и составил (-0,21) п.п. (табл. 1).</w:t>
      </w:r>
    </w:p>
    <w:p>
      <w:pPr>
        <w:spacing w:after="120"/>
        <w:jc w:val="both"/>
      </w:pPr>
      <w:r>
        <w:rPr>
          <w:rFonts w:ascii="Arial" w:cs="Arial" w:eastAsia="Arial" w:hAnsi="Arial"/>
          <w:sz w:val="24"/>
          <w:szCs w:val="24"/>
        </w:rPr>
        <w:t xml:space="preserve">Следует отметить, что фактически сложившийся реальный рост ВВП за 2011 год не достиг прогнозируемого уровня на 1,0 п.п., из-за необеспеченности прогнозируемого роста в сельском хозяйстве (-1,5 п.п.), строительстве (-9,4 п.п.) и сфере услуг (-1,3 п.п.).</w:t>
      </w:r>
    </w:p>
    <w:p>
      <w:pPr>
        <w:spacing w:after="120"/>
        <w:jc w:val="both"/>
      </w:pPr>
      <w:r>
        <w:rPr>
          <w:rFonts w:ascii="Arial" w:cs="Arial" w:eastAsia="Arial" w:hAnsi="Arial"/>
          <w:sz w:val="24"/>
          <w:szCs w:val="24"/>
        </w:rPr>
        <w:t xml:space="preserve">Основными факторами, повлиявшими на улучшение экономической ситуации в стране, стали:</w:t>
      </w:r>
    </w:p>
    <w:p>
      <w:pPr>
        <w:spacing w:after="120"/>
        <w:jc w:val="both"/>
      </w:pPr>
      <w:r>
        <w:rPr>
          <w:rFonts w:ascii="Arial" w:cs="Arial" w:eastAsia="Arial" w:hAnsi="Arial"/>
          <w:sz w:val="24"/>
          <w:szCs w:val="24"/>
        </w:rPr>
        <w:t xml:space="preserve">Внешние:</w:t>
      </w:r>
    </w:p>
    <w:p>
      <w:pPr>
        <w:spacing w:after="120"/>
        <w:jc w:val="both"/>
      </w:pPr>
      <w:r>
        <w:rPr>
          <w:rFonts w:ascii="Arial" w:cs="Arial" w:eastAsia="Arial" w:hAnsi="Arial"/>
          <w:sz w:val="24"/>
          <w:szCs w:val="24"/>
        </w:rPr>
        <w:t xml:space="preserve">Благоприятные факторы:</w:t>
      </w:r>
    </w:p>
    <w:p>
      <w:pPr>
        <w:spacing w:after="120"/>
        <w:jc w:val="both"/>
      </w:pPr>
      <w:r>
        <w:rPr>
          <w:rFonts w:ascii="Arial" w:cs="Arial" w:eastAsia="Arial" w:hAnsi="Arial"/>
          <w:sz w:val="24"/>
          <w:szCs w:val="24"/>
        </w:rPr>
        <w:t xml:space="preserve">• устойчивый экономический рост в странах - основных торговых партнерах Кыргызской Республики (Россия - 4,2 %; Казахстан - 7,5 %; Китай - 9,2%);</w:t>
      </w:r>
    </w:p>
    <w:p>
      <w:pPr>
        <w:spacing w:after="120"/>
        <w:jc w:val="both"/>
      </w:pPr>
      <w:r>
        <w:rPr>
          <w:rFonts w:ascii="Arial" w:cs="Arial" w:eastAsia="Arial" w:hAnsi="Arial"/>
          <w:sz w:val="24"/>
          <w:szCs w:val="24"/>
        </w:rPr>
        <w:t xml:space="preserve">• рост цен на золото на уровне 1326,0 - 1760,0 долл. за 1 унцию (январь - декабрь 2011 года);</w:t>
      </w:r>
    </w:p>
    <w:p>
      <w:pPr>
        <w:spacing w:after="120"/>
        <w:jc w:val="both"/>
      </w:pPr>
      <w:r>
        <w:rPr>
          <w:rFonts w:ascii="Arial" w:cs="Arial" w:eastAsia="Arial" w:hAnsi="Arial"/>
          <w:sz w:val="24"/>
          <w:szCs w:val="24"/>
        </w:rPr>
        <w:t xml:space="preserve">• отмена экспортных пошлин на нефтепродукты, поставляемые в Кыргызстан со стороны России, и умеренный рост мировых цен на нефть;</w:t>
      </w:r>
    </w:p>
    <w:p>
      <w:pPr>
        <w:spacing w:after="120"/>
        <w:jc w:val="both"/>
      </w:pPr>
      <w:r>
        <w:rPr>
          <w:rFonts w:ascii="Arial" w:cs="Arial" w:eastAsia="Arial" w:hAnsi="Arial"/>
          <w:sz w:val="24"/>
          <w:szCs w:val="24"/>
        </w:rPr>
        <w:t xml:space="preserve">• умеренные показатели инфляции (6-7,4 %) в странах - основных торговых партнерах (Россия, Казахстан).</w:t>
      </w:r>
    </w:p>
    <w:p>
      <w:pPr>
        <w:spacing w:after="120"/>
        <w:jc w:val="both"/>
      </w:pPr>
      <w:r>
        <w:rPr>
          <w:rFonts w:ascii="Arial" w:cs="Arial" w:eastAsia="Arial" w:hAnsi="Arial"/>
          <w:sz w:val="24"/>
          <w:szCs w:val="24"/>
        </w:rPr>
        <w:t xml:space="preserve">Неблагоприятные факторы:</w:t>
      </w:r>
    </w:p>
    <w:p>
      <w:pPr>
        <w:spacing w:after="120"/>
        <w:jc w:val="both"/>
      </w:pPr>
      <w:r>
        <w:rPr>
          <w:rFonts w:ascii="Arial" w:cs="Arial" w:eastAsia="Arial" w:hAnsi="Arial"/>
          <w:sz w:val="24"/>
          <w:szCs w:val="24"/>
        </w:rPr>
        <w:t xml:space="preserve">• зависимость внутреннего рынка от импорта продовольственной группы товаров (мука, растительное масло, сахар, крупы и т.д.).</w:t>
      </w:r>
    </w:p>
    <w:p>
      <w:pPr>
        <w:spacing w:after="120"/>
        <w:jc w:val="both"/>
      </w:pPr>
      <w:r>
        <w:rPr>
          <w:rFonts w:ascii="Arial" w:cs="Arial" w:eastAsia="Arial" w:hAnsi="Arial"/>
          <w:sz w:val="24"/>
          <w:szCs w:val="24"/>
        </w:rPr>
        <w:t xml:space="preserve">Внутренние:</w:t>
      </w:r>
    </w:p>
    <w:p>
      <w:pPr>
        <w:spacing w:after="120"/>
        <w:jc w:val="both"/>
      </w:pPr>
      <w:r>
        <w:rPr>
          <w:rFonts w:ascii="Arial" w:cs="Arial" w:eastAsia="Arial" w:hAnsi="Arial"/>
          <w:sz w:val="24"/>
          <w:szCs w:val="24"/>
        </w:rPr>
        <w:t xml:space="preserve">Благоприятные факторы:</w:t>
      </w:r>
    </w:p>
    <w:p>
      <w:pPr>
        <w:spacing w:after="120"/>
        <w:jc w:val="both"/>
      </w:pPr>
      <w:r>
        <w:rPr>
          <w:rFonts w:ascii="Arial" w:cs="Arial" w:eastAsia="Arial" w:hAnsi="Arial"/>
          <w:sz w:val="24"/>
          <w:szCs w:val="24"/>
        </w:rPr>
        <w:t xml:space="preserve">• стабильный уровень цен на энергоносители;</w:t>
      </w:r>
    </w:p>
    <w:p>
      <w:pPr>
        <w:spacing w:after="120"/>
        <w:jc w:val="both"/>
      </w:pPr>
      <w:r>
        <w:rPr>
          <w:rFonts w:ascii="Arial" w:cs="Arial" w:eastAsia="Arial" w:hAnsi="Arial"/>
          <w:sz w:val="24"/>
          <w:szCs w:val="24"/>
        </w:rPr>
        <w:t xml:space="preserve">• налоговые преференции для субъектов предпринимательства, включая облегчение и упрощение налогообложения швейной и текстильной отраслей;</w:t>
      </w:r>
    </w:p>
    <w:p>
      <w:pPr>
        <w:spacing w:after="120"/>
        <w:jc w:val="both"/>
      </w:pPr>
      <w:r>
        <w:rPr>
          <w:rFonts w:ascii="Arial" w:cs="Arial" w:eastAsia="Arial" w:hAnsi="Arial"/>
          <w:sz w:val="24"/>
          <w:szCs w:val="24"/>
        </w:rPr>
        <w:t xml:space="preserve">• освобождение от НДС: специализированных товаров для строительства и реконструкции стекловаренной печи, поставок и экспорта золотого и серебряного сплавов, аффинированного золота и серебра;</w:t>
      </w:r>
    </w:p>
    <w:p>
      <w:pPr>
        <w:spacing w:after="120"/>
        <w:jc w:val="both"/>
      </w:pPr>
      <w:r>
        <w:rPr>
          <w:rFonts w:ascii="Arial" w:cs="Arial" w:eastAsia="Arial" w:hAnsi="Arial"/>
          <w:sz w:val="24"/>
          <w:szCs w:val="24"/>
        </w:rPr>
        <w:t xml:space="preserve">• реструктуризация кредиторских задолженностей предприятий (ОАО «Касиет», ОАО «Ак-Тилек», завод «Достук»);</w:t>
      </w:r>
    </w:p>
    <w:p>
      <w:pPr>
        <w:spacing w:after="120"/>
        <w:jc w:val="both"/>
      </w:pPr>
      <w:r>
        <w:rPr>
          <w:rFonts w:ascii="Arial" w:cs="Arial" w:eastAsia="Arial" w:hAnsi="Arial"/>
          <w:sz w:val="24"/>
          <w:szCs w:val="24"/>
        </w:rPr>
        <w:t xml:space="preserve">• упрощение условий ведения бизнеса через сокращение проверок, количества лицензий и других мер государственного регулирования в целях снижения коррупции и теневой экономики;</w:t>
      </w:r>
    </w:p>
    <w:p>
      <w:pPr>
        <w:spacing w:after="120"/>
        <w:jc w:val="both"/>
      </w:pPr>
      <w:r>
        <w:rPr>
          <w:rFonts w:ascii="Arial" w:cs="Arial" w:eastAsia="Arial" w:hAnsi="Arial"/>
          <w:sz w:val="24"/>
          <w:szCs w:val="24"/>
        </w:rPr>
        <w:t xml:space="preserve">• рост кредитов в экономику на 20,8 %;</w:t>
      </w:r>
    </w:p>
    <w:p>
      <w:pPr>
        <w:spacing w:after="120"/>
        <w:jc w:val="both"/>
      </w:pPr>
      <w:r>
        <w:rPr>
          <w:rFonts w:ascii="Arial" w:cs="Arial" w:eastAsia="Arial" w:hAnsi="Arial"/>
          <w:sz w:val="24"/>
          <w:szCs w:val="24"/>
        </w:rPr>
        <w:t xml:space="preserve">• рост притока инвестиций в обрабатывающую и горнодобывающую промышленность.</w:t>
      </w:r>
    </w:p>
    <w:p>
      <w:pPr>
        <w:spacing w:after="120"/>
        <w:jc w:val="both"/>
      </w:pPr>
      <w:r>
        <w:rPr>
          <w:rFonts w:ascii="Arial" w:cs="Arial" w:eastAsia="Arial" w:hAnsi="Arial"/>
          <w:sz w:val="24"/>
          <w:szCs w:val="24"/>
        </w:rPr>
        <w:t xml:space="preserve">Неблагоприятные факторы:</w:t>
      </w:r>
    </w:p>
    <w:p>
      <w:pPr>
        <w:spacing w:after="120"/>
        <w:jc w:val="both"/>
      </w:pPr>
      <w:r>
        <w:rPr>
          <w:rFonts w:ascii="Arial" w:cs="Arial" w:eastAsia="Arial" w:hAnsi="Arial"/>
          <w:sz w:val="24"/>
          <w:szCs w:val="24"/>
        </w:rPr>
        <w:t xml:space="preserve">• высокие процентные ставки по кредитам для развития бизнеса (19,3 % - средневзвешенная процентная ставка);</w:t>
      </w:r>
    </w:p>
    <w:p>
      <w:pPr>
        <w:spacing w:after="120"/>
        <w:jc w:val="both"/>
      </w:pPr>
      <w:r>
        <w:rPr>
          <w:rFonts w:ascii="Arial" w:cs="Arial" w:eastAsia="Arial" w:hAnsi="Arial"/>
          <w:sz w:val="24"/>
          <w:szCs w:val="24"/>
        </w:rPr>
        <w:t xml:space="preserve">• природно-климатические и финансовые условия, которые оказали негативное воздействие на развитие агропромышленного комплекса.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Инфляция</w:t>
      </w:r>
    </w:p>
    <w:p>
      <w:pPr>
        <w:spacing w:after="120"/>
        <w:jc w:val="both"/>
      </w:pPr>
      <w:r>
        <w:rPr>
          <w:rFonts w:ascii="Arial" w:cs="Arial" w:eastAsia="Arial" w:hAnsi="Arial"/>
          <w:sz w:val="24"/>
          <w:szCs w:val="24"/>
        </w:rPr>
        <w:t xml:space="preserve">Индекс потребительских цен (далее - ИПЦ), характеризующий уровень инфляции, составил 105,7 %, (декабрь 2011 года к декабрю 2010 года), тогда как аналогичный показатель 2010 года составлял 119,2 %. Среднегодовое значение инфляции составило 116,6 %. В целом сложившийся уровень цен формировался под воздействием таких основных факторов как:</w:t>
      </w:r>
    </w:p>
    <w:p>
      <w:pPr>
        <w:spacing w:after="120"/>
        <w:jc w:val="both"/>
      </w:pPr>
      <w:r>
        <w:rPr>
          <w:rFonts w:ascii="Arial" w:cs="Arial" w:eastAsia="Arial" w:hAnsi="Arial"/>
          <w:sz w:val="24"/>
          <w:szCs w:val="24"/>
        </w:rPr>
        <w:t xml:space="preserve">• замедление роста цен на внутреннем рынке на основные продовольственные товары (фрукты и овощи, сахар, хлебобулочные изделия и крупы);</w:t>
      </w:r>
    </w:p>
    <w:p>
      <w:pPr>
        <w:spacing w:after="120"/>
        <w:jc w:val="both"/>
      </w:pPr>
      <w:r>
        <w:rPr>
          <w:rFonts w:ascii="Arial" w:cs="Arial" w:eastAsia="Arial" w:hAnsi="Arial"/>
          <w:sz w:val="24"/>
          <w:szCs w:val="24"/>
        </w:rPr>
        <w:t xml:space="preserve">• замедление роста цен на непродовольственные товары и услуги на внутреннем рынке;</w:t>
      </w:r>
    </w:p>
    <w:p>
      <w:pPr>
        <w:spacing w:after="120"/>
        <w:jc w:val="both"/>
      </w:pPr>
      <w:r>
        <w:rPr>
          <w:rFonts w:ascii="Arial" w:cs="Arial" w:eastAsia="Arial" w:hAnsi="Arial"/>
          <w:sz w:val="24"/>
          <w:szCs w:val="24"/>
        </w:rPr>
        <w:t xml:space="preserve">• снижение цен на мировых продовольственных рынках;</w:t>
      </w:r>
    </w:p>
    <w:p>
      <w:pPr>
        <w:spacing w:after="120"/>
        <w:jc w:val="both"/>
      </w:pPr>
      <w:r>
        <w:rPr>
          <w:rFonts w:ascii="Arial" w:cs="Arial" w:eastAsia="Arial" w:hAnsi="Arial"/>
          <w:sz w:val="24"/>
          <w:szCs w:val="24"/>
        </w:rPr>
        <w:t xml:space="preserve">• умеренный рост стоимости ГСМ на внутреннем рынке;</w:t>
      </w:r>
    </w:p>
    <w:p>
      <w:pPr>
        <w:spacing w:after="120"/>
        <w:jc w:val="both"/>
      </w:pPr>
      <w:r>
        <w:rPr>
          <w:rFonts w:ascii="Arial" w:cs="Arial" w:eastAsia="Arial" w:hAnsi="Arial"/>
          <w:sz w:val="24"/>
          <w:szCs w:val="24"/>
        </w:rPr>
        <w:t xml:space="preserve">• стабильный уровень цен на коммунальные услуги;</w:t>
      </w:r>
    </w:p>
    <w:p>
      <w:pPr>
        <w:spacing w:after="120"/>
        <w:jc w:val="both"/>
      </w:pPr>
      <w:r>
        <w:rPr>
          <w:rFonts w:ascii="Arial" w:cs="Arial" w:eastAsia="Arial" w:hAnsi="Arial"/>
          <w:sz w:val="24"/>
          <w:szCs w:val="24"/>
        </w:rPr>
        <w:t xml:space="preserve">• существенное увеличение расходов государственного бюджета, выступающего одним из основных источников роста предложения денег.</w:t>
      </w:r>
    </w:p>
    <w:p>
      <w:pPr>
        <w:spacing w:after="120"/>
        <w:jc w:val="both"/>
      </w:pPr>
      <w:r>
        <w:rPr>
          <w:rFonts w:ascii="Arial" w:cs="Arial" w:eastAsia="Arial" w:hAnsi="Arial"/>
          <w:sz w:val="24"/>
          <w:szCs w:val="24"/>
        </w:rPr>
        <w:t xml:space="preserve">За январь - декабрь 2011 года (к декабрю 2010 года) наблюдалось замедление темпов роста цен на «Пищевые продукты и безалкогольные напитки», которые в целом повысились на 3,5 %, а в 2010 году данный показатель составлял 27,0 %), в том числе наблюдалось повышение цен на растительные масла - на 5,8 %, свежее мясо - на 24,4 %, молочные изделия, сыр и яйца - на 8,8 %.</w:t>
      </w:r>
    </w:p>
    <w:p>
      <w:pPr>
        <w:spacing w:after="120"/>
        <w:jc w:val="both"/>
      </w:pPr>
      <w:r>
        <w:rPr>
          <w:rFonts w:ascii="Arial" w:cs="Arial" w:eastAsia="Arial" w:hAnsi="Arial"/>
          <w:sz w:val="24"/>
          <w:szCs w:val="24"/>
        </w:rPr>
        <w:t xml:space="preserve">Вместе с тем, цены на хлебобулочные изделия, крупы снизились - на 0,6 % (мука высшего сорта - на 5,0 %; мука первого сорта - на 3,2 %) за счет высокого урожая в России и Казахстане, а также снятия запрета на экспорт зерна из России (с 1 июля 2011 года), фрукты и овощи - на 14,9 % ( в т.ч. фрукты - на 12,6 %, овощи - на 15,6 %), сахар - на 8,6 % (в большей степени обусловлено возобновлением работы сахарных заводов, а также за счет хорошего урожая сахарной свеклы в Белоруссии (рост на 17 %).</w:t>
      </w:r>
    </w:p>
    <w:p>
      <w:pPr>
        <w:spacing w:after="120"/>
        <w:jc w:val="both"/>
      </w:pPr>
      <w:r>
        <w:rPr>
          <w:rFonts w:ascii="Arial" w:cs="Arial" w:eastAsia="Arial" w:hAnsi="Arial"/>
          <w:sz w:val="24"/>
          <w:szCs w:val="24"/>
        </w:rPr>
        <w:t xml:space="preserve">Цены на «Алкогольные напитки и табачные изделия» возросли на 9,8 % (в т.ч. алкогольные напитки повысились на 8,8 %, табачные изделия - на 12,4 %), в 2010 году аналогичный показатель составлял 12,9 %.</w:t>
      </w:r>
    </w:p>
    <w:p>
      <w:pPr>
        <w:spacing w:after="120"/>
        <w:jc w:val="both"/>
      </w:pPr>
      <w:r>
        <w:rPr>
          <w:rFonts w:ascii="Arial" w:cs="Arial" w:eastAsia="Arial" w:hAnsi="Arial"/>
          <w:sz w:val="24"/>
          <w:szCs w:val="24"/>
        </w:rPr>
        <w:t xml:space="preserve">За рассматриваемый период «Непродовольственные товары» подорожали на 9,2 % (за 2010 год - 14,2 %), это вызвано повышением цены на одежду и обувь - на 12,9 % (материалов для изготовления одежды - на 10,5 %, предметов домашнего обихода - на 11,4 %).</w:t>
      </w:r>
    </w:p>
    <w:p>
      <w:pPr>
        <w:spacing w:after="120"/>
        <w:jc w:val="both"/>
      </w:pPr>
      <w:r>
        <w:rPr>
          <w:rFonts w:ascii="Arial" w:cs="Arial" w:eastAsia="Arial" w:hAnsi="Arial"/>
          <w:sz w:val="24"/>
          <w:szCs w:val="24"/>
        </w:rPr>
        <w:t xml:space="preserve">По итогам января - декабря 2011 года цены на горюче-смазочные материалы на внутреннем рынке снизились на 1,9 % (в т.ч. дизельное топливо подорожало на 2,3 %, в то время как бензин подешевел на 1,6 %).</w:t>
      </w:r>
    </w:p>
    <w:p>
      <w:pPr>
        <w:spacing w:after="120"/>
        <w:jc w:val="both"/>
      </w:pPr>
      <w:r>
        <w:rPr>
          <w:rFonts w:ascii="Arial" w:cs="Arial" w:eastAsia="Arial" w:hAnsi="Arial"/>
          <w:sz w:val="24"/>
          <w:szCs w:val="24"/>
        </w:rPr>
        <w:t xml:space="preserve">Цены и тарифы на «Услуги населению» за январь - декабрь 2011 года в целом возросли на 11,1 % (в 2010 году данный показатель составил 11,9 %). Наибольший вклад в рост общего уровня цен внесло удорожание услуг ресторанов и гостиниц - на 14,9 %, организации отдыха и культурных мероприятий - на 11,1 %. Отмечался рост цен на услуги здравоохранения - на 9,9 % и образования - на 16,3 %.</w:t>
      </w:r>
    </w:p>
    <w:p>
      <w:pPr>
        <w:spacing w:after="120"/>
        <w:jc w:val="both"/>
      </w:pPr>
      <w:r>
        <w:rPr>
          <w:rFonts w:ascii="Arial" w:cs="Arial" w:eastAsia="Arial" w:hAnsi="Arial"/>
          <w:sz w:val="24"/>
          <w:szCs w:val="24"/>
        </w:rPr>
        <w:t xml:space="preserve">За рассматриваемый период рост цен отмечен во всех регионах республики. Так, наибольший рост цен наблюдался в Баткенской (111,4 %) и Нарынской (110,8 %) областях, наименьший рост - в Иссык-Кульской области (102,8 %).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Денежно-кредитная политика</w:t>
      </w:r>
    </w:p>
    <w:p>
      <w:pPr>
        <w:spacing w:after="120"/>
        <w:jc w:val="both"/>
      </w:pPr>
      <w:r>
        <w:rPr>
          <w:rFonts w:ascii="Arial" w:cs="Arial" w:eastAsia="Arial" w:hAnsi="Arial"/>
          <w:sz w:val="24"/>
          <w:szCs w:val="24"/>
        </w:rPr>
        <w:t xml:space="preserve">Денежная база на конец 2011 года составила 54,8 млрд. сомов, увеличившись за отчетный год на 12,8 % (в 2010 году - на 18,4 %).</w:t>
      </w:r>
    </w:p>
    <w:p>
      <w:pPr>
        <w:spacing w:after="120"/>
        <w:jc w:val="both"/>
      </w:pPr>
      <w:r>
        <w:rPr>
          <w:rFonts w:ascii="Arial" w:cs="Arial" w:eastAsia="Arial" w:hAnsi="Arial"/>
          <w:sz w:val="24"/>
          <w:szCs w:val="24"/>
        </w:rPr>
        <w:t xml:space="preserve">Объем денег в обращении за 2011 год увеличился на 15,2 % и составил 49,9 млрд. сомов (в 2010 году увеличение объема денег в обращении составляло 21,1 %).</w:t>
      </w:r>
    </w:p>
    <w:p>
      <w:pPr>
        <w:spacing w:after="120"/>
        <w:jc w:val="both"/>
      </w:pPr>
      <w:r>
        <w:rPr>
          <w:rFonts w:ascii="Arial" w:cs="Arial" w:eastAsia="Arial" w:hAnsi="Arial"/>
          <w:sz w:val="24"/>
          <w:szCs w:val="24"/>
        </w:rPr>
        <w:t xml:space="preserve">По предварительным данным, денежный агрегат М2 за год увеличился на 15,6 % и составил 62,1 млрд. сомов (в 2010 году увеличение составило 23,6 %).</w:t>
      </w:r>
    </w:p>
    <w:p>
      <w:pPr>
        <w:spacing w:after="120"/>
        <w:jc w:val="both"/>
      </w:pPr>
      <w:r>
        <w:rPr>
          <w:rFonts w:ascii="Arial" w:cs="Arial" w:eastAsia="Arial" w:hAnsi="Arial"/>
          <w:sz w:val="24"/>
          <w:szCs w:val="24"/>
        </w:rPr>
        <w:t xml:space="preserve">Объем широкой денежной массы М2Х на конец года составил 79,5 млрд. сомов, увеличившись за отчетный год на 14,9 % (в 2010 году М2Х - 21,1 %). При этом, объем депозитов1 вырос на 16,5 %, до 32,3 млрд. сомов, а объем денег вне банков - на 13,9 %, до 47,2 млрд. сомов (объем денег вне банков за 2010 год увеличился на 22,4 %, а объем депозитов - на 19,3 %).</w:t>
      </w:r>
    </w:p>
    <w:p>
      <w:pPr>
        <w:spacing w:after="120"/>
        <w:jc w:val="both"/>
      </w:pPr>
      <w:r>
        <w:rPr>
          <w:rFonts w:ascii="Arial" w:cs="Arial" w:eastAsia="Arial" w:hAnsi="Arial"/>
          <w:sz w:val="24"/>
          <w:szCs w:val="24"/>
        </w:rPr>
        <w:t xml:space="preserve">____________________________</w:t>
      </w:r>
    </w:p>
    <w:p>
      <w:pPr>
        <w:spacing w:after="120"/>
        <w:jc w:val="both"/>
      </w:pPr>
      <w:r>
        <w:rPr>
          <w:rFonts w:ascii="Arial" w:cs="Arial" w:eastAsia="Arial" w:hAnsi="Arial"/>
          <w:sz w:val="24"/>
          <w:szCs w:val="24"/>
        </w:rPr>
        <w:t xml:space="preserve">1Данные аналитического баланса банковской системы включают в себя только депозиты физических и юридических лиц, а также депозиты других финансово-кредитных учреждений, при этом исключаются депозиты Правительства и депозиты нерезидентов.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Кредит в экономику, на конец 2011 года, составил 33,3 млрд. сомов, увеличившись за год на 20,8 % (в 2010 году увеличился - на 6,3 %).</w:t>
      </w:r>
    </w:p>
    <w:p>
      <w:pPr>
        <w:spacing w:after="120"/>
        <w:jc w:val="both"/>
      </w:pPr>
      <w:r>
        <w:rPr>
          <w:rFonts w:ascii="Arial" w:cs="Arial" w:eastAsia="Arial" w:hAnsi="Arial"/>
          <w:sz w:val="24"/>
          <w:szCs w:val="24"/>
        </w:rPr>
        <w:t xml:space="preserve">По состоянию на 30 ноября 2011 года, средневзвешенные процентные ставки по кредитам на конец периода составили 19,3 % (в т.ч. в национальной валюте - 22,3 %, в иностранной - 18,0 %). По вновь выданным кредитам средневзвешенные процентные ставки составили 21,6 % (в т.ч. в национальной валюте - 23,9 %, в иностранной - 19,8 %).</w:t>
      </w:r>
    </w:p>
    <w:p>
      <w:pPr>
        <w:spacing w:after="120"/>
        <w:jc w:val="both"/>
      </w:pPr>
      <w:r>
        <w:rPr>
          <w:rFonts w:ascii="Arial" w:cs="Arial" w:eastAsia="Arial" w:hAnsi="Arial"/>
          <w:sz w:val="24"/>
          <w:szCs w:val="24"/>
        </w:rPr>
        <w:t xml:space="preserve">Обменный курс. По итогам 2011 года объем покупок Национального банка составил 120,5 млн. долларов США, а объем продаж - 281,2 млн. долларов США. Таким образом, чистая продажа Национального банка на межбанковском валютном рынке, с целью стабилизации курса национальной валюты, составила 160,7 млн. долларов США.</w:t>
      </w:r>
    </w:p>
    <w:p>
      <w:pPr>
        <w:spacing w:after="120"/>
        <w:jc w:val="both"/>
      </w:pPr>
      <w:r>
        <w:rPr>
          <w:rFonts w:ascii="Arial" w:cs="Arial" w:eastAsia="Arial" w:hAnsi="Arial"/>
          <w:sz w:val="24"/>
          <w:szCs w:val="24"/>
        </w:rPr>
        <w:t xml:space="preserve">Официальный курс доллара США по отношению к кыргызскому сому за 2011 год понизился на 1,3 % с 47,0992 сома за 1 доллар США в начале января до 46,4847 сома за 1 доллар США на конец 2011 года.</w:t>
      </w:r>
    </w:p>
    <w:p>
      <w:pPr>
        <w:spacing w:after="120"/>
        <w:jc w:val="both"/>
      </w:pPr>
      <w:r>
        <w:rPr>
          <w:rFonts w:ascii="Arial" w:cs="Arial" w:eastAsia="Arial" w:hAnsi="Arial"/>
          <w:sz w:val="24"/>
          <w:szCs w:val="24"/>
        </w:rPr>
        <w:t xml:space="preserve">Объем международных резервов, по состоянию на 31 декабря 2011 года, составил 1,8 млрд. долларов США, увеличившись с начала 2011 года на 115,6 млн. долларов США или на 6,7 %.</w:t>
      </w:r>
    </w:p>
    <w:p>
      <w:pPr>
        <w:spacing w:after="120"/>
        <w:jc w:val="both"/>
      </w:pPr>
      <w:r>
        <w:rPr>
          <w:rFonts w:ascii="Arial" w:cs="Arial" w:eastAsia="Arial" w:hAnsi="Arial"/>
          <w:sz w:val="24"/>
          <w:szCs w:val="24"/>
        </w:rPr>
        <w:t xml:space="preserve">За период с начала 2011 года на объем валовых международных резервов влияние оказали: валютные операции НБКР, проводимые на внутреннем рынке страны; доходы, полученные от управления международными резервами; изменение курсов валют, входящих в состав международных резервов; изменение цен на драгоценные металлы; поступления валютных средств в пользу Правительства Кыргызской Республики от стран-доноров; выплаты по внешним обязательствам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Тенденции развития банковской системы</w:t>
      </w:r>
    </w:p>
    <w:p>
      <w:pPr>
        <w:spacing w:after="120"/>
        <w:jc w:val="both"/>
      </w:pPr>
      <w:r>
        <w:rPr>
          <w:rFonts w:ascii="Arial" w:cs="Arial" w:eastAsia="Arial" w:hAnsi="Arial"/>
          <w:sz w:val="24"/>
          <w:szCs w:val="24"/>
        </w:rPr>
        <w:t xml:space="preserve">По состоянию на 30 ноября 2011 года1, на территории Кыргызской Республики действовало 22 коммерческих банка2 (включая Бишкекский филиал Национального банка Пакистана) и 252 филиала коммерческих банков.</w:t>
      </w:r>
    </w:p>
    <w:p>
      <w:pPr>
        <w:spacing w:after="120"/>
        <w:jc w:val="both"/>
      </w:pPr>
      <w:r>
        <w:rPr>
          <w:rFonts w:ascii="Arial" w:cs="Arial" w:eastAsia="Arial" w:hAnsi="Arial"/>
          <w:sz w:val="24"/>
          <w:szCs w:val="24"/>
        </w:rPr>
        <w:t xml:space="preserve">На 30 ноября 2011 года банковской системой в целом получена чистая прибыль в размере 1,8 млрд. сомов (в 2010 году - 566,8 млн. сомов). Суммарные активы банковской системы увеличились с начала года на 16,2 % и составили 67,3 млрд. сомов.</w:t>
      </w:r>
    </w:p>
    <w:p>
      <w:pPr>
        <w:spacing w:after="120"/>
        <w:jc w:val="both"/>
      </w:pPr>
      <w:r>
        <w:rPr>
          <w:rFonts w:ascii="Arial" w:cs="Arial" w:eastAsia="Arial" w:hAnsi="Arial"/>
          <w:sz w:val="24"/>
          <w:szCs w:val="24"/>
        </w:rPr>
        <w:t xml:space="preserve">По состоянию на 30 ноября 2011 года, общая депозитная база3 банковской системы в целом составила 40,9 млрд. сомов, увеличившись с начала года на 14,5 %. Общий объем депозитной базы4 в кредитных союзах за 3 квартал 2011 года уменьшился на 2,2 % и на конец периода составил 34,2 млн. сомов (за 2010 год объем депозитов вырос на 1,6% и на конец периода составил 34,9 млн. сомов).</w:t>
      </w:r>
    </w:p>
    <w:p>
      <w:pPr>
        <w:spacing w:after="120"/>
        <w:jc w:val="both"/>
      </w:pPr>
      <w:r>
        <w:rPr>
          <w:rFonts w:ascii="Arial" w:cs="Arial" w:eastAsia="Arial" w:hAnsi="Arial"/>
          <w:sz w:val="24"/>
          <w:szCs w:val="24"/>
        </w:rPr>
        <w:t xml:space="preserve">С начала года в целом по банковской системе отмечается по депозитам юридических лиц прирост на 8,8 %, по депозитам физических лиц - прирост на 25,3 %, что отражает сохранение доверия к банковской системе со стороны домохозяйств/населения страны.</w:t>
      </w:r>
    </w:p>
    <w:p>
      <w:pPr>
        <w:spacing w:after="120"/>
        <w:jc w:val="both"/>
      </w:pPr>
      <w:r>
        <w:rPr>
          <w:rFonts w:ascii="Arial" w:cs="Arial" w:eastAsia="Arial" w:hAnsi="Arial"/>
          <w:sz w:val="24"/>
          <w:szCs w:val="24"/>
        </w:rPr>
        <w:t xml:space="preserve">Уровень «долларизации» депозитов физических и юридических лиц банковской системы в целом, по состоянию на 30 ноября 2011 года, составил 55,8 % (снижение с начала года на 2,4 п.п.).</w:t>
      </w:r>
    </w:p>
    <w:p>
      <w:pPr>
        <w:spacing w:after="120"/>
        <w:jc w:val="both"/>
      </w:pPr>
      <w:r>
        <w:rPr>
          <w:rFonts w:ascii="Arial" w:cs="Arial" w:eastAsia="Arial" w:hAnsi="Arial"/>
          <w:sz w:val="24"/>
          <w:szCs w:val="24"/>
        </w:rPr>
        <w:t xml:space="preserve">Объем кредитов клиентам (остатков задолженности по кредитам) банковской системы в целом, по состоянию на 30 ноября 2011 года, составил 31,1 млрд. сомов, увеличившись с начала года на 18,2 % (на конец 2010 года - 26,3 млрд. сомов).</w:t>
      </w:r>
    </w:p>
    <w:p>
      <w:pPr>
        <w:spacing w:after="120"/>
        <w:jc w:val="both"/>
      </w:pPr>
      <w:r>
        <w:rPr>
          <w:rFonts w:ascii="Arial" w:cs="Arial" w:eastAsia="Arial" w:hAnsi="Arial"/>
          <w:sz w:val="24"/>
          <w:szCs w:val="24"/>
        </w:rPr>
        <w:t xml:space="preserve">В кредитном портфеле банковской системы в целом доля классифицированных кредитов, по состоянию на 30 ноября 2011 года, составила 10,9 % или 3,4 млрд. сомов (на конец 2010 года - 15,8 % или 4,2 млрд. сомов).</w:t>
      </w:r>
    </w:p>
    <w:p>
      <w:pPr>
        <w:spacing w:after="120"/>
        <w:jc w:val="both"/>
      </w:pPr>
      <w:r>
        <w:rPr>
          <w:rFonts w:ascii="Arial" w:cs="Arial" w:eastAsia="Arial" w:hAnsi="Arial"/>
          <w:sz w:val="24"/>
          <w:szCs w:val="24"/>
        </w:rPr>
        <w:t xml:space="preserve">Уровень «долларизации» кредитов клиентов банковской системы в целом, по состоянию на 30 ноября 2011 года, составил 54,3 %, снизившись с начала года на 2,5 п.п.</w:t>
      </w:r>
    </w:p>
    <w:p>
      <w:pPr>
        <w:spacing w:after="120"/>
        <w:jc w:val="both"/>
      </w:pPr>
      <w:r>
        <w:rPr>
          <w:rFonts w:ascii="Arial" w:cs="Arial" w:eastAsia="Arial" w:hAnsi="Arial"/>
          <w:sz w:val="24"/>
          <w:szCs w:val="24"/>
        </w:rPr>
        <w:t xml:space="preserve">_________________________________</w:t>
      </w:r>
    </w:p>
    <w:p>
      <w:pPr>
        <w:spacing w:after="120"/>
        <w:jc w:val="both"/>
      </w:pPr>
      <w:r>
        <w:rPr>
          <w:rFonts w:ascii="Arial" w:cs="Arial" w:eastAsia="Arial" w:hAnsi="Arial"/>
          <w:sz w:val="24"/>
          <w:szCs w:val="24"/>
        </w:rPr>
        <w:t xml:space="preserve">1 Данные приведены согласно регулятивной отчетности коммерческих банков.</w:t>
      </w:r>
    </w:p>
    <w:p>
      <w:pPr>
        <w:spacing w:after="120"/>
        <w:jc w:val="both"/>
      </w:pPr>
      <w:r>
        <w:rPr>
          <w:rFonts w:ascii="Arial" w:cs="Arial" w:eastAsia="Arial" w:hAnsi="Arial"/>
          <w:sz w:val="24"/>
          <w:szCs w:val="24"/>
        </w:rPr>
        <w:t xml:space="preserve">2 Из банковской системы с 1 ноября 2010 г. исключен ОАО «АзияУниверсалБанк»: в связи с судебным решением о возбуждении процедуры банкротства и прекращением режима консервации (согласно постановлению правления НБКР от 1.11.2010 г. № 83/1). С 24.12.2010 г. в банковскую систему введен ОАО «Залкар Банк», получивший лицензию в соответствии с постановлением правления НБКР от 16.12.2010 г. № 91/1</w:t>
      </w:r>
    </w:p>
    <w:p>
      <w:pPr>
        <w:spacing w:after="120"/>
        <w:jc w:val="both"/>
      </w:pPr>
      <w:r>
        <w:rPr>
          <w:rFonts w:ascii="Arial" w:cs="Arial" w:eastAsia="Arial" w:hAnsi="Arial"/>
          <w:sz w:val="24"/>
          <w:szCs w:val="24"/>
        </w:rPr>
        <w:t xml:space="preserve">3 В данную категорию включаются депозиты предприятий и населения, депозиты банков и других ФКУ, а также депозиты органов власти.</w:t>
      </w:r>
    </w:p>
    <w:p>
      <w:pPr>
        <w:spacing w:after="120"/>
        <w:jc w:val="both"/>
      </w:pPr>
      <w:r>
        <w:rPr>
          <w:rFonts w:ascii="Arial" w:cs="Arial" w:eastAsia="Arial" w:hAnsi="Arial"/>
          <w:sz w:val="24"/>
          <w:szCs w:val="24"/>
        </w:rPr>
        <w:t xml:space="preserve">4 По состоянию на 30.09.2011 г., депозиты привлекают 12 кредитных союзов (на основании лицензии НБКР).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Развитие реального сектора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Промышленность1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2011 год промышленными предприятиями произведено продукции на сумму 161,8 млрд. сомов, реальный рост по сравнению с соответствующим периодом 2010 года составил 111,9 %. Без учета предприятий по разработке месторождения «Кумтор», - 73,8 млрд. сомов и реальный рост составил 118,8%.</w:t>
      </w:r>
    </w:p>
    <w:p>
      <w:pPr>
        <w:spacing w:after="120"/>
        <w:jc w:val="both"/>
      </w:pPr>
      <w:r>
        <w:rPr>
          <w:rFonts w:ascii="Arial" w:cs="Arial" w:eastAsia="Arial" w:hAnsi="Arial"/>
          <w:sz w:val="24"/>
          <w:szCs w:val="24"/>
        </w:rPr>
        <w:t xml:space="preserve">Фактический объем производства промышленности превысил уровень прогнозируемого показателя на 1,0 п.п. (110,9 %), превышение составило 3,8 млрд. сомов.</w:t>
      </w:r>
    </w:p>
    <w:p>
      <w:pPr>
        <w:spacing w:after="120"/>
        <w:jc w:val="both"/>
      </w:pPr>
      <w:r>
        <w:rPr>
          <w:rFonts w:ascii="Arial" w:cs="Arial" w:eastAsia="Arial" w:hAnsi="Arial"/>
          <w:sz w:val="24"/>
          <w:szCs w:val="24"/>
        </w:rPr>
        <w:t xml:space="preserve">Положительный вклад в формирование ВВП со стороны промышленного производства является весомым и оценивается на уровне 2,51 п.п., включая предприятия по разработке месторождения «Кумтор», вклад которого в ВВП составил 0,7 п.п. (удельный вес в структуре производства ВВП составил 11,9 %).</w:t>
      </w:r>
    </w:p>
    <w:p>
      <w:pPr>
        <w:spacing w:after="120"/>
        <w:jc w:val="both"/>
      </w:pPr>
      <w:r>
        <w:rPr>
          <w:rFonts w:ascii="Arial" w:cs="Arial" w:eastAsia="Arial" w:hAnsi="Arial"/>
          <w:sz w:val="24"/>
          <w:szCs w:val="24"/>
        </w:rPr>
        <w:t xml:space="preserve">Основной вклад в объем промышленного производства традиционно внесен Иссык-Кульской (удельный вес 27,6 %), Чуйской (39,9 %) областями и г. Бишкек (17,4 %), доля которых по итогам за январь - декабрь 2011 года составила 84,9 %.</w:t>
      </w:r>
    </w:p>
    <w:p>
      <w:pPr>
        <w:spacing w:after="120"/>
        <w:jc w:val="both"/>
      </w:pPr>
      <w:r>
        <w:rPr>
          <w:rFonts w:ascii="Arial" w:cs="Arial" w:eastAsia="Arial" w:hAnsi="Arial"/>
          <w:sz w:val="24"/>
          <w:szCs w:val="24"/>
        </w:rPr>
        <w:t xml:space="preserve">____________________________</w:t>
      </w:r>
    </w:p>
    <w:p>
      <w:pPr>
        <w:spacing w:after="120"/>
        <w:jc w:val="both"/>
      </w:pPr>
      <w:r>
        <w:rPr>
          <w:rFonts w:ascii="Arial" w:cs="Arial" w:eastAsia="Arial" w:hAnsi="Arial"/>
          <w:sz w:val="24"/>
          <w:szCs w:val="24"/>
        </w:rPr>
        <w:t xml:space="preserve">1 Без учета стоимости давальческого сырья.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результатам обследования деловой активности промышленных предприятий, загрузка производственных мощностей на обследуемых предприятиях промышленности в 2011 году составила в среднем 47,7 %. Максимальная интенсивность использования наблюдалась на предприятиях по производству и распределению электроэнергии, газа и воды (61,8 %), минимальная - на предприятиях по обработке древесины и производства изделий из дерева (19,0 %).</w:t>
      </w:r>
    </w:p>
    <w:p>
      <w:pPr>
        <w:spacing w:after="120"/>
        <w:jc w:val="both"/>
      </w:pPr>
      <w:r>
        <w:rPr>
          <w:rFonts w:ascii="Arial" w:cs="Arial" w:eastAsia="Arial" w:hAnsi="Arial"/>
          <w:sz w:val="24"/>
          <w:szCs w:val="24"/>
        </w:rPr>
        <w:t xml:space="preserve">Причинами, наиболее сдерживающими рост производства, являются: финансовые затруднения (38,3 %), недостаточный спрос на готовую продукцию (35,4 %), неплатежеспособность заказчиков (25,4 %), дефицит сырья и материалов (20,3 %), нестабильность налоговой политики (4,9 %) и отключение электроэнергии (3,1 %).</w:t>
      </w:r>
    </w:p>
    <w:p>
      <w:pPr>
        <w:spacing w:after="120"/>
        <w:jc w:val="both"/>
      </w:pPr>
      <w:r>
        <w:rPr>
          <w:rFonts w:ascii="Arial" w:cs="Arial" w:eastAsia="Arial" w:hAnsi="Arial"/>
          <w:sz w:val="24"/>
          <w:szCs w:val="24"/>
        </w:rPr>
        <w:t xml:space="preserve">Финансовые результаты предприятий промышленности характеризует их рентабельность. Из 2257 предприятий промышленности1 861 предприятием получена прибыль (38,2 %), 825 предприятиями - убытки (36,5 %), с нулевым финансовым результатом - 571 предприятие (25,3 %), с общей суммой прибыли - 24,3 млрд. сомов и убытков - 1,7 млрд. сомов. Наибольшую долю занимают предприятия обрабатывающей промышленности (76,5 %), где преобладают предприятия производства пищевых продуктов, производства нефтепродуктов, производства прочих неметаллических минеральных продуктов и производства готовых металлических изделий. В горнодобывающей промышленности в основном убыточно сработали предприятия по добыче металлических руд (-475,9 млн. сомов), удельный вес которых составил 88,4 % от общего объема убытка в данном секторе. В производстве и распределении электроэнергии, газа и воды основную долю убыточных предприятий занимают предприятия по снабжению паром и горячей водой, где сумма убытка составила 239,2 млн. сомов, что составляет 84,3 % от общей суммы убытка по данному сектору.</w:t>
      </w:r>
    </w:p>
    <w:p>
      <w:pPr>
        <w:spacing w:after="120"/>
        <w:jc w:val="both"/>
      </w:pPr>
      <w:r>
        <w:rPr>
          <w:rFonts w:ascii="Arial" w:cs="Arial" w:eastAsia="Arial" w:hAnsi="Arial"/>
          <w:sz w:val="24"/>
          <w:szCs w:val="24"/>
        </w:rPr>
        <w:t xml:space="preserve">_______________________________</w:t>
      </w:r>
    </w:p>
    <w:p>
      <w:pPr>
        <w:spacing w:after="120"/>
        <w:jc w:val="both"/>
      </w:pPr>
      <w:r>
        <w:rPr>
          <w:rFonts w:ascii="Arial" w:cs="Arial" w:eastAsia="Arial" w:hAnsi="Arial"/>
          <w:sz w:val="24"/>
          <w:szCs w:val="24"/>
        </w:rPr>
        <w:t xml:space="preserve">1 Данные за январь - сентябрь 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предварительным данным за 2011 год, налоговые поступления от деятельности промышленных предприятий составили 11,3 млрд. сомов, что составляет 37,3 % от общего объема налоговых поступлений (от предприятий металлургического производства - 22,5 %), и возросли на 37,9 % по сравнению с 2010 годом. При этом следует отметить, что увеличение объемов налоговых поступлений наблюдается во всех секторах промышленности. Налоговые поступления от деятельности промышленных предприятий к общему объему ВВП составили 4,1 %.</w:t>
      </w:r>
    </w:p>
    <w:p>
      <w:pPr>
        <w:spacing w:after="120"/>
        <w:jc w:val="both"/>
      </w:pPr>
      <w:r>
        <w:rPr>
          <w:rFonts w:ascii="Arial" w:cs="Arial" w:eastAsia="Arial" w:hAnsi="Arial"/>
          <w:sz w:val="24"/>
          <w:szCs w:val="24"/>
        </w:rPr>
        <w:t xml:space="preserve">Рост объемов производства промышленной продукции за январь - декабрь 2011 года обусловлен увеличением объемов производства во всех секторах отрасли: производстве и распределении электроэнергии, газа и воды - на 22,4 %, обрабатывающей промышленности - на 9,8 %, горнодобывающей промышленности - на 24,6 %.</w:t>
      </w:r>
    </w:p>
    <w:p>
      <w:pPr>
        <w:spacing w:after="120"/>
        <w:jc w:val="both"/>
      </w:pPr>
      <w:r>
        <w:rPr>
          <w:rFonts w:ascii="Arial" w:cs="Arial" w:eastAsia="Arial" w:hAnsi="Arial"/>
          <w:sz w:val="24"/>
          <w:szCs w:val="24"/>
        </w:rPr>
        <w:t xml:space="preserve">Предприятия по разработке месторождения «Кумтор» по-прежнему занимают «львиную» долю в структуре промышленного производства (51,5 %). В отчётном периоде их влияние оказалось существенным, где прирост составил 3,2 %, а вклад в ВВП - 0,7 п.п.</w:t>
      </w:r>
    </w:p>
    <w:p>
      <w:pPr>
        <w:spacing w:after="120"/>
        <w:jc w:val="both"/>
      </w:pPr>
      <w:r>
        <w:rPr>
          <w:rFonts w:ascii="Arial" w:cs="Arial" w:eastAsia="Arial" w:hAnsi="Arial"/>
          <w:sz w:val="24"/>
          <w:szCs w:val="24"/>
        </w:rPr>
        <w:t xml:space="preserve">Обрабатывающая промышленность в структуре промышленного производства занимает наибольшую долю (уд. вес 82,3 % в объеме промышленного производства), где объем производства продукции за 2011 год составил 133,2 млрд. сомов и по сравнению с 2010 годом вырос на 9,8 %, превысив прогнозируемый уровень на 1,4 %. Рост обеспечен за счет увеличения объемов производства в текстильном и швейном производстве на 49,5 %, в металлургическом производстве и производстве готовых металлических изделий - на 3,6 %.</w:t>
      </w:r>
    </w:p>
    <w:p>
      <w:pPr>
        <w:spacing w:after="120"/>
        <w:jc w:val="both"/>
      </w:pPr>
      <w:r>
        <w:rPr>
          <w:rFonts w:ascii="Arial" w:cs="Arial" w:eastAsia="Arial" w:hAnsi="Arial"/>
          <w:sz w:val="24"/>
          <w:szCs w:val="24"/>
        </w:rPr>
        <w:t xml:space="preserve">Основной объем промышленной продукции за 2011 год производился предприятиями металлургического производства и производства готовых металлических изделий с удельным весом - 56,2 % в общем объеме промышленности, где преобладают объемы подотрасли металлургического производства (98,7 %). С начала 2011 года наблюдалась активная работа предприятий по разработке месторождения «Кумтор», за счет чего, по итогам за январь - ноябрь 2011 года, достигнут реальный рост темпов промышленного производства на 24,1 %. При этом в декабре 2011 года объемы производства на предприятиях по разработке месторождения «Кумтор» резко сократились на 71 %, что обусловило замедление темпов промышленного производства со 124,1 % в январе - ноябре, до 111,9 % в январе-декабре 2011 года.</w:t>
      </w:r>
    </w:p>
    <w:p>
      <w:pPr>
        <w:spacing w:after="120"/>
        <w:jc w:val="both"/>
      </w:pPr>
      <w:r>
        <w:rPr>
          <w:rFonts w:ascii="Arial" w:cs="Arial" w:eastAsia="Arial" w:hAnsi="Arial"/>
          <w:sz w:val="24"/>
          <w:szCs w:val="24"/>
        </w:rPr>
        <w:t xml:space="preserve">Причиной снижения объемов производства в декабре 2011 года является то, что на руднике «Кумтор» основная сила направляется на горнопроходческую работу.</w:t>
      </w:r>
    </w:p>
    <w:p>
      <w:pPr>
        <w:spacing w:after="120"/>
        <w:jc w:val="both"/>
      </w:pPr>
      <w:r>
        <w:rPr>
          <w:rFonts w:ascii="Arial" w:cs="Arial" w:eastAsia="Arial" w:hAnsi="Arial"/>
          <w:sz w:val="24"/>
          <w:szCs w:val="24"/>
        </w:rPr>
        <w:t xml:space="preserve">Рост также обеспечен за счет увеличения объемов производства в:</w:t>
      </w:r>
    </w:p>
    <w:p>
      <w:pPr>
        <w:spacing w:after="120"/>
        <w:jc w:val="both"/>
      </w:pPr>
      <w:r>
        <w:rPr>
          <w:rFonts w:ascii="Arial" w:cs="Arial" w:eastAsia="Arial" w:hAnsi="Arial"/>
          <w:sz w:val="24"/>
          <w:szCs w:val="24"/>
        </w:rPr>
        <w:t xml:space="preserve">- целлюлозно-бумажном производстве и издательской деятельности, рост (на 11,5 %) достигнут за счет увеличения производства бумаги и картона на 26,5%, на предприятиях ОсОО «Алтын-Ажыдаар» (158,5 %) и ЗАО «Эфес плюс» (107,5 %), а также за счет роста издательской и полиграфической деятельности на 9,0 % на предприятиях АООТ «Учкун» (129,1 %), ОсОО «Magic box company» (111,7 %), ОсОО «Kirland» (120,8 %), ОсОО «Компьютер Пресс» (120,9 %);</w:t>
      </w:r>
    </w:p>
    <w:p>
      <w:pPr>
        <w:spacing w:after="120"/>
        <w:jc w:val="both"/>
      </w:pPr>
      <w:r>
        <w:rPr>
          <w:rFonts w:ascii="Arial" w:cs="Arial" w:eastAsia="Arial" w:hAnsi="Arial"/>
          <w:sz w:val="24"/>
          <w:szCs w:val="24"/>
        </w:rPr>
        <w:t xml:space="preserve">- производстве резиновых и пластмассовых изделий (на 15,5 %), обеспечен за счет увеличения выпуска пластиковых бутылок (121,4 %), удельный вес которых по данному производству составляет около 40 %. Кроме того, в достаточном объеме было обеспечено заказами производство изделий из пластмасс строительного назначения: плиты, листы из полиэтилена (148,5 %); пластмассовые плиты, трубы, профили (113,1 %), а также трубы, шланги, фитинги из пластмасс (113,3 %);</w:t>
      </w:r>
    </w:p>
    <w:p>
      <w:pPr>
        <w:spacing w:after="120"/>
        <w:jc w:val="both"/>
      </w:pPr>
      <w:r>
        <w:rPr>
          <w:rFonts w:ascii="Arial" w:cs="Arial" w:eastAsia="Arial" w:hAnsi="Arial"/>
          <w:sz w:val="24"/>
          <w:szCs w:val="24"/>
        </w:rPr>
        <w:t xml:space="preserve">- производстве прочих неметаллических минеральных продуктов, рост на 22,4% обусловлен активизацией цементного производства, имеющего наибольший удельный вес по отрасли (порядка 60,0 %). Темп роста по цементу составил 131,3 % (ЗАО «Южно-Кыргызский Цемент» (Баткенская область) - 298,1 %, ОАО «Кантский цементный завод» (Чуйская область) - 100,2 %, ОсОО «Южный комбинат строительных материалов» (Ошская область) - 98,3 % (исходя из сформированного портфеля заказов); ОАО «Курментыцемент» (Иссык-Кульская область) - 40,0 % (на предприятии ведутся работы по модернизации производства);</w:t>
      </w:r>
    </w:p>
    <w:p>
      <w:pPr>
        <w:spacing w:after="120"/>
        <w:jc w:val="both"/>
      </w:pPr>
      <w:r>
        <w:rPr>
          <w:rFonts w:ascii="Arial" w:cs="Arial" w:eastAsia="Arial" w:hAnsi="Arial"/>
          <w:sz w:val="24"/>
          <w:szCs w:val="24"/>
        </w:rPr>
        <w:t xml:space="preserve">- химическом производстве (161,6 %) за счет возобновления производства монокристаллического кремния ОАО «Кыргызский химико-металлургический завод», простаивавшего с января 2009 года, а также увеличения производства ртути на 12,8 % на Хайдарканском ртутном комбинате;</w:t>
      </w:r>
    </w:p>
    <w:p>
      <w:pPr>
        <w:spacing w:after="120"/>
        <w:jc w:val="both"/>
      </w:pPr>
      <w:r>
        <w:rPr>
          <w:rFonts w:ascii="Arial" w:cs="Arial" w:eastAsia="Arial" w:hAnsi="Arial"/>
          <w:sz w:val="24"/>
          <w:szCs w:val="24"/>
        </w:rPr>
        <w:t xml:space="preserve">- производстве машин и оборудования на 73,7 % за счет ОАО «ТНК «Дастан», занимающего до 70 % в объеме выпуска продукции отрасли при полной загрузке, ОАО «Электротехник» (170,5 %), АО «Кеминский ЭТЗ» (101,5 %), АО «Улан» (117,1 %), ОсОО «Насосный завод № 5» (296,6 %), ГП «БШЗ» (101%) и др.</w:t>
      </w:r>
    </w:p>
    <w:p>
      <w:pPr>
        <w:spacing w:after="120"/>
        <w:jc w:val="both"/>
      </w:pPr>
      <w:r>
        <w:rPr>
          <w:rFonts w:ascii="Arial" w:cs="Arial" w:eastAsia="Arial" w:hAnsi="Arial"/>
          <w:sz w:val="24"/>
          <w:szCs w:val="24"/>
        </w:rPr>
        <w:t xml:space="preserve">ОАО «ТНК «Дастан» включено в Перечень предприятий Кыргызской Республики, продукция которых подлежит закупкам из одного источника, где за отчетный период произведена продукция на сумму 1134,9 млн. сомов (рост в 2,5 раза), экспорт составил 1081,4 млн. сомов (в 2,5 раза);</w:t>
      </w:r>
    </w:p>
    <w:p>
      <w:pPr>
        <w:spacing w:after="120"/>
        <w:jc w:val="both"/>
      </w:pPr>
      <w:r>
        <w:rPr>
          <w:rFonts w:ascii="Arial" w:cs="Arial" w:eastAsia="Arial" w:hAnsi="Arial"/>
          <w:sz w:val="24"/>
          <w:szCs w:val="24"/>
        </w:rPr>
        <w:t xml:space="preserve">- производстве транспортных средств и оборудования в 1,6 раза за счет увеличения выпуска радиаторов на ОсОО «Автомаш-радиатор», имеющим удельный вес в данной отрасли 93,5 %, где общий объем производства за отчетный период составил 597 млн. сомов, выпущено радиаторов 103,5 тыс. штук, объем экспорта радиаторов составил 102,9 млн. штук. Основным потребителем данной продукции является Российская Федерация.</w:t>
      </w:r>
    </w:p>
    <w:p>
      <w:pPr>
        <w:spacing w:after="120"/>
        <w:jc w:val="both"/>
      </w:pPr>
      <w:r>
        <w:rPr>
          <w:rFonts w:ascii="Arial" w:cs="Arial" w:eastAsia="Arial" w:hAnsi="Arial"/>
          <w:sz w:val="24"/>
          <w:szCs w:val="24"/>
        </w:rPr>
        <w:t xml:space="preserve">Вместе с тем, следует отметить, что в отдельных отраслях наблюдается снижение объемов производства, в таких, как производство пищевых продуктов, включая напитки и табак (97,6 %); производство кожи, изделий из кожи и производство обуви (76,6 %); обработка древесины и производство изделий из дерева (74,9 %), производство кокса, нефтепродуктов и ядерных материалов (79,3 %) и производство электрооборудования, электронного и оптического оборудования (83,0 %).</w:t>
      </w:r>
    </w:p>
    <w:p>
      <w:pPr>
        <w:spacing w:after="120"/>
        <w:jc w:val="both"/>
      </w:pPr>
      <w:r>
        <w:rPr>
          <w:rFonts w:ascii="Arial" w:cs="Arial" w:eastAsia="Arial" w:hAnsi="Arial"/>
          <w:sz w:val="24"/>
          <w:szCs w:val="24"/>
        </w:rPr>
        <w:t xml:space="preserve">(2) В горнодобывающей промышленности (уд. вес 2,4 % в объеме промышленного производства) объем производства продукции за 2011 год сложился в сумме 3,9 млрд. сомов, где реальный рост составил 124,6 %, превысив прогнозируемый уровень на 2,2 %, в том числе по добыче топливно-энергетических полезных ископаемых прирост составил 17,7 %, прочих полезных ископаемых - на 52,0 %.</w:t>
      </w:r>
    </w:p>
    <w:p>
      <w:pPr>
        <w:spacing w:after="120"/>
        <w:jc w:val="both"/>
      </w:pPr>
      <w:r>
        <w:rPr>
          <w:rFonts w:ascii="Arial" w:cs="Arial" w:eastAsia="Arial" w:hAnsi="Arial"/>
          <w:sz w:val="24"/>
          <w:szCs w:val="24"/>
        </w:rPr>
        <w:t xml:space="preserve">Рост объемов обеспечен за счет увеличения объемов добычи золотосодержащих концентратов - в 5,9 раза, каменной соли - в 1,5 раза, каменного угля и лигнита - в 1,4 раза, сланца - на 45,1 %, природного газа - на 25,0 %.</w:t>
      </w:r>
    </w:p>
    <w:p>
      <w:pPr>
        <w:spacing w:after="120"/>
        <w:jc w:val="both"/>
      </w:pPr>
      <w:r>
        <w:rPr>
          <w:rFonts w:ascii="Arial" w:cs="Arial" w:eastAsia="Arial" w:hAnsi="Arial"/>
          <w:sz w:val="24"/>
          <w:szCs w:val="24"/>
        </w:rPr>
        <w:t xml:space="preserve">В угледобывающей отрасли объем промышленной продукции составил 862,5 млн. сомов, при этом добыто 839 тыс. тонн угля и вырос на 44,8 % по сравнению с 2010 годом.</w:t>
      </w:r>
    </w:p>
    <w:p>
      <w:pPr>
        <w:spacing w:after="120"/>
        <w:jc w:val="both"/>
      </w:pPr>
      <w:r>
        <w:rPr>
          <w:rFonts w:ascii="Arial" w:cs="Arial" w:eastAsia="Arial" w:hAnsi="Arial"/>
          <w:sz w:val="24"/>
          <w:szCs w:val="24"/>
        </w:rPr>
        <w:t xml:space="preserve">Значительно превысили свои показатели по добыче угля такие угледобывающие предприятия, как ОАО «Шахта Жыргалан» (199,7 %), ОАО «Ташкомур» (214,3 %), ОсОО «Тегене» (230,8 %), ОсОО «Ак-Жол-Комур» (1750,0 %), ОсОО «Шахта Беш-Бурхан» (170,0 %), ЗАО «Шарбон» (160,3 %), ОсОО «Пэрити Коал» (108,3 %).</w:t>
      </w:r>
    </w:p>
    <w:p>
      <w:pPr>
        <w:spacing w:after="120"/>
        <w:jc w:val="both"/>
      </w:pPr>
      <w:r>
        <w:rPr>
          <w:rFonts w:ascii="Arial" w:cs="Arial" w:eastAsia="Arial" w:hAnsi="Arial"/>
          <w:sz w:val="24"/>
          <w:szCs w:val="24"/>
        </w:rPr>
        <w:t xml:space="preserve">В нефтегазодобывающей отрасли за рассматриваемый период в целом добыто 90,3 тыс. тонн нефти с реальным ростом 108,8 % и 26,5 млн. куб. м природного газа с реальным ростом 125,0 %.</w:t>
      </w:r>
    </w:p>
    <w:p>
      <w:pPr>
        <w:spacing w:after="120"/>
        <w:jc w:val="both"/>
      </w:pPr>
      <w:r>
        <w:rPr>
          <w:rFonts w:ascii="Arial" w:cs="Arial" w:eastAsia="Arial" w:hAnsi="Arial"/>
          <w:sz w:val="24"/>
          <w:szCs w:val="24"/>
        </w:rPr>
        <w:t xml:space="preserve">(3) В производстве и распределении электроэнергии, газа и воды (уд. вес 15,3 % в объеме промышленного производства) за 2011 год объем продукции составил 24,7 млрд. сомов, с реальным ростом на 22,4 %, превысив прогнозируемый уровень на 0,9 %, за счет увеличения выработки электроэнергии на 25,4 %, услуг по передаче электроэнергии - на 25,1 %, услуг по распределению электроэнергии - на 21,7 %.</w:t>
      </w:r>
    </w:p>
    <w:p>
      <w:pPr>
        <w:spacing w:after="120"/>
        <w:jc w:val="both"/>
      </w:pPr>
      <w:r>
        <w:rPr>
          <w:rFonts w:ascii="Arial" w:cs="Arial" w:eastAsia="Arial" w:hAnsi="Arial"/>
          <w:sz w:val="24"/>
          <w:szCs w:val="24"/>
        </w:rPr>
        <w:t xml:space="preserve">Несмотря на существенный рост выработки электроэнергии, на 1 января 2012 года обеспечено накопление воды в Токтогульском водохранилище 17,25 млрд. куб. м.</w:t>
      </w:r>
    </w:p>
    <w:p>
      <w:pPr>
        <w:spacing w:after="120"/>
        <w:jc w:val="both"/>
      </w:pPr>
      <w:r>
        <w:rPr>
          <w:rFonts w:ascii="Arial" w:cs="Arial" w:eastAsia="Arial" w:hAnsi="Arial"/>
          <w:sz w:val="24"/>
          <w:szCs w:val="24"/>
        </w:rPr>
        <w:t xml:space="preserve">Выработка электроэнергии за 2011 год составила 15222,7 млн. кВтч и выросла на 25,4 % по сравнению с 2010 годом, что больше на 3086,5 млн. кВтч.</w:t>
      </w:r>
    </w:p>
    <w:p>
      <w:pPr>
        <w:spacing w:after="120"/>
        <w:jc w:val="both"/>
      </w:pPr>
      <w:r>
        <w:rPr>
          <w:rFonts w:ascii="Arial" w:cs="Arial" w:eastAsia="Arial" w:hAnsi="Arial"/>
          <w:sz w:val="24"/>
          <w:szCs w:val="24"/>
        </w:rPr>
        <w:t xml:space="preserve">Объем выработанной тепловой энергии за 2011 год составил 3065,7 тыс. Гкал или на 255,1 тыс. Гкал больше уровня прошлого года (2810,6 тыс. Гкал) и реально вырос на 9,1 %.</w:t>
      </w:r>
    </w:p>
    <w:p>
      <w:pPr>
        <w:spacing w:after="120"/>
        <w:jc w:val="both"/>
      </w:pPr>
      <w:r>
        <w:rPr>
          <w:rFonts w:ascii="Arial" w:cs="Arial" w:eastAsia="Arial" w:hAnsi="Arial"/>
          <w:sz w:val="24"/>
          <w:szCs w:val="24"/>
        </w:rPr>
        <w:t xml:space="preserve">По оперативным данным за 12 месяцев 2011 года в сети электрораспределительных компаний поступило 10213 млн. кВтч электроэнергии, что больше на 1562 млн. кВтч уровня 2010 года. Увеличение отпуска электроэнергии на внутренний рынок в 2011 года обусловлено разрешением ранее отключенным потребителям использовать электроэнергию на цели отопления.</w:t>
      </w:r>
    </w:p>
    <w:p>
      <w:pPr>
        <w:spacing w:after="120"/>
        <w:jc w:val="both"/>
      </w:pPr>
      <w:r>
        <w:rPr>
          <w:rFonts w:ascii="Arial" w:cs="Arial" w:eastAsia="Arial" w:hAnsi="Arial"/>
          <w:sz w:val="24"/>
          <w:szCs w:val="24"/>
        </w:rPr>
        <w:t xml:space="preserve">Потери электроэнергии за 12 месяцев 2011 года составили 22,2 %, сократившись по сравнению с 2010 годом на 4,5 %.</w:t>
      </w:r>
    </w:p>
    <w:p>
      <w:pPr>
        <w:spacing w:after="120"/>
        <w:jc w:val="both"/>
      </w:pPr>
      <w:r>
        <w:rPr>
          <w:rFonts w:ascii="Arial" w:cs="Arial" w:eastAsia="Arial" w:hAnsi="Arial"/>
          <w:sz w:val="24"/>
          <w:szCs w:val="24"/>
        </w:rPr>
        <w:t xml:space="preserve">По оперативным данным, экспорт электроэнергии составил 2793,8 млн. кВтч (за 2010 г. экспорт составил 1468,3 млн. кВтч), что больше на 1325,5 млн. кВтч, или рост почти в 2 раза, в том числе в Республику Казахстан на 2293,099 млн. кВтч (+824,755 млн. кВтч), в КНР - 1,228 млн. кВтч (+0,092 млн. кВтч), в Узбекистан - 340,028 млн. кВтч (+11,493 млн. кВтч).</w:t>
      </w:r>
    </w:p>
    <w:p>
      <w:pPr>
        <w:spacing w:after="120"/>
        <w:jc w:val="both"/>
      </w:pPr>
      <w:r>
        <w:rPr>
          <w:rFonts w:ascii="Arial" w:cs="Arial" w:eastAsia="Arial" w:hAnsi="Arial"/>
          <w:sz w:val="24"/>
          <w:szCs w:val="24"/>
        </w:rPr>
        <w:t xml:space="preserve">Сбор платежей за электроэнергию составил 6656 млн. сомов, что больше на 760 млн. сомов, чем за 2010 год. Для улучшения уровня сборов платежей в настоящее время реализуется пилотный проект по установке электросчетчиков с картой предоплаты.</w:t>
      </w:r>
    </w:p>
    <w:p>
      <w:pPr>
        <w:spacing w:after="120"/>
        <w:jc w:val="both"/>
      </w:pPr>
      <w:r>
        <w:rPr>
          <w:rFonts w:ascii="Arial" w:cs="Arial" w:eastAsia="Arial" w:hAnsi="Arial"/>
          <w:sz w:val="24"/>
          <w:szCs w:val="24"/>
        </w:rPr>
        <w:t xml:space="preserve">Дебиторская задолженность потребителей на 1 января 2012 года перед распределительными электрокомпаниями составляет 1392,8 млн. сомов, это в основном долги бюджетных потребителей (278,0 млн. сомов) и населения (722,0 млн. сомов). При этом следует отметить, что невыплата Министерством финансов Кыргызской Республики компенсационных средств жителям высокогорных районов за потребленную электроэнергию составила за 12 месяцев 2011 года 114,7 млн. сомов.</w:t>
      </w:r>
    </w:p>
    <w:p>
      <w:pPr>
        <w:spacing w:after="120"/>
        <w:jc w:val="both"/>
      </w:pPr>
      <w:r>
        <w:rPr>
          <w:rFonts w:ascii="Arial" w:cs="Arial" w:eastAsia="Arial" w:hAnsi="Arial"/>
          <w:sz w:val="24"/>
          <w:szCs w:val="24"/>
        </w:rPr>
        <w:t xml:space="preserve">По оперативным данным, поступление природного газа за 2011 год в Кыргызскую Республику составило 323,1 млн. м3 газа, что на 35,6 млн. м3 или на 12,4 % больше чем за 2010 год.</w:t>
      </w:r>
    </w:p>
    <w:p>
      <w:pPr>
        <w:spacing w:after="120"/>
        <w:jc w:val="both"/>
      </w:pPr>
      <w:r>
        <w:rPr>
          <w:rFonts w:ascii="Arial" w:cs="Arial" w:eastAsia="Arial" w:hAnsi="Arial"/>
          <w:sz w:val="24"/>
          <w:szCs w:val="24"/>
        </w:rPr>
        <w:t xml:space="preserve">Потери природного газа по сравнению с 2010 годом были снижены на 2,6 % и составили 56,43 млн. м3 (17,5 %) от объема поступившего газа.</w:t>
      </w:r>
    </w:p>
    <w:p>
      <w:pPr>
        <w:spacing w:after="120"/>
        <w:jc w:val="both"/>
      </w:pPr>
      <w:r>
        <w:rPr>
          <w:rFonts w:ascii="Arial" w:cs="Arial" w:eastAsia="Arial" w:hAnsi="Arial"/>
          <w:sz w:val="24"/>
          <w:szCs w:val="24"/>
        </w:rPr>
        <w:t xml:space="preserve">Сбор платежей за отпущенный природный газ составил 4204,7 млн. сомов и по сравнению с 2010 годом увеличился на 31,2 млн. сомов и составил 103,4 % от товарной продукции.</w:t>
      </w:r>
    </w:p>
    <w:p>
      <w:pPr>
        <w:spacing w:after="120"/>
        <w:jc w:val="both"/>
      </w:pPr>
      <w:r>
        <w:rPr>
          <w:rFonts w:ascii="Arial" w:cs="Arial" w:eastAsia="Arial" w:hAnsi="Arial"/>
          <w:sz w:val="24"/>
          <w:szCs w:val="24"/>
        </w:rPr>
        <w:t xml:space="preserve">Дебиторская задолженность потребителей газа перед ОАО «Кыргызгаз», по состоянию на 1 января 2012 года, составила 520,6 млн. сомов, которая уменьшилась на 17,8 % по сравнению с уровнем на начало года.</w:t>
      </w:r>
    </w:p>
    <w:p>
      <w:pPr>
        <w:spacing w:after="120"/>
        <w:jc w:val="both"/>
      </w:pPr>
      <w:r>
        <w:rPr>
          <w:rFonts w:ascii="Arial" w:cs="Arial" w:eastAsia="Arial" w:hAnsi="Arial"/>
          <w:sz w:val="24"/>
          <w:szCs w:val="24"/>
        </w:rPr>
        <w:t xml:space="preserve">Обеспечение энергетической безопасности. Для обеспечения энергетической безопасности страны и увеличения выработки электроэнергии проводятся следующие мероприятия:</w:t>
      </w:r>
    </w:p>
    <w:p>
      <w:pPr>
        <w:spacing w:after="120"/>
        <w:jc w:val="both"/>
      </w:pPr>
      <w:r>
        <w:rPr>
          <w:rFonts w:ascii="Arial" w:cs="Arial" w:eastAsia="Arial" w:hAnsi="Arial"/>
          <w:sz w:val="24"/>
          <w:szCs w:val="24"/>
        </w:rPr>
        <w:t xml:space="preserve">Ø Проводилась работа по проекту строительства подстанции 500/220 кВ «Датка» и ВЛ 220 кВ Юга Кыргызстана, и ВЛ 500 киловольт «Датка - Кемин» с подстанцией «Кемин», направленная на дальнейшее присоединение Камбаратинских ГЭС к энергосистеме, в рамках которой выполнены следующие мероприятия:</w:t>
      </w:r>
    </w:p>
    <w:p>
      <w:pPr>
        <w:spacing w:after="120"/>
        <w:jc w:val="both"/>
      </w:pPr>
      <w:r>
        <w:rPr>
          <w:rFonts w:ascii="Arial" w:cs="Arial" w:eastAsia="Arial" w:hAnsi="Arial"/>
          <w:sz w:val="24"/>
          <w:szCs w:val="24"/>
        </w:rPr>
        <w:t xml:space="preserve">• подписано соглашение с КНР 23 февраля 2011 года на 208 млн. долл. США из средств Правительства КНР в рамках льготного кредитования для стран-членов ШОС;</w:t>
      </w:r>
    </w:p>
    <w:p>
      <w:pPr>
        <w:spacing w:after="120"/>
        <w:jc w:val="both"/>
      </w:pPr>
      <w:r>
        <w:rPr>
          <w:rFonts w:ascii="Arial" w:cs="Arial" w:eastAsia="Arial" w:hAnsi="Arial"/>
          <w:sz w:val="24"/>
          <w:szCs w:val="24"/>
        </w:rPr>
        <w:t xml:space="preserve">• Министерством финансов Кыргызской Республики по проекту «Улучшение электроснабжения юга Кыргызстана» была направлена заявка в Экспортно-импортный банк КНР.</w:t>
      </w:r>
    </w:p>
    <w:p>
      <w:pPr>
        <w:spacing w:after="120"/>
        <w:jc w:val="both"/>
      </w:pPr>
      <w:r>
        <w:rPr>
          <w:rFonts w:ascii="Arial" w:cs="Arial" w:eastAsia="Arial" w:hAnsi="Arial"/>
          <w:sz w:val="24"/>
          <w:szCs w:val="24"/>
        </w:rPr>
        <w:t xml:space="preserve">Для справки: Общая сумма финансирования составляет 208 млн. долл. США. Срок строительства проекта 18 месяцев (1,5 года). Кредит выдан Эксимбанком КНР, строительство осуществляет китайская компания «ТВЕА».</w:t>
      </w:r>
    </w:p>
    <w:p>
      <w:pPr>
        <w:spacing w:after="120"/>
        <w:jc w:val="both"/>
      </w:pPr>
      <w:r>
        <w:rPr>
          <w:rFonts w:ascii="Arial" w:cs="Arial" w:eastAsia="Arial" w:hAnsi="Arial"/>
          <w:sz w:val="24"/>
          <w:szCs w:val="24"/>
        </w:rPr>
        <w:t xml:space="preserve">Торжественная церемония закладки памятной капсулы на месте строительства подстанции 500 кВ «Датка» прошла 28 июля 2011 года. 30 августа 2011 года Эксимбанк КНР оплатил аванс. В связи с этим 30 августа 2011 года объявлено датой начала работ.</w:t>
      </w:r>
    </w:p>
    <w:p>
      <w:pPr>
        <w:spacing w:after="120"/>
        <w:jc w:val="both"/>
      </w:pPr>
      <w:r>
        <w:rPr>
          <w:rFonts w:ascii="Arial" w:cs="Arial" w:eastAsia="Arial" w:hAnsi="Arial"/>
          <w:sz w:val="24"/>
          <w:szCs w:val="24"/>
        </w:rPr>
        <w:t xml:space="preserve">Между ОАО «НЭС Кыргызстана» и компанией «ТВЕА» 14 сентября 2011 года подписан протокол переговоров о расширении сотрудничества по реализации проекта «Строительство ЛЭП 500 КВ «Датка - Кемин» и ПС 500 кВ «Кемин»;</w:t>
      </w:r>
    </w:p>
    <w:p>
      <w:pPr>
        <w:spacing w:after="120"/>
        <w:jc w:val="both"/>
      </w:pPr>
      <w:r>
        <w:rPr>
          <w:rFonts w:ascii="Arial" w:cs="Arial" w:eastAsia="Arial" w:hAnsi="Arial"/>
          <w:sz w:val="24"/>
          <w:szCs w:val="24"/>
        </w:rPr>
        <w:t xml:space="preserve">• завершено строительство ЛЭП 110 кВ «Айгульташ-Самат», длиной 140 км, в конце 2011 года (стоимость проекта - 11,89 млн. долл. США), в целях обеспечения независимости Баткенской области от энергосистемы Таджикистана;</w:t>
      </w:r>
    </w:p>
    <w:p>
      <w:pPr>
        <w:spacing w:after="120"/>
        <w:jc w:val="both"/>
      </w:pPr>
      <w:r>
        <w:rPr>
          <w:rFonts w:ascii="Arial" w:cs="Arial" w:eastAsia="Arial" w:hAnsi="Arial"/>
          <w:sz w:val="24"/>
          <w:szCs w:val="24"/>
        </w:rPr>
        <w:t xml:space="preserve">• в соответствии с подписанными договорами с Республикой Казахстан и Республикой Узбекистан в 2011 году обеспечивалась параллельная работа кыргызской энергосистемы в составе Объединенной энергосистемы Центральной Азии.</w:t>
      </w:r>
    </w:p>
    <w:p>
      <w:pPr>
        <w:spacing w:after="120"/>
        <w:jc w:val="both"/>
      </w:pPr>
      <w:r>
        <w:rPr>
          <w:rFonts w:ascii="Arial" w:cs="Arial" w:eastAsia="Arial" w:hAnsi="Arial"/>
          <w:sz w:val="24"/>
          <w:szCs w:val="24"/>
        </w:rPr>
        <w:t xml:space="preserve">Для справки: с Казахстаном имеются протокольные договоренности о принятии всех мер по сохранению параллельной работы энергосистем Республики Казахстан и Кыргызской Республики в составе Объединенной энергосистемы Центральной Азии и обеспечению взаимовыгодного режима их работы в осенне-зимний период 2010-2011 года. С Узбекистаном заключено соглашение о параллельной работе энергосистем в 2011 году. С Таджикистаном заключен договор об электроснабжении Сулюктинского энергоузла в 2011 году. Все указанные выше соглашения и договоры выполнялись в полном объеме.</w:t>
      </w:r>
    </w:p>
    <w:p>
      <w:pPr>
        <w:spacing w:after="120"/>
        <w:jc w:val="both"/>
      </w:pPr>
      <w:r>
        <w:rPr>
          <w:rFonts w:ascii="Arial" w:cs="Arial" w:eastAsia="Arial" w:hAnsi="Arial"/>
          <w:sz w:val="24"/>
          <w:szCs w:val="24"/>
        </w:rPr>
        <w:t xml:space="preserve">Ø В рамках совместного предприятия ЗАО «Камбаратинская ГЭС-1», ОАО «Электрические станции» и ОАО «ИНТЕР РАО ЕЭС» проводилась работа по реализации проекта строительства Камбаратинской ГЭС-1.</w:t>
      </w:r>
    </w:p>
    <w:p>
      <w:pPr>
        <w:spacing w:after="120"/>
        <w:jc w:val="both"/>
      </w:pPr>
      <w:r>
        <w:rPr>
          <w:rFonts w:ascii="Arial" w:cs="Arial" w:eastAsia="Arial" w:hAnsi="Arial"/>
          <w:sz w:val="24"/>
          <w:szCs w:val="24"/>
        </w:rPr>
        <w:t xml:space="preserve">Для справки: проводится процедура согласования с министерствами и ведомствами нового проекта «Соглашение между Правительством Кыргызской Республики и Правительством Российской Федерации о развитии сотрудничества в области электроэнергетики». МИД вопрос обсужден с российской стороной. Решение закреплено в протоколе заседания МПК от 10 февраля 2011 года в п. 3.2.</w:t>
      </w:r>
    </w:p>
    <w:p>
      <w:pPr>
        <w:spacing w:after="120"/>
        <w:jc w:val="both"/>
      </w:pPr>
      <w:r>
        <w:rPr>
          <w:rFonts w:ascii="Arial" w:cs="Arial" w:eastAsia="Arial" w:hAnsi="Arial"/>
          <w:sz w:val="24"/>
          <w:szCs w:val="24"/>
        </w:rPr>
        <w:t xml:space="preserve">Ø Были продолжены переговоры с Россией о строительстве 4-х станций в верхнем течении рек Нарын и Сары-Джаз;</w:t>
      </w:r>
    </w:p>
    <w:p>
      <w:pPr>
        <w:spacing w:after="120"/>
        <w:jc w:val="both"/>
      </w:pPr>
      <w:r>
        <w:rPr>
          <w:rFonts w:ascii="Arial" w:cs="Arial" w:eastAsia="Arial" w:hAnsi="Arial"/>
          <w:sz w:val="24"/>
          <w:szCs w:val="24"/>
        </w:rPr>
        <w:t xml:space="preserve">Для справки: Данный вопрос был рассмотрен на 12-ом заседании Межправительственной Кыргызско-Российской комиссии по торгово-экономическому, научно-техническому и гуманитарному сотрудничеству от 10.02.2011 г. На заседании было принято решение о реализации проектов строительства Нарынской ГЭС-1, Нарынской ГЭС-2, Нарынской ГЭС-3, Джаныкольской ГЭС и Акбулунской ГЭС. Кроме того, Министерством энергетики 21.02.11 года подписан с ОАО «Русгидро» протокол о намерениях по строительству Верхненарынского каскада ГЭС.</w:t>
      </w:r>
    </w:p>
    <w:p>
      <w:pPr>
        <w:spacing w:after="120"/>
        <w:jc w:val="both"/>
      </w:pPr>
      <w:r>
        <w:rPr>
          <w:rFonts w:ascii="Arial" w:cs="Arial" w:eastAsia="Arial" w:hAnsi="Arial"/>
          <w:sz w:val="24"/>
          <w:szCs w:val="24"/>
        </w:rPr>
        <w:t xml:space="preserve">Завершена 2-ая фаза проекта «Стратегическое планирование развития малой гидроэнергетики в Кыргызской Республике», реализуемого совместно с Европейским Банком Реконструкции и Развития (ЕБРР), в рамках которого разработаны ТЭО для 4 малых ГЭС (Орто-Токойская - 20 МВт, Ой-Алма - 7,7 МВт, Сокулукская-5 - 1,5 МВт, Тортгульская - 3,0 МВт), которые будут предложены инвесторам для реализации.</w:t>
      </w:r>
    </w:p>
    <w:p>
      <w:pPr>
        <w:spacing w:after="120"/>
        <w:jc w:val="both"/>
      </w:pPr>
      <w:r>
        <w:rPr>
          <w:rFonts w:ascii="Arial" w:cs="Arial" w:eastAsia="Arial" w:hAnsi="Arial"/>
          <w:sz w:val="24"/>
          <w:szCs w:val="24"/>
        </w:rPr>
        <w:t xml:space="preserve">Ø Для увеличения экспорта электроэнергии и увеличения числа стран-экспортеров предусматривается реализация проекта «СASA-1000», согласно которому экспорт электроэнергии планируется по схеме Кыргызстан - Таджикистан - Афганистан - Пакистан.</w:t>
      </w:r>
    </w:p>
    <w:p>
      <w:pPr>
        <w:spacing w:after="120"/>
        <w:jc w:val="both"/>
      </w:pPr>
      <w:r>
        <w:rPr>
          <w:rFonts w:ascii="Arial" w:cs="Arial" w:eastAsia="Arial" w:hAnsi="Arial"/>
          <w:sz w:val="24"/>
          <w:szCs w:val="24"/>
        </w:rPr>
        <w:t xml:space="preserve">Для справки: Финальный отчет по обновленному ТЭО проекта «CASA-1000» компанией «SNC-Lavalin» представлен 22 февраля 2011 года. Общая протяженность линии 500 кВ проекта составляет 1 342 км. От ПС «Датка» до ПС «Худжанд» составляет 477 км, по территории Кыргызской Республики 457 км. Общая стоимость проекта, включая непредвиденные расходы и проценты, начисляемые в ходе строительства, составляет 953 млн. долл. США, а доля, выпадающая на Кыргызскую Республику, составляет 196 млн. долл. США. Предполагается, что период реализации составит 4,8 лет.</w:t>
      </w:r>
    </w:p>
    <w:p>
      <w:pPr>
        <w:spacing w:after="120"/>
        <w:jc w:val="both"/>
      </w:pPr>
      <w:r>
        <w:rPr>
          <w:rFonts w:ascii="Arial" w:cs="Arial" w:eastAsia="Arial" w:hAnsi="Arial"/>
          <w:sz w:val="24"/>
          <w:szCs w:val="24"/>
        </w:rPr>
        <w:t xml:space="preserve">В Бишкеке 19-20 сентября 2011 года состоялось заседание Межправительственного совета по проекту «CASA-1000», с участием представителей Кыргызской Республики, Республики Таджикистан, Исламской Республики Афганистан и Исламской Республики Пакистан. По итогам заседания был подписан Протокол заседания и Меморандум о взаимопонимании относительно развития проекта передачи электроэнергии «CASA-1000» и дальнейшего развития регионального рынка электроэнергии Центральной Азии - Южной Азии (CASAREM). В целях дальнейшего оперативного развития проекта создана кыргызская рабочая группа по координации подготовительных мероприятий проекта «CASA-1000».</w:t>
      </w:r>
    </w:p>
    <w:p>
      <w:pPr>
        <w:spacing w:after="120"/>
        <w:jc w:val="both"/>
      </w:pPr>
      <w:r>
        <w:rPr>
          <w:rFonts w:ascii="Arial" w:cs="Arial" w:eastAsia="Arial" w:hAnsi="Arial"/>
          <w:sz w:val="24"/>
          <w:szCs w:val="24"/>
        </w:rPr>
        <w:t xml:space="preserve">Ø В целях анализа системы управления в энергетическом секторе, улучшения операционного и финансового состояния энергетических компаний и отрасли в целом, а также создания соответствующей базы для самофинансирования отрасли через значительное улучшение системы управления и повышение производительности всех компаний сектора проводились финансовый и управленческий аудит в энергетических компаниях межведомственной рабочей группой совместно с компанией ТЕТРА ТЕК.</w:t>
      </w:r>
    </w:p>
    <w:p>
      <w:pPr>
        <w:spacing w:after="120"/>
        <w:jc w:val="both"/>
      </w:pPr>
      <w:r>
        <w:rPr>
          <w:rFonts w:ascii="Arial" w:cs="Arial" w:eastAsia="Arial" w:hAnsi="Arial"/>
          <w:sz w:val="24"/>
          <w:szCs w:val="24"/>
        </w:rPr>
        <w:t xml:space="preserve">Для справки: Представлены общественности результаты первой фазы независимого аудита управленческой деятельности 6-ти крупнейших энергокомпаний, проведенного компанией Tetra Tech, расследования фактов злоупотреблений, допущенных руководством подведомственных предприятий ОАО «Северэлектро» во взаимоотношениях с потребителями (приписки при выставлении счетов на оплату, формирование фиктивной дебиторской задолженности, превышение служебных полномочий).</w:t>
      </w:r>
    </w:p>
    <w:p>
      <w:pPr>
        <w:spacing w:after="120"/>
        <w:jc w:val="both"/>
      </w:pPr>
      <w:r>
        <w:rPr>
          <w:rFonts w:ascii="Arial" w:cs="Arial" w:eastAsia="Arial" w:hAnsi="Arial"/>
          <w:sz w:val="24"/>
          <w:szCs w:val="24"/>
        </w:rPr>
        <w:t xml:space="preserve">Ø В целях снижения уровня коммерческих и технических потерь, совершенствования механизма контроля за уровнем снижения коммерческих и технических потерь, совместно с Азиатским Банком Развития реализуется проект по установке цифровых приборов оптового учета и оборудования автоматизированного получения и накопления данных на существующих сетевых подстанциях для измерения входа/выхода между НЭСК, генерирующими компаниями, распределительными компаниями и импортными/экспортными пунктами, а также на уровне крупных промышленных потребителей.</w:t>
      </w:r>
    </w:p>
    <w:p>
      <w:pPr>
        <w:spacing w:after="120"/>
        <w:jc w:val="both"/>
      </w:pPr>
      <w:r>
        <w:rPr>
          <w:rFonts w:ascii="Arial" w:cs="Arial" w:eastAsia="Arial" w:hAnsi="Arial"/>
          <w:sz w:val="24"/>
          <w:szCs w:val="24"/>
        </w:rPr>
        <w:t xml:space="preserve">Для справки: Подписаны договоры между ОАО «Востокэлектро» и представителями завода Бейжин групп (г. Пекин), ОАО «Северэлектро» с представителями завода Клоу (г. Шеньжинь) и завода Чинт (г. Веньжоу) о поставке по 1000 шт. однофазных и по 100 шт. трехфазных счетчиков предоплаты и сопутствующих для их работы устройств (считывающее устройство, аппарат для регистрации карточек и т.д.).</w:t>
      </w:r>
    </w:p>
    <w:p>
      <w:pPr>
        <w:spacing w:after="120"/>
        <w:jc w:val="both"/>
      </w:pPr>
      <w:r>
        <w:rPr>
          <w:rFonts w:ascii="Arial" w:cs="Arial" w:eastAsia="Arial" w:hAnsi="Arial"/>
          <w:sz w:val="24"/>
          <w:szCs w:val="24"/>
        </w:rPr>
        <w:t xml:space="preserve">ОАО «Северэлектро» и «Востокэлектро» определены районы для осуществления пилотного проекта по установке электросчетчиков с картой предоплаты потребителям, по мере поступления счетчиков и оборудования компании начнут их установку.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Аграрный сектор</w:t>
      </w:r>
    </w:p>
    <w:p>
      <w:pPr>
        <w:spacing w:after="120"/>
        <w:jc w:val="both"/>
      </w:pPr>
      <w:r>
        <w:rPr>
          <w:rFonts w:ascii="Arial" w:cs="Arial" w:eastAsia="Arial" w:hAnsi="Arial"/>
          <w:sz w:val="24"/>
          <w:szCs w:val="24"/>
        </w:rPr>
        <w:t xml:space="preserve">Валовой выпуск продукции сельского хозяйства за 2011 год составил 147,4 млрд. сомов с темпом роста 102,3 %, в том числе по животноводству - 100,7 %, по растениеводству - 103,7 %. Высокий темп роста продукции растениеводства обеспечен за счет увеличения производства овощей (101,1 %), картофеля (103,0 %), плодов и ягод (111,4 %), винограда (148,7 %), хлопка (136,9 %) и сахарной свеклы (114,1 %).</w:t>
      </w:r>
    </w:p>
    <w:p>
      <w:pPr>
        <w:spacing w:after="120"/>
        <w:jc w:val="both"/>
      </w:pPr>
      <w:r>
        <w:rPr>
          <w:rFonts w:ascii="Arial" w:cs="Arial" w:eastAsia="Arial" w:hAnsi="Arial"/>
          <w:sz w:val="24"/>
          <w:szCs w:val="24"/>
        </w:rPr>
        <w:t xml:space="preserve">При этом, фактический объем производства сельского хозяйства не достиг прогнозируемого уровня (103,8 %) на 1,5 %. Основными причинами стали погодно-климатические и финансовые условия, которые заметно сказались на урожайности и валовом сборе сельскохозяйственных культур.</w:t>
      </w:r>
    </w:p>
    <w:p>
      <w:pPr>
        <w:spacing w:after="120"/>
        <w:jc w:val="both"/>
      </w:pPr>
      <w:r>
        <w:rPr>
          <w:rFonts w:ascii="Arial" w:cs="Arial" w:eastAsia="Arial" w:hAnsi="Arial"/>
          <w:sz w:val="24"/>
          <w:szCs w:val="24"/>
        </w:rPr>
        <w:t xml:space="preserve">Одной из причин стало существенное повышение цен на завозимые в республику и не производимые внутри нее минеральные удобрения.</w:t>
      </w:r>
    </w:p>
    <w:p>
      <w:pPr>
        <w:spacing w:after="120"/>
        <w:jc w:val="both"/>
      </w:pPr>
      <w:r>
        <w:rPr>
          <w:rFonts w:ascii="Arial" w:cs="Arial" w:eastAsia="Arial" w:hAnsi="Arial"/>
          <w:sz w:val="24"/>
          <w:szCs w:val="24"/>
        </w:rPr>
        <w:t xml:space="preserve">В среднем, при потребности в минеральных удобрениях (азотных, фосфорных и калийных) сельскохозяйственных культур республики 340,8 тыс. тонн, обеспеченность составляет только около 30 % (в среднем 90-95 тонн).</w:t>
      </w:r>
    </w:p>
    <w:p>
      <w:pPr>
        <w:spacing w:after="120"/>
        <w:jc w:val="both"/>
      </w:pPr>
      <w:r>
        <w:rPr>
          <w:rFonts w:ascii="Arial" w:cs="Arial" w:eastAsia="Arial" w:hAnsi="Arial"/>
          <w:sz w:val="24"/>
          <w:szCs w:val="24"/>
        </w:rPr>
        <w:t xml:space="preserve">Весенне-летняя засуха, имевшая место в большинстве регионов республики, а также природные стихийные бедствия в виде ливневых дождей, селей и градобоев существенно отразились на посевах пшеницы, особенно в Баткенской, Джалал-Абадской, Ошской и Таласской областях, где ее урожайность оказалась ниже прошлогодней соответственно на 5,8 ц/га, 3,6 ц/га, 2,5 ц/га и 2,4 ц/га.</w:t>
      </w:r>
    </w:p>
    <w:p>
      <w:pPr>
        <w:spacing w:after="120"/>
        <w:jc w:val="both"/>
      </w:pPr>
      <w:r>
        <w:rPr>
          <w:rFonts w:ascii="Arial" w:cs="Arial" w:eastAsia="Arial" w:hAnsi="Arial"/>
          <w:sz w:val="24"/>
          <w:szCs w:val="24"/>
        </w:rPr>
        <w:t xml:space="preserve">Растениеводство. В 2011 году вся посевная площадь, занятая сельскохозяйственными культурами, составила 1159,2 тыс. гектаров, что на 13,5 тыс. гектаров (на 1,2 %) больше, чем в предыдущем году. Зерновыми культурами было занято 631,4 тыс. гектаров (54,5 % от всей посевной площади), техническими культурами, соответственно, - 105,0 тыс. гектаров (9,1 %), картофелем и овоще-бахчевыми культурами - 134,7 тыс. гектаров (11,6 %) и кормовыми культурами - 288,0 тыс. гектаров (24,8 %).</w:t>
      </w:r>
    </w:p>
    <w:p>
      <w:pPr>
        <w:spacing w:after="120"/>
        <w:jc w:val="both"/>
      </w:pPr>
      <w:r>
        <w:rPr>
          <w:rFonts w:ascii="Arial" w:cs="Arial" w:eastAsia="Arial" w:hAnsi="Arial"/>
          <w:sz w:val="24"/>
          <w:szCs w:val="24"/>
        </w:rPr>
        <w:t xml:space="preserve">В истекшем году площадь неиспользованной пашни по сравнению с предыдущим годом уменьшилась на 10,9 тыс. гектаров и составила 111,5 тыс. гектаров. За рассматриваемый период в результате неблагоприятных погодно-климатических условий погибло и списано 7,6 тыс. гектаров посевов зерновых и зернобобовых культур (включая кукурузу), 1,2 тыс. гектаров масличных культур, 152 гектара хлопчатника, 74 гектара овощей, 27 гектаров картофеля, 11 гектаров бахчевых культур, 6 гектаров табака и 120 гектаров кормовых культур. Основными причинами гибели этих культур явились засуха и нехватка воды (4,9 тыс. гектаров) и ливневые осадки и град (2,9 тыс. гектаров).</w:t>
      </w:r>
    </w:p>
    <w:p>
      <w:pPr>
        <w:spacing w:after="120"/>
        <w:jc w:val="both"/>
      </w:pPr>
      <w:r>
        <w:rPr>
          <w:rFonts w:ascii="Arial" w:cs="Arial" w:eastAsia="Arial" w:hAnsi="Arial"/>
          <w:sz w:val="24"/>
          <w:szCs w:val="24"/>
        </w:rPr>
        <w:t xml:space="preserve">В 2011 году в целом по республике валовой сбор зерна (в весе после доработки) составил 1580,7 тыс. тонн (меньше на 3,1 тыс. тонн, чем в 2010 году), в том числе пшеницы - 799,8 тыс. тонн, хлопка-сырца (в зачетном весе) - 101,3 тыс. тонн, табака (в зачетном весе) - 9,9 тыс. тонн, сахарной свеклы (фабричной) - 158,8 тыс. тонн, масличных культур - 56,6 тыс. тонн, картофеля - 1379,2 тыс. тонн, овощей - 820,9 тыс. тонн, бахчевых культур - 151,6 тыс. тонн, плодово-ягодных культур - 215,1 тыс. тонн.</w:t>
      </w:r>
    </w:p>
    <w:p>
      <w:pPr>
        <w:spacing w:after="120"/>
        <w:jc w:val="both"/>
      </w:pPr>
      <w:r>
        <w:rPr>
          <w:rFonts w:ascii="Arial" w:cs="Arial" w:eastAsia="Arial" w:hAnsi="Arial"/>
          <w:sz w:val="24"/>
          <w:szCs w:val="24"/>
        </w:rPr>
        <w:t xml:space="preserve">Урожайность зерновых и зернобобовых культур, включая кукурузу, в среднем по республике в 2011 году составила 25,2 центнера с гектара (в весе после доработки), против 25,3 центнера с гектара - в предыдущем году</w:t>
      </w:r>
    </w:p>
    <w:p>
      <w:pPr>
        <w:spacing w:after="120"/>
        <w:jc w:val="both"/>
      </w:pPr>
      <w:r>
        <w:rPr>
          <w:rFonts w:ascii="Arial" w:cs="Arial" w:eastAsia="Arial" w:hAnsi="Arial"/>
          <w:sz w:val="24"/>
          <w:szCs w:val="24"/>
        </w:rPr>
        <w:t xml:space="preserve">Животноводство. За 2011 год хозяйствующими субъектами всех категорий республики произведено 346,4 тыс. тонн мяса в живой массе, что на 3320 тонн или на 1,0 % больше соответствующего периода прошлого года. Увеличение производства мяса произошло в основном за счет увеличения поголовья крупного рогатого скота на 20,7 тыс. голов, овец и коз на 222,1 тыс. голов, лошадей на 5,5 тыс. голов и домашней птицы на 214,1 тыс. голов. Следует отметить, что все области республики произвели мяса не ниже прошлогоднего уровня, однако некоторые районы допустили снижение темпа производства мяса. Так, производство мяса в Тюпском районе Иссык-Кульской области составило 94,0 % или 475 тонн, в Лейлекском районе Баткенской области - 3,0 % или 280 тонн.</w:t>
      </w:r>
    </w:p>
    <w:p>
      <w:pPr>
        <w:spacing w:after="120"/>
        <w:jc w:val="both"/>
      </w:pPr>
      <w:r>
        <w:rPr>
          <w:rFonts w:ascii="Arial" w:cs="Arial" w:eastAsia="Arial" w:hAnsi="Arial"/>
          <w:sz w:val="24"/>
          <w:szCs w:val="24"/>
        </w:rPr>
        <w:t xml:space="preserve">Производство молока за рассматриваемый период 2011 года составило 1358,1 тыс. тонн, что на 1836 тонн или на 0,1 % меньше соответствующего периода прошлого года. Уменьшение производства молока связано с уменьшением поголовья коров и снижением продуктивности коров по удою молока. За отчетный период текущего года в республике произведено 391,0 млн. штук яиц, что на 17,9 млн. штук больше или составило 104,8 % к уровню соответствующего периода прошлого года. Увеличено производство яиц во всех областях республики, кроме Баткенской и Таласской областей.</w:t>
      </w:r>
    </w:p>
    <w:p>
      <w:pPr>
        <w:spacing w:after="120"/>
        <w:jc w:val="both"/>
      </w:pPr>
      <w:r>
        <w:rPr>
          <w:rFonts w:ascii="Arial" w:cs="Arial" w:eastAsia="Arial" w:hAnsi="Arial"/>
          <w:sz w:val="24"/>
          <w:szCs w:val="24"/>
        </w:rPr>
        <w:t xml:space="preserve">В текущем году в республике произведено 11095 тонн шерсти, что на 238 тонн или на 2,2 % больше соответствующего периода прошлого года. Увеличено производство шерсти во всех областях республики. Средний настриг шерсти от одной овцы за отчетный период составил 2,6 кг. Этот показатель среднего настрига в республике считается низким из-за увеличения в структуре стада овец мясо-шерстного направления.</w:t>
      </w:r>
    </w:p>
    <w:p>
      <w:pPr>
        <w:spacing w:after="120"/>
        <w:jc w:val="both"/>
      </w:pPr>
      <w:r>
        <w:rPr>
          <w:rFonts w:ascii="Arial" w:cs="Arial" w:eastAsia="Arial" w:hAnsi="Arial"/>
          <w:sz w:val="24"/>
          <w:szCs w:val="24"/>
        </w:rPr>
        <w:t xml:space="preserve">Обеспеченность сельскохозяйственной техникой. На 1 января 2012 года имеется в наличии 22606 единиц тракторов, (потребность - 27953), комбайнов всего - 2979 единиц (потребность - 4830), сеялок - 2947 единиц (потребность - 4123), бороны зубовые - 21049 шт. (потребность - 78274), прицепы тракторные - 9569 шт. (16773), косилки тракторные - 1550 шт. (2294), грабли тракторные - 645 шт. (1293), пресс-подборщики - 926 шт. (1147). Таким образом, обеспеченность сельхозтехникой составляет около 50 % от потребности.</w:t>
      </w:r>
    </w:p>
    <w:p>
      <w:pPr>
        <w:spacing w:after="120"/>
        <w:jc w:val="both"/>
      </w:pPr>
      <w:r>
        <w:rPr>
          <w:rFonts w:ascii="Arial" w:cs="Arial" w:eastAsia="Arial" w:hAnsi="Arial"/>
          <w:sz w:val="24"/>
          <w:szCs w:val="24"/>
        </w:rPr>
        <w:t xml:space="preserve">Правительство Кыргызской Республики, успешно проведя переговоры, обеспечило прибытие в республику в конце июня текущего года 265 единиц новых китайских тракторов марки УТО-904, на сумму 30,0 млн. юаней.</w:t>
      </w:r>
    </w:p>
    <w:p>
      <w:pPr>
        <w:spacing w:after="120"/>
        <w:jc w:val="both"/>
      </w:pPr>
      <w:r>
        <w:rPr>
          <w:rFonts w:ascii="Arial" w:cs="Arial" w:eastAsia="Arial" w:hAnsi="Arial"/>
          <w:sz w:val="24"/>
          <w:szCs w:val="24"/>
        </w:rPr>
        <w:t xml:space="preserve">Обеспеченность минеральными удобрениями. В сравнении с 2010 годом в 2011 году цены на минеральные удобрения (аммиачная селитра) возросли в среднем на 12-14 сом/кг узбекистанского и на 10-12 сом/кг российского производства и составили 20-22 сом/кг узбекистанского и 22-23 сом/кг российского производства по оптовым ценам. В 2012 году для удовлетворения потребности крестьянских и фермерских хозяйств республики в минеральных удобрениях необходимо 340,0 тыс. тонн минеральных удобрений, из которых 200,0 тыс. тонн азотных, 129,1 тыс. тонн фосфорных и 11,7 тыс. тонн калийных.</w:t>
      </w:r>
    </w:p>
    <w:p>
      <w:pPr>
        <w:spacing w:after="120"/>
        <w:jc w:val="both"/>
      </w:pPr>
      <w:r>
        <w:rPr>
          <w:rFonts w:ascii="Arial" w:cs="Arial" w:eastAsia="Arial" w:hAnsi="Arial"/>
          <w:sz w:val="24"/>
          <w:szCs w:val="24"/>
        </w:rPr>
        <w:t xml:space="preserve">Министерством сельского хозяйства и мелиорации Кыргызской Республики принимаются все меры по выделению Кыргызстану на 2012 год квоты на вывоз азотных минеральных удобрений в объеме 200,0 тыс. тонн из Республики Узбекистан.</w:t>
      </w:r>
    </w:p>
    <w:p>
      <w:pPr>
        <w:spacing w:after="120"/>
        <w:jc w:val="both"/>
      </w:pPr>
      <w:r>
        <w:rPr>
          <w:rFonts w:ascii="Arial" w:cs="Arial" w:eastAsia="Arial" w:hAnsi="Arial"/>
          <w:sz w:val="24"/>
          <w:szCs w:val="24"/>
        </w:rPr>
        <w:t xml:space="preserve">Продовольственная обеспеченность внутреннего рынка. По итогам 2011 года обеспеченность внутреннего продовольственного рынка республики основными продуктами питания, с учетом переходящих остатков и в соответствии со среднефизиологическими нормами, составила: по хлебопродуктам 275,4 %, картофелю - 333,3 %, молоку - 115,2 %, мясу - 80,2 %, овощам - 168,2 %, маслу растительному - 162,7 %, сахару - 77,5 %, яйцу птицы - 46,1 %, плодам и ягодам - 27 %.</w:t>
      </w:r>
    </w:p>
    <w:p>
      <w:pPr>
        <w:spacing w:after="120"/>
        <w:jc w:val="both"/>
      </w:pPr>
      <w:r>
        <w:rPr>
          <w:rFonts w:ascii="Arial" w:cs="Arial" w:eastAsia="Arial" w:hAnsi="Arial"/>
          <w:sz w:val="24"/>
          <w:szCs w:val="24"/>
        </w:rPr>
        <w:t xml:space="preserve">Обеспеченность внутреннего рынка за отчетный период, за счет собственного производства составила: по хлебопродуктам - 163,4 %, картофелю - 333,1 %, молоку - 115,2 %, мясу - 57,8 %, овощам - 167,7 %, маслу растительному - 34,2 %, сахару - 12,2 %, яйцу птицы - 38,4 %, плодам и ягодам - 23,1 %.</w:t>
      </w:r>
    </w:p>
    <w:p>
      <w:pPr>
        <w:spacing w:after="120"/>
        <w:jc w:val="both"/>
      </w:pPr>
      <w:r>
        <w:rPr>
          <w:rFonts w:ascii="Arial" w:cs="Arial" w:eastAsia="Arial" w:hAnsi="Arial"/>
          <w:sz w:val="24"/>
          <w:szCs w:val="24"/>
        </w:rPr>
        <w:t xml:space="preserve">Обеспеченность внутреннего рынка без учета переходящих остатков и в соответствии со среднефизиологическими нормами, составила:  по хлебопродуктам - 145,3 %, картофелю - 161,3 %, молоку - 112 %, мясу - 78,9 %, овощам - 131,4 %, маслу растительному - 90,2 %, сахару - 66,1 %, яйцу птицы - 43,6 %, плодам и ягодам - 25,7 %.</w:t>
      </w:r>
    </w:p>
    <w:p>
      <w:pPr>
        <w:spacing w:after="120"/>
        <w:jc w:val="both"/>
      </w:pPr>
      <w:r>
        <w:rPr>
          <w:rFonts w:ascii="Arial" w:cs="Arial" w:eastAsia="Arial" w:hAnsi="Arial"/>
          <w:sz w:val="24"/>
          <w:szCs w:val="24"/>
        </w:rPr>
        <w:t xml:space="preserve">Водное хозяйство. Государственный ирригационный фонд страны составляют: межхозяйственные каналы протяженностью 5598,8 км, гидротехнические сооружения - 6719 единиц, гидропосты - 3004 единицы, насосные станции - 107 единиц, коллекторно-дренажные сети, протяженностью 650,4 км, водохранилища - 33 единицы.</w:t>
      </w:r>
    </w:p>
    <w:p>
      <w:pPr>
        <w:spacing w:after="120"/>
        <w:jc w:val="both"/>
      </w:pPr>
      <w:r>
        <w:rPr>
          <w:rFonts w:ascii="Arial" w:cs="Arial" w:eastAsia="Arial" w:hAnsi="Arial"/>
          <w:sz w:val="24"/>
          <w:szCs w:val="24"/>
        </w:rPr>
        <w:t xml:space="preserve">Ирригация. Выполнение эксплуатационных мероприятий за 2011 год за счет республиканского бюджета составляет 644,7 млн. сомов, при плане 635,8 млн. сомов, или 101 %. Выполнено ремонтно-востановительных работ на сумму 175,9 млн. сомов, при плане 167,2 млн. сомов или 105 %, из них текущий ремонт на сумму 24,3 млн. сомов при плане 20,4 млн. сомов или 119 %; капитальный ремонт 151,6 млн. сомов или 103 %.</w:t>
      </w:r>
    </w:p>
    <w:p>
      <w:pPr>
        <w:spacing w:after="120"/>
        <w:jc w:val="both"/>
      </w:pPr>
      <w:r>
        <w:rPr>
          <w:rFonts w:ascii="Arial" w:cs="Arial" w:eastAsia="Arial" w:hAnsi="Arial"/>
          <w:sz w:val="24"/>
          <w:szCs w:val="24"/>
        </w:rPr>
        <w:t xml:space="preserve">Отремонтировано 1184 гидротехнических сооружения, 1155 гидропостов, 100 насосных станций, выполнены работы по мехочистке оросительных каналов, протяженностью 198,7 км, очищена коллекторно-дренажная сеть, протяженностью 39,1 км. Проведен капитальный ремонт на крупных каналах, протяженностью 155,6 км.</w:t>
      </w:r>
    </w:p>
    <w:p>
      <w:pPr>
        <w:spacing w:after="120"/>
        <w:jc w:val="both"/>
      </w:pPr>
      <w:r>
        <w:rPr>
          <w:rFonts w:ascii="Arial" w:cs="Arial" w:eastAsia="Arial" w:hAnsi="Arial"/>
          <w:sz w:val="24"/>
          <w:szCs w:val="24"/>
        </w:rPr>
        <w:t xml:space="preserve">Мелиорация. В последние годы происходит интенсивное засоление и заболачивание орошаемых земель Кыргызской Республики. Из 1018,7 тыс. га орошаемых земель количество мелиоративно-неблагополучных земель на сегодня составляет 100,1 тыс. га, 20,8 тыс. га подвержены зарастанию камышом, подтоплено 150 больших и малых населенных пунктов.</w:t>
      </w:r>
    </w:p>
    <w:p>
      <w:pPr>
        <w:spacing w:after="120"/>
        <w:jc w:val="both"/>
      </w:pPr>
      <w:r>
        <w:rPr>
          <w:rFonts w:ascii="Arial" w:cs="Arial" w:eastAsia="Arial" w:hAnsi="Arial"/>
          <w:sz w:val="24"/>
          <w:szCs w:val="24"/>
        </w:rPr>
        <w:t xml:space="preserve">По республике на 1 января 2012 года имеется 5705 км коллекторно-дренажной сети (КДС). Из 68 скважин вертикального дренажа (СВД) 35 требуют полной реабилитации. Фактически, за год выделено 11255,3 тыс. сомов на проведение капитального ремонта и текущих ремонтов мелиоративных ГТС. Общая стоимость работ ориентировочно составляет 5,8 млн. сомов. Кроме того дополнительно произведена замена 4-х насосов на сумму 393,0 тыс. сомов. Общая сумма выполненных работ по капитальному ремонту ориентировочно составляет 15112,7 тыс. сомов. В результате выполненных работ улучшено 1088 га орошаемых земель.</w:t>
      </w:r>
    </w:p>
    <w:p>
      <w:pPr>
        <w:spacing w:after="120"/>
        <w:jc w:val="both"/>
      </w:pPr>
      <w:r>
        <w:rPr>
          <w:rFonts w:ascii="Arial" w:cs="Arial" w:eastAsia="Arial" w:hAnsi="Arial"/>
          <w:sz w:val="24"/>
          <w:szCs w:val="24"/>
        </w:rPr>
        <w:t xml:space="preserve">Противопаводковые мероприятия. В результате прошедших в мае - августе 2011 года продолжительных ливневых дождей, вызвавших селевые потоки, паводки и оползни, подверглись разрушениям водохозяйственные объекты, которые ранее были отремонтированы и подготовлены к вегетационным поливам. Всего по республике 60 государственных ирригационных объектов подверглись разрушениям, стоимость ущерба составила 40,9 млн. сомов. В результате проведения противопаводковых мероприятий и первоочередных аварийно-восстановительных работ, стоимость выполненных работ составила 6,9 млн. сомов.</w:t>
      </w:r>
    </w:p>
    <w:p>
      <w:pPr>
        <w:spacing w:after="120"/>
        <w:jc w:val="both"/>
      </w:pPr>
      <w:r>
        <w:rPr>
          <w:rFonts w:ascii="Arial" w:cs="Arial" w:eastAsia="Arial" w:hAnsi="Arial"/>
          <w:sz w:val="24"/>
          <w:szCs w:val="24"/>
        </w:rPr>
        <w:t xml:space="preserve">2.3. Строительство</w:t>
      </w:r>
    </w:p>
    <w:p>
      <w:pPr>
        <w:spacing w:after="120"/>
        <w:jc w:val="both"/>
      </w:pPr>
      <w:r>
        <w:rPr>
          <w:rFonts w:ascii="Arial" w:cs="Arial" w:eastAsia="Arial" w:hAnsi="Arial"/>
          <w:sz w:val="24"/>
          <w:szCs w:val="24"/>
        </w:rPr>
        <w:t xml:space="preserve">В строительном комплексе отмечается сокращение объемов капитальных вложений. За 2011 год объем инвестиций в основной капитал за счет всех источников финансирования составил 47,4 млрд. сомов и снизился на 6,6 % (93,4 %). Сокращение объемов инвестиций в основной капитал обусловлено снижением освоенных средств на строительстве объектов сельского хозяйства (-24,2 %), горнодобывающей (-10,7 %) и обрабатывающей промышленности (-14,4 %), производства и распределения электроэнергии, газа и воды, торговли, ремонта автомобилей, бытовых изделий и предметов личного пользования (-13,1 %).</w:t>
      </w:r>
    </w:p>
    <w:p>
      <w:pPr>
        <w:spacing w:after="120"/>
        <w:jc w:val="both"/>
      </w:pPr>
      <w:r>
        <w:rPr>
          <w:rFonts w:ascii="Arial" w:cs="Arial" w:eastAsia="Arial" w:hAnsi="Arial"/>
          <w:sz w:val="24"/>
          <w:szCs w:val="24"/>
        </w:rPr>
        <w:t xml:space="preserve">Вместе с тем, в 2011 году наблюдался рост инвестиций, направленных на строительство объектов транспорта и связи (22,3 %), гостиниц и ресторанов (0,5 %), сферы образования и здравоохранения, предоставления коммунальных, социальных и персональных услуг.</w:t>
      </w:r>
    </w:p>
    <w:p>
      <w:pPr>
        <w:spacing w:after="120"/>
        <w:jc w:val="both"/>
      </w:pPr>
      <w:r>
        <w:rPr>
          <w:rFonts w:ascii="Arial" w:cs="Arial" w:eastAsia="Arial" w:hAnsi="Arial"/>
          <w:sz w:val="24"/>
          <w:szCs w:val="24"/>
        </w:rPr>
        <w:t xml:space="preserve">По сравнению с 2010 годом возросли объемы инвестиций, финансируемые за счет республиканского бюджета (рост на 23,6 %), а удельный вес в общем объеме освоенных инвестиций составил 9,5 %, также возрос объем иностранных кредитов (рост в 1,6 раза), удельный вес которых составил 18,5 %.</w:t>
      </w:r>
    </w:p>
    <w:p>
      <w:pPr>
        <w:spacing w:after="120"/>
        <w:jc w:val="both"/>
      </w:pPr>
      <w:r>
        <w:rPr>
          <w:rFonts w:ascii="Arial" w:cs="Arial" w:eastAsia="Arial" w:hAnsi="Arial"/>
          <w:sz w:val="24"/>
          <w:szCs w:val="24"/>
        </w:rPr>
        <w:t xml:space="preserve">По сравнению с январем - декабрем 2010 года на 18,6 % возросли объемы инвестиций в основной капитал за счет внешних источников финансирования и составили 13604,0 млн. сомов, при этом объемы внутренних источников за этот период сократились на 13,9 % и составили 33795,5 млн. сомов. Суммарная доля внутренних инвестиционных средств составила 71,3 % и внешних - 28,7 % от общего объема освоенных капитальных вложений.</w:t>
      </w:r>
    </w:p>
    <w:p>
      <w:pPr>
        <w:spacing w:after="120"/>
        <w:jc w:val="both"/>
      </w:pPr>
      <w:r>
        <w:rPr>
          <w:rFonts w:ascii="Arial" w:cs="Arial" w:eastAsia="Arial" w:hAnsi="Arial"/>
          <w:sz w:val="24"/>
          <w:szCs w:val="24"/>
        </w:rPr>
        <w:t xml:space="preserve">В 2011 году сданы в эксплуатацию 8546 домов/квартир, общей площадью 809,8 тыс. квадратных метров, что на 15,4 % больше, чем в 2010 году. На строительстве жилья за истекший период использовано (по оценке) 11462,6 млн. сомов инвестиций в основной капитал, или 91,6 % к уровню 2010 года.</w:t>
      </w:r>
    </w:p>
    <w:p>
      <w:pPr>
        <w:spacing w:after="120"/>
        <w:jc w:val="both"/>
      </w:pPr>
      <w:r>
        <w:rPr>
          <w:rFonts w:ascii="Arial" w:cs="Arial" w:eastAsia="Arial" w:hAnsi="Arial"/>
          <w:sz w:val="24"/>
          <w:szCs w:val="24"/>
        </w:rPr>
        <w:t xml:space="preserve">В сельской местности введено 296 тыс. квадратных метров жилья, или 39,6 % от их общего ввода. Строительство и ввод жилых домов осуществляются, в основном, за счет средств населения (78,6 % от их общего ввода).</w:t>
      </w:r>
    </w:p>
    <w:p>
      <w:pPr>
        <w:spacing w:after="120"/>
        <w:jc w:val="both"/>
      </w:pPr>
      <w:r>
        <w:rPr>
          <w:rFonts w:ascii="Arial" w:cs="Arial" w:eastAsia="Arial" w:hAnsi="Arial"/>
          <w:sz w:val="24"/>
          <w:szCs w:val="24"/>
        </w:rPr>
        <w:t xml:space="preserve">Построено 5829 индивидуальных жилых домов общей площадью 587,8 тыс. квадратных метров, стоимость которых, по оценке, составила 7481,3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Общий объем валовой продукции и инвестиции в основной капитал</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08"/>
        <w:gridCol w:w="1547"/>
        <w:gridCol w:w="1547"/>
        <w:gridCol w:w="1278"/>
        <w:gridCol w:w="1526"/>
        <w:gridCol w:w="1372"/>
      </w:tblGrid>
      <w:tr>
        <w:tc>
          <w:tcPr>
            <w:tcW w:type="dxa" w:w="290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15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 декабрь 2011 г.</w:t>
            </w:r>
          </w:p>
        </w:tc>
        <w:tc>
          <w:tcPr>
            <w:tcW w:type="dxa" w:w="15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 декабрь 2010 г.</w:t>
            </w:r>
          </w:p>
        </w:tc>
        <w:tc>
          <w:tcPr>
            <w:tcW w:type="dxa" w:w="12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 от факт. (+,-)</w:t>
            </w:r>
          </w:p>
        </w:tc>
        <w:tc>
          <w:tcPr>
            <w:tcW w:type="dxa" w:w="15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 декабрь 2011г.</w:t>
            </w:r>
          </w:p>
        </w:tc>
        <w:tc>
          <w:tcPr>
            <w:tcW w:type="dxa" w:w="13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 от факт. (+,-)</w:t>
            </w:r>
          </w:p>
        </w:tc>
      </w:tr>
      <w:tr>
        <w:tc>
          <w:tcPr>
            <w:vMerge w:val="continue"/>
            <w:tcBorders>
              <w:top w:val="single" w:color="CBBF9E" w:sz="4"/>
              <w:left w:val="single" w:color="CBBF9E" w:sz="4"/>
              <w:bottom w:val="single" w:color="CBBF9E" w:sz="4"/>
              <w:right w:val="single" w:color="CBBF9E" w:sz="4"/>
            </w:tcBorders>
          </w:tcP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предв. факт</w:t>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строительства, млн. сомов</w:t>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41761,8</w:t>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38163,1</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3598,7</w:t>
            </w:r>
          </w:p>
        </w:tc>
        <w:tc>
          <w:tcPr>
            <w:tcW w:type="dxa" w:w="1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47568,4</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-5806,6</w:t>
            </w:r>
          </w:p>
        </w:tc>
      </w:tr>
      <w:tr>
        <w:tc>
          <w:tcPr>
            <w:tcW w:type="dxa" w:w="2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роста, %</w:t>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96,1</w:t>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81,5</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w:t>
            </w:r>
          </w:p>
        </w:tc>
        <w:tc>
          <w:tcPr>
            <w:tcW w:type="dxa" w:w="1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w:t>
            </w:r>
          </w:p>
        </w:tc>
      </w:tr>
      <w:tr>
        <w:tc>
          <w:tcPr>
            <w:tcW w:type="dxa" w:w="2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Инвестиции в основной капитал, млн. сомов</w:t>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47399,5</w:t>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44333,3</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3066,2</w:t>
            </w:r>
          </w:p>
        </w:tc>
        <w:tc>
          <w:tcPr>
            <w:tcW w:type="dxa" w:w="1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57869,2</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-10469,7</w:t>
            </w:r>
          </w:p>
        </w:tc>
      </w:tr>
      <w:tr>
        <w:tc>
          <w:tcPr>
            <w:tcW w:type="dxa" w:w="2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роста, %</w:t>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93,4</w:t>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90,8</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w:t>
            </w:r>
          </w:p>
        </w:tc>
      </w:tr>
      <w:tr>
        <w:tc>
          <w:tcPr>
            <w:tcW w:type="dxa" w:w="2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инвестиции, млн. сомов</w:t>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33795,5</w:t>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34276,6</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-481,1</w:t>
            </w:r>
          </w:p>
        </w:tc>
        <w:tc>
          <w:tcPr>
            <w:tcW w:type="dxa" w:w="1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48147,2</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-14351,7</w:t>
            </w:r>
          </w:p>
        </w:tc>
      </w:tr>
      <w:tr>
        <w:tc>
          <w:tcPr>
            <w:tcW w:type="dxa" w:w="2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инвестиции, млн. сомов</w:t>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13604,0</w:t>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10056,7</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3547,3</w:t>
            </w:r>
          </w:p>
        </w:tc>
        <w:tc>
          <w:tcPr>
            <w:tcW w:type="dxa" w:w="1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9722,0</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3882,0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Общий объем валовой продукции строительства в январе - декабре 2011 года составил 41,8 млрд. сомов и реально снизился на 3,9 %. Влияние строительного сектора на темпы экономического роста было отрицательным, и вклад в формирование ВВП составил (-0,21 %), удельный вес которого в структуре производства ВВП - 4,88 %.</w:t>
      </w:r>
    </w:p>
    <w:p>
      <w:pPr>
        <w:spacing w:after="120"/>
        <w:jc w:val="both"/>
      </w:pPr>
      <w:r>
        <w:rPr>
          <w:rFonts w:ascii="Arial" w:cs="Arial" w:eastAsia="Arial" w:hAnsi="Arial"/>
          <w:sz w:val="24"/>
          <w:szCs w:val="24"/>
        </w:rPr>
        <w:t xml:space="preserve">Таким образом, фактически сложившиеся показатели не достигли прогнозируемого уровня по строительству на 9,4 п.п.</w:t>
      </w:r>
    </w:p>
    <w:p>
      <w:pPr>
        <w:spacing w:after="120"/>
        <w:jc w:val="both"/>
      </w:pPr>
      <w:r>
        <w:rPr>
          <w:rFonts w:ascii="Arial" w:cs="Arial" w:eastAsia="Arial" w:hAnsi="Arial"/>
          <w:sz w:val="24"/>
          <w:szCs w:val="24"/>
        </w:rPr>
        <w:t xml:space="preserve">Основные факторы, повлиявшие на снижение объема строительства:</w:t>
      </w:r>
    </w:p>
    <w:p>
      <w:pPr>
        <w:spacing w:after="120"/>
        <w:jc w:val="both"/>
      </w:pPr>
      <w:r>
        <w:rPr>
          <w:rFonts w:ascii="Arial" w:cs="Arial" w:eastAsia="Arial" w:hAnsi="Arial"/>
          <w:sz w:val="24"/>
          <w:szCs w:val="24"/>
        </w:rPr>
        <w:t xml:space="preserve">- позднее утверждение перечня объектов капитального строительства и плана капитальных вложений на 2011 год (2 июня 2011 года);</w:t>
      </w:r>
    </w:p>
    <w:p>
      <w:pPr>
        <w:spacing w:after="120"/>
        <w:jc w:val="both"/>
      </w:pPr>
      <w:r>
        <w:rPr>
          <w:rFonts w:ascii="Arial" w:cs="Arial" w:eastAsia="Arial" w:hAnsi="Arial"/>
          <w:sz w:val="24"/>
          <w:szCs w:val="24"/>
        </w:rPr>
        <w:t xml:space="preserve">- многие инвестиционные проекты не реализованы и остаются приостановленными как на республиканском, так и на региональном уровне;</w:t>
      </w:r>
    </w:p>
    <w:p>
      <w:pPr>
        <w:spacing w:after="120"/>
        <w:jc w:val="both"/>
      </w:pPr>
      <w:r>
        <w:rPr>
          <w:rFonts w:ascii="Arial" w:cs="Arial" w:eastAsia="Arial" w:hAnsi="Arial"/>
          <w:sz w:val="24"/>
          <w:szCs w:val="24"/>
        </w:rPr>
        <w:t xml:space="preserve">- темпы роста капитализации частного инвестирования имели тенденцию к замедлению;</w:t>
      </w:r>
    </w:p>
    <w:p>
      <w:pPr>
        <w:spacing w:after="120"/>
        <w:jc w:val="both"/>
      </w:pPr>
      <w:r>
        <w:rPr>
          <w:rFonts w:ascii="Arial" w:cs="Arial" w:eastAsia="Arial" w:hAnsi="Arial"/>
          <w:sz w:val="24"/>
          <w:szCs w:val="24"/>
        </w:rPr>
        <w:t xml:space="preserve">- значительное снижение освоенных средств в строительстве объектов сельского хозяйства, горнодобывающей и обрабатывающей промышленности, производства и распределения электроэнергии, газа и воды.</w:t>
      </w:r>
    </w:p>
    <w:p>
      <w:pPr>
        <w:spacing w:after="120"/>
        <w:jc w:val="both"/>
      </w:pPr>
      <w:r>
        <w:rPr>
          <w:rFonts w:ascii="Arial" w:cs="Arial" w:eastAsia="Arial" w:hAnsi="Arial"/>
          <w:sz w:val="24"/>
          <w:szCs w:val="24"/>
        </w:rPr>
        <w:t xml:space="preserve">В территориальном разрезе за 2011 год объемы строительства в Баткенской области составили 2492,0 млн. сомов или возросли в 1,6 раза, Нарынской области - на 24,5 % (1397,1 млн. сомов), Ошской области - на 8,5 % (4854,7 млн. сомов), Чуйской области - на 17,6 % (6419,3 млн. сомов), г. Ош - в 1,8 раза (2644,1 млн. сомов).</w:t>
      </w:r>
    </w:p>
    <w:p>
      <w:pPr>
        <w:spacing w:after="120"/>
        <w:jc w:val="both"/>
      </w:pPr>
      <w:r>
        <w:rPr>
          <w:rFonts w:ascii="Arial" w:cs="Arial" w:eastAsia="Arial" w:hAnsi="Arial"/>
          <w:sz w:val="24"/>
          <w:szCs w:val="24"/>
        </w:rPr>
        <w:t xml:space="preserve">Объемы ввода жилья снизились во всех областях, кроме Чуйской области (107,2 % к уровню 2010 года), г.Бишкек (рост в 1,5 раза), г.Ош (рост в 1,5 раза).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Восстановление южного региона</w:t>
      </w:r>
    </w:p>
    <w:p>
      <w:pPr>
        <w:spacing w:after="120"/>
        <w:jc w:val="both"/>
      </w:pPr>
      <w:r>
        <w:rPr>
          <w:rFonts w:ascii="Arial" w:cs="Arial" w:eastAsia="Arial" w:hAnsi="Arial"/>
          <w:sz w:val="24"/>
          <w:szCs w:val="24"/>
        </w:rPr>
        <w:t xml:space="preserve">За 2011 год были продолжены работы по восстановлению объектов инфраструктуры и социально-культурного назначения в г. Ош, Ошской и Джалал-Абадской областях. За счет средств республиканского бюджета в 2011 году профинансировано и израсходовано 3038,4 млн. сомов, в том числе:</w:t>
      </w:r>
    </w:p>
    <w:p>
      <w:pPr>
        <w:spacing w:after="120"/>
        <w:jc w:val="both"/>
      </w:pPr>
      <w:r>
        <w:rPr>
          <w:rFonts w:ascii="Arial" w:cs="Arial" w:eastAsia="Arial" w:hAnsi="Arial"/>
          <w:sz w:val="24"/>
          <w:szCs w:val="24"/>
        </w:rPr>
        <w:t xml:space="preserve">- на выдачу государственной помощи пострадавшим от пожаров семьям - на сумму 18,4 млн. сомов (беспроцентную льготную ссуду до 200 тыс. сомов получили 58 семей, в сумме 9,8 млн. сомов, безвозмездную помощь в размере 50 тыс. сомов получили 172 человека, в сумме 8,6 млн. сомов);</w:t>
      </w:r>
    </w:p>
    <w:p>
      <w:pPr>
        <w:spacing w:after="120"/>
        <w:jc w:val="both"/>
      </w:pPr>
      <w:r>
        <w:rPr>
          <w:rFonts w:ascii="Arial" w:cs="Arial" w:eastAsia="Arial" w:hAnsi="Arial"/>
          <w:sz w:val="24"/>
          <w:szCs w:val="24"/>
        </w:rPr>
        <w:t xml:space="preserve">- на выдачу государственной помощи в размере до 50 тыс. сомов пострадавшим от мародерства 1753 семьям - 86,6 млн. сомов;</w:t>
      </w:r>
    </w:p>
    <w:p>
      <w:pPr>
        <w:spacing w:after="120"/>
        <w:jc w:val="both"/>
      </w:pPr>
      <w:r>
        <w:rPr>
          <w:rFonts w:ascii="Arial" w:cs="Arial" w:eastAsia="Arial" w:hAnsi="Arial"/>
          <w:sz w:val="24"/>
          <w:szCs w:val="24"/>
        </w:rPr>
        <w:t xml:space="preserve">- на выдачу помощи 2017 субъектам предпринимательства 308,6 млн. сомов (безвозмездную помощь в размере 50 тысяч сомов получили 2017 человек, в сумме 100,89 млн. сомов, беспроцентную льготную ссуду до 150 тыс. сомов получили 1385 человек, в сумме 207,8 млн. сомов);</w:t>
      </w:r>
    </w:p>
    <w:p>
      <w:pPr>
        <w:spacing w:after="120"/>
        <w:jc w:val="both"/>
      </w:pPr>
      <w:r>
        <w:rPr>
          <w:rFonts w:ascii="Arial" w:cs="Arial" w:eastAsia="Arial" w:hAnsi="Arial"/>
          <w:sz w:val="24"/>
          <w:szCs w:val="24"/>
        </w:rPr>
        <w:t xml:space="preserve">- на строительство многоэтажных домов - 1985,7 млн. сомов;</w:t>
      </w:r>
    </w:p>
    <w:p>
      <w:pPr>
        <w:spacing w:after="120"/>
        <w:jc w:val="both"/>
      </w:pPr>
      <w:r>
        <w:rPr>
          <w:rFonts w:ascii="Arial" w:cs="Arial" w:eastAsia="Arial" w:hAnsi="Arial"/>
          <w:sz w:val="24"/>
          <w:szCs w:val="24"/>
        </w:rPr>
        <w:t xml:space="preserve">- на восстановление и строительство объектов социально-культурного назначения, административных зданий - 313,2 млн. сомов;</w:t>
      </w:r>
    </w:p>
    <w:p>
      <w:pPr>
        <w:spacing w:after="120"/>
        <w:jc w:val="both"/>
      </w:pPr>
      <w:r>
        <w:rPr>
          <w:rFonts w:ascii="Arial" w:cs="Arial" w:eastAsia="Arial" w:hAnsi="Arial"/>
          <w:sz w:val="24"/>
          <w:szCs w:val="24"/>
        </w:rPr>
        <w:t xml:space="preserve">- на восстановление дорог и объектов инженерной инфраструктуры - 216,3 млн. сомов;</w:t>
      </w:r>
    </w:p>
    <w:p>
      <w:pPr>
        <w:spacing w:after="120"/>
        <w:jc w:val="both"/>
      </w:pPr>
      <w:r>
        <w:rPr>
          <w:rFonts w:ascii="Arial" w:cs="Arial" w:eastAsia="Arial" w:hAnsi="Arial"/>
          <w:sz w:val="24"/>
          <w:szCs w:val="24"/>
        </w:rPr>
        <w:t xml:space="preserve">- на проектно-изыскательские работы - 63,3 млн. сомов;</w:t>
      </w:r>
    </w:p>
    <w:p>
      <w:pPr>
        <w:spacing w:after="120"/>
        <w:jc w:val="both"/>
      </w:pPr>
      <w:r>
        <w:rPr>
          <w:rFonts w:ascii="Arial" w:cs="Arial" w:eastAsia="Arial" w:hAnsi="Arial"/>
          <w:sz w:val="24"/>
          <w:szCs w:val="24"/>
        </w:rPr>
        <w:t xml:space="preserve">- на прочие работы - 1,8 млн. сомов;</w:t>
      </w:r>
    </w:p>
    <w:p>
      <w:pPr>
        <w:spacing w:after="120"/>
        <w:jc w:val="both"/>
      </w:pPr>
      <w:r>
        <w:rPr>
          <w:rFonts w:ascii="Arial" w:cs="Arial" w:eastAsia="Arial" w:hAnsi="Arial"/>
          <w:sz w:val="24"/>
          <w:szCs w:val="24"/>
        </w:rPr>
        <w:t xml:space="preserve">- на содержание дирекции - 33,8 млн. сомов;</w:t>
      </w:r>
    </w:p>
    <w:p>
      <w:pPr>
        <w:spacing w:after="120"/>
        <w:jc w:val="both"/>
      </w:pPr>
      <w:r>
        <w:rPr>
          <w:rFonts w:ascii="Arial" w:cs="Arial" w:eastAsia="Arial" w:hAnsi="Arial"/>
          <w:sz w:val="24"/>
          <w:szCs w:val="24"/>
        </w:rPr>
        <w:t xml:space="preserve">- на софинансирование проекта АБР - 10,8 млн. сомов.</w:t>
      </w:r>
    </w:p>
    <w:p>
      <w:pPr>
        <w:spacing w:after="120"/>
        <w:jc w:val="both"/>
      </w:pPr>
      <w:r>
        <w:rPr>
          <w:rFonts w:ascii="Arial" w:cs="Arial" w:eastAsia="Arial" w:hAnsi="Arial"/>
          <w:sz w:val="24"/>
          <w:szCs w:val="24"/>
        </w:rPr>
        <w:t xml:space="preserve">Государственной дирекцией по восстановлению и развитию городов Ош и Джалал-Абад проведены переговоры с МЧС России по поставке строительных материалов и принято решение о предоставлении помощи в виде строительных материалов (распоряжение Правительства РФ от 29.03.2011 года № 528-р). К концу 2011 года поступило: 1744 куб. м пилолеса, 1181,8 т металла, 27 т гвоздей, 297,2 т профнастила, 41 панельно-каркасный сборный дом.</w:t>
      </w:r>
    </w:p>
    <w:p>
      <w:pPr>
        <w:spacing w:after="120"/>
        <w:jc w:val="both"/>
      </w:pPr>
      <w:r>
        <w:rPr>
          <w:rFonts w:ascii="Arial" w:cs="Arial" w:eastAsia="Arial" w:hAnsi="Arial"/>
          <w:sz w:val="24"/>
          <w:szCs w:val="24"/>
        </w:rPr>
        <w:t xml:space="preserve">В настоящее время Государственная дирекция по восстановлению и развитию городов Ош и Джалал-Абад ведет строительство 34 многоэтажных домов на 1576 квартир, в том числе: в городе Ош - 27 домов на 1272 квартиры (впервые в южной столице строится шестнадцатиэтажный 126-квартирный жилой дом по ул.Салиевой), в Кара-Суйском районе - 2 многоэтажных дома на 120 квартир, в г.Джалал-Абад - 3 дома на 160 квартир, в с.Базар-Коргон - 2 дома на 24 квартиры.</w:t>
      </w:r>
    </w:p>
    <w:p>
      <w:pPr>
        <w:spacing w:after="120"/>
        <w:jc w:val="both"/>
      </w:pPr>
      <w:r>
        <w:rPr>
          <w:rFonts w:ascii="Arial" w:cs="Arial" w:eastAsia="Arial" w:hAnsi="Arial"/>
          <w:sz w:val="24"/>
          <w:szCs w:val="24"/>
        </w:rPr>
        <w:t xml:space="preserve">Из них завершены и заселены 11 многоэтажных домов на 417 квартир, в том числе: в городе Ош - 8 домов на 333 квартиры, в г. Джалал-Абад - 1 дом на 60 квартир, в с.Базар-Коргон - 2 двухэтажных дома, 8-квартирный жилой дом с административными помещениями для налоговой службы и архива Базар-Коргонского района на 1 этаже и 16-квартирный жилой дом.</w:t>
      </w:r>
    </w:p>
    <w:p>
      <w:pPr>
        <w:spacing w:after="120"/>
        <w:jc w:val="both"/>
      </w:pPr>
      <w:r>
        <w:rPr>
          <w:rFonts w:ascii="Arial" w:cs="Arial" w:eastAsia="Arial" w:hAnsi="Arial"/>
          <w:sz w:val="24"/>
          <w:szCs w:val="24"/>
        </w:rPr>
        <w:t xml:space="preserve">Также завершены строительно-монтажные работы в 6 жилых домах:</w:t>
      </w:r>
    </w:p>
    <w:p>
      <w:pPr>
        <w:spacing w:after="120"/>
        <w:jc w:val="both"/>
      </w:pPr>
      <w:r>
        <w:rPr>
          <w:rFonts w:ascii="Arial" w:cs="Arial" w:eastAsia="Arial" w:hAnsi="Arial"/>
          <w:sz w:val="24"/>
          <w:szCs w:val="24"/>
        </w:rPr>
        <w:t xml:space="preserve">- г.Ош - 4 дома на 240 квартир;</w:t>
      </w:r>
    </w:p>
    <w:p>
      <w:pPr>
        <w:spacing w:after="120"/>
        <w:jc w:val="both"/>
      </w:pPr>
      <w:r>
        <w:rPr>
          <w:rFonts w:ascii="Arial" w:cs="Arial" w:eastAsia="Arial" w:hAnsi="Arial"/>
          <w:sz w:val="24"/>
          <w:szCs w:val="24"/>
        </w:rPr>
        <w:t xml:space="preserve">- г.Джалал-Абад - 2 дома на 100 квартир.</w:t>
      </w:r>
    </w:p>
    <w:p>
      <w:pPr>
        <w:spacing w:after="120"/>
        <w:jc w:val="both"/>
      </w:pPr>
      <w:r>
        <w:rPr>
          <w:rFonts w:ascii="Arial" w:cs="Arial" w:eastAsia="Arial" w:hAnsi="Arial"/>
          <w:sz w:val="24"/>
          <w:szCs w:val="24"/>
        </w:rPr>
        <w:t xml:space="preserve">В г. Ош на месте бывших разгромленных и сожженных в июньских событиях зданий завершено строительство:</w:t>
      </w:r>
    </w:p>
    <w:p>
      <w:pPr>
        <w:spacing w:after="120"/>
        <w:jc w:val="both"/>
      </w:pPr>
      <w:r>
        <w:rPr>
          <w:rFonts w:ascii="Arial" w:cs="Arial" w:eastAsia="Arial" w:hAnsi="Arial"/>
          <w:sz w:val="24"/>
          <w:szCs w:val="24"/>
        </w:rPr>
        <w:t xml:space="preserve">- двухэтажного административного здания отдела безопасности дорожного движения УВД (ОБДД) (33 млн. сомов) по ул. Касымбекова, 30;</w:t>
      </w:r>
    </w:p>
    <w:p>
      <w:pPr>
        <w:spacing w:after="120"/>
        <w:jc w:val="both"/>
      </w:pPr>
      <w:r>
        <w:rPr>
          <w:rFonts w:ascii="Arial" w:cs="Arial" w:eastAsia="Arial" w:hAnsi="Arial"/>
          <w:sz w:val="24"/>
          <w:szCs w:val="24"/>
        </w:rPr>
        <w:t xml:space="preserve">- складского помещения Ошского противочумного отделения по ул. Ш.Руставели, 1 (1082,9 тыс. сомов).</w:t>
      </w:r>
    </w:p>
    <w:p>
      <w:pPr>
        <w:spacing w:after="120"/>
        <w:jc w:val="both"/>
      </w:pPr>
      <w:r>
        <w:rPr>
          <w:rFonts w:ascii="Arial" w:cs="Arial" w:eastAsia="Arial" w:hAnsi="Arial"/>
          <w:sz w:val="24"/>
          <w:szCs w:val="24"/>
        </w:rPr>
        <w:t xml:space="preserve">В Кара-Суйском районе в с.Нариман завершено строительство здания отделения милиции.</w:t>
      </w:r>
    </w:p>
    <w:p>
      <w:pPr>
        <w:spacing w:after="120"/>
        <w:jc w:val="both"/>
      </w:pPr>
      <w:r>
        <w:rPr>
          <w:rFonts w:ascii="Arial" w:cs="Arial" w:eastAsia="Arial" w:hAnsi="Arial"/>
          <w:sz w:val="24"/>
          <w:szCs w:val="24"/>
        </w:rPr>
        <w:t xml:space="preserve">Сданы в эксплуатацию две средних школы в Кара-Суйском районе: в с. Ташлак им. Л.Толстого на 420 ученических мест (37843,7 тыс. сомов), в с. Жылкелди им. Т.Алымбекова на 520 ученических мест (44748,9 тыс. сомов).</w:t>
      </w:r>
    </w:p>
    <w:p>
      <w:pPr>
        <w:spacing w:after="120"/>
        <w:jc w:val="both"/>
      </w:pPr>
      <w:r>
        <w:rPr>
          <w:rFonts w:ascii="Arial" w:cs="Arial" w:eastAsia="Arial" w:hAnsi="Arial"/>
          <w:sz w:val="24"/>
          <w:szCs w:val="24"/>
        </w:rPr>
        <w:t xml:space="preserve">В с.Арек а/а Жапалак г.Ош завершаются кровельные работы спортзала и учебного корпуса школы им. Атабаева № 35, начаты отделочные работы.</w:t>
      </w:r>
    </w:p>
    <w:p>
      <w:pPr>
        <w:spacing w:after="120"/>
        <w:jc w:val="both"/>
      </w:pPr>
      <w:r>
        <w:rPr>
          <w:rFonts w:ascii="Arial" w:cs="Arial" w:eastAsia="Arial" w:hAnsi="Arial"/>
          <w:sz w:val="24"/>
          <w:szCs w:val="24"/>
        </w:rPr>
        <w:t xml:space="preserve">В мкр. Кулатова г.Ош завершено строительство спортзала и мастерской спецшколы-интерната для слепых и слабовидящих детей.</w:t>
      </w:r>
    </w:p>
    <w:p>
      <w:pPr>
        <w:spacing w:after="120"/>
        <w:jc w:val="both"/>
      </w:pPr>
      <w:r>
        <w:rPr>
          <w:rFonts w:ascii="Arial" w:cs="Arial" w:eastAsia="Arial" w:hAnsi="Arial"/>
          <w:sz w:val="24"/>
          <w:szCs w:val="24"/>
        </w:rPr>
        <w:t xml:space="preserve">В с.Фурхат Кара-Суйского района начато строительство детского сада, завершена разработка котлована.</w:t>
      </w:r>
    </w:p>
    <w:p>
      <w:pPr>
        <w:spacing w:after="120"/>
        <w:jc w:val="both"/>
      </w:pPr>
      <w:r>
        <w:rPr>
          <w:rFonts w:ascii="Arial" w:cs="Arial" w:eastAsia="Arial" w:hAnsi="Arial"/>
          <w:sz w:val="24"/>
          <w:szCs w:val="24"/>
        </w:rPr>
        <w:t xml:space="preserve">В с.Мангыт Араванского района Ошской области ведется строительство двухэтажной больницы на 50 коек, завершена заливка перекрытий 1 этажа, начата заливка ригелей 2 этажа каркаса больницы.</w:t>
      </w:r>
    </w:p>
    <w:p>
      <w:pPr>
        <w:spacing w:after="120"/>
        <w:jc w:val="both"/>
      </w:pPr>
      <w:r>
        <w:rPr>
          <w:rFonts w:ascii="Arial" w:cs="Arial" w:eastAsia="Arial" w:hAnsi="Arial"/>
          <w:sz w:val="24"/>
          <w:szCs w:val="24"/>
        </w:rPr>
        <w:t xml:space="preserve">В с.Октябрьское Сузакского района Джалал-Абадской области начато строительство больницы, завершена разработка котлована.</w:t>
      </w:r>
    </w:p>
    <w:p>
      <w:pPr>
        <w:spacing w:after="120"/>
        <w:jc w:val="both"/>
      </w:pPr>
      <w:r>
        <w:rPr>
          <w:rFonts w:ascii="Arial" w:cs="Arial" w:eastAsia="Arial" w:hAnsi="Arial"/>
          <w:sz w:val="24"/>
          <w:szCs w:val="24"/>
        </w:rPr>
        <w:t xml:space="preserve">В г.Ош завершен капитальный ремонт зданий Ошской областной филармонии им. Р.Абдыкадырова (стоимость работ - 2,7 млн. сомов), городского кинотеатра «Семетей» (стоимость работ - 19,6 млн. сомов), завершен капитальный ремонт Узбекского драматического театра им. Бабура, продолжается капитальный ремонт Ошского национального драматического театра им. С.Ибраимова.</w:t>
      </w:r>
    </w:p>
    <w:p>
      <w:pPr>
        <w:spacing w:after="120"/>
        <w:jc w:val="both"/>
      </w:pPr>
      <w:r>
        <w:rPr>
          <w:rFonts w:ascii="Arial" w:cs="Arial" w:eastAsia="Arial" w:hAnsi="Arial"/>
          <w:sz w:val="24"/>
          <w:szCs w:val="24"/>
        </w:rPr>
        <w:t xml:space="preserve">Завершен капитальный ремонт здания Ошского областного Совета ветеранов (2,1 млн. сомов). Завершены ремонтно-восстановительные работы Мавзолея Курманжан Датки на кладбище Сары-Мазар в Шаркском айылном аймаке Кара-Суйского района (1,3 млн. сомов).</w:t>
      </w:r>
    </w:p>
    <w:p>
      <w:pPr>
        <w:spacing w:after="120"/>
        <w:jc w:val="both"/>
      </w:pPr>
      <w:r>
        <w:rPr>
          <w:rFonts w:ascii="Arial" w:cs="Arial" w:eastAsia="Arial" w:hAnsi="Arial"/>
          <w:sz w:val="24"/>
          <w:szCs w:val="24"/>
        </w:rPr>
        <w:t xml:space="preserve">Завершена реконструкция улицы им. Осмонова в с. Базар-Коргон Джалал-Абадской области, протяженностью 2,9 км, выполняется дорожная разметка (28,0 млн. сомов).</w:t>
      </w:r>
    </w:p>
    <w:p>
      <w:pPr>
        <w:spacing w:after="120"/>
        <w:jc w:val="both"/>
      </w:pPr>
      <w:r>
        <w:rPr>
          <w:rFonts w:ascii="Arial" w:cs="Arial" w:eastAsia="Arial" w:hAnsi="Arial"/>
          <w:sz w:val="24"/>
          <w:szCs w:val="24"/>
        </w:rPr>
        <w:t xml:space="preserve">В г.Ош завершена реконструкция улицы Ак-Бууринская, профинансировано Госдирекцией на строительство 46,6 млн. сомов, а также на выплату компенсаций за снос строений 11,6 млн. сомов.</w:t>
      </w:r>
    </w:p>
    <w:p>
      <w:pPr>
        <w:spacing w:after="120"/>
        <w:jc w:val="both"/>
      </w:pPr>
      <w:r>
        <w:rPr>
          <w:rFonts w:ascii="Arial" w:cs="Arial" w:eastAsia="Arial" w:hAnsi="Arial"/>
          <w:sz w:val="24"/>
          <w:szCs w:val="24"/>
        </w:rPr>
        <w:t xml:space="preserve">Завершено строительство канализационного коллектора (1,5 млн. сомов), завершается строительство подъездных дорог и ведется строительство котельной и трансформационных подстанций для вновь построенных многоэтажных домов в мкр. «Анар».</w:t>
      </w:r>
    </w:p>
    <w:p>
      <w:pPr>
        <w:spacing w:after="120"/>
        <w:jc w:val="both"/>
      </w:pPr>
      <w:r>
        <w:rPr>
          <w:rFonts w:ascii="Arial" w:cs="Arial" w:eastAsia="Arial" w:hAnsi="Arial"/>
          <w:sz w:val="24"/>
          <w:szCs w:val="24"/>
        </w:rPr>
        <w:t xml:space="preserve">В г. Узген начато строительство объездной дороги, общей протяженностью 16 км.</w:t>
      </w:r>
    </w:p>
    <w:p>
      <w:pPr>
        <w:spacing w:after="120"/>
        <w:jc w:val="both"/>
      </w:pPr>
      <w:r>
        <w:rPr>
          <w:rFonts w:ascii="Arial" w:cs="Arial" w:eastAsia="Arial" w:hAnsi="Arial"/>
          <w:sz w:val="24"/>
          <w:szCs w:val="24"/>
        </w:rPr>
        <w:t xml:space="preserve">В настоящее время ведутся работы по освоению Каттасайского и Ачинского земельных массивов под многоэтажное и индивидуальное жилищное строительство на территории Кара-Суйского и Араванского районов Ошской области. Общая площадь для индивидуального жилищного строительства составляет 3667 га, в том числе Катта-Сайский массив - 1624 га, Ачинский массив - 2043 га. Кроме того, на территории Кызыл-Кыштакского а/а выделено 91 га. По 1 этапу предусмотрено освоение 500 га земель Катта-Сайского массива, с выделением 4170 участков по 6 соток. На освоение первого этапа необходимо 1443,1 млн. сомов, а для освоения всего массива потребуется порядка 3,5 млрд. сомов.</w:t>
      </w:r>
    </w:p>
    <w:p>
      <w:pPr>
        <w:spacing w:after="120"/>
        <w:jc w:val="both"/>
      </w:pPr>
      <w:r>
        <w:rPr>
          <w:rFonts w:ascii="Arial" w:cs="Arial" w:eastAsia="Arial" w:hAnsi="Arial"/>
          <w:sz w:val="24"/>
          <w:szCs w:val="24"/>
        </w:rPr>
        <w:t xml:space="preserve">По первому этапу освоения средств по массивам выполнены ремонтно-восстановительные работы временной подъездной дороги, протяженностью 4,1 км, ремонт здания и пуско-наладочные работы электросилового оборудования насосной станции массива, строительство электролинии ВЛ 10/0,38, строительство водовыпусков, гравировка автомобильной дороги и улиц внутри жилмассива, строительство сбросного сооружения «Катастрофический сброс на ПК 19+15» канала МК-1.</w:t>
      </w:r>
    </w:p>
    <w:p>
      <w:pPr>
        <w:spacing w:after="120"/>
        <w:jc w:val="both"/>
      </w:pPr>
      <w:r>
        <w:rPr>
          <w:rFonts w:ascii="Arial" w:cs="Arial" w:eastAsia="Arial" w:hAnsi="Arial"/>
          <w:sz w:val="24"/>
          <w:szCs w:val="24"/>
        </w:rPr>
        <w:t xml:space="preserve">Освоение средств по массивам составило 60,3 млн. сомов, в том числе:</w:t>
      </w:r>
    </w:p>
    <w:p>
      <w:pPr>
        <w:spacing w:after="120"/>
        <w:jc w:val="both"/>
      </w:pPr>
      <w:r>
        <w:rPr>
          <w:rFonts w:ascii="Arial" w:cs="Arial" w:eastAsia="Arial" w:hAnsi="Arial"/>
          <w:sz w:val="24"/>
          <w:szCs w:val="24"/>
        </w:rPr>
        <w:t xml:space="preserve">- строительно-монтажные работы - 41,6 млн. сомов;</w:t>
      </w:r>
    </w:p>
    <w:p>
      <w:pPr>
        <w:spacing w:after="120"/>
        <w:jc w:val="both"/>
      </w:pPr>
      <w:r>
        <w:rPr>
          <w:rFonts w:ascii="Arial" w:cs="Arial" w:eastAsia="Arial" w:hAnsi="Arial"/>
          <w:sz w:val="24"/>
          <w:szCs w:val="24"/>
        </w:rPr>
        <w:t xml:space="preserve">- проектно-изыскательские работы - 18,7 млн. сомов.</w:t>
      </w:r>
    </w:p>
    <w:p>
      <w:pPr>
        <w:spacing w:after="120"/>
        <w:jc w:val="both"/>
      </w:pPr>
      <w:r>
        <w:rPr>
          <w:rFonts w:ascii="Arial" w:cs="Arial" w:eastAsia="Arial" w:hAnsi="Arial"/>
          <w:sz w:val="24"/>
          <w:szCs w:val="24"/>
        </w:rPr>
        <w:t xml:space="preserve">Межведомственной комиссией уточняются списки граждан, претендующих на получение земельных участков под индивидуальное строительство, в настоящее время утвержден список на 10135 человек.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Информация об ипотечном кредитовании на строительство жилья</w:t>
      </w:r>
    </w:p>
    <w:p>
      <w:pPr>
        <w:spacing w:after="120"/>
        <w:jc w:val="both"/>
      </w:pPr>
      <w:r>
        <w:rPr>
          <w:rFonts w:ascii="Arial" w:cs="Arial" w:eastAsia="Arial" w:hAnsi="Arial"/>
          <w:sz w:val="24"/>
          <w:szCs w:val="24"/>
        </w:rPr>
        <w:t xml:space="preserve">Правительство для развития жилищного строительства запускает программу «Доступное жилье», на реализацию которой предусматриваются средства в размере более 2 млрд. сомов. Средства на финансирование данной программы будут сформированы за счет управления активами Кыргызской Республики в компании «Центерра Голд Инк» и иных источников.</w:t>
      </w:r>
    </w:p>
    <w:p>
      <w:pPr>
        <w:spacing w:after="120"/>
        <w:jc w:val="both"/>
      </w:pPr>
      <w:r>
        <w:rPr>
          <w:rFonts w:ascii="Arial" w:cs="Arial" w:eastAsia="Arial" w:hAnsi="Arial"/>
          <w:sz w:val="24"/>
          <w:szCs w:val="24"/>
        </w:rPr>
        <w:t xml:space="preserve">Основными принципами и подходами программы «Доступное жилье» будут:</w:t>
      </w:r>
    </w:p>
    <w:p>
      <w:pPr>
        <w:spacing w:after="120"/>
        <w:jc w:val="both"/>
      </w:pPr>
      <w:r>
        <w:rPr>
          <w:rFonts w:ascii="Arial" w:cs="Arial" w:eastAsia="Arial" w:hAnsi="Arial"/>
          <w:sz w:val="24"/>
          <w:szCs w:val="24"/>
        </w:rPr>
        <w:t xml:space="preserve">- строительство жилья по доступным ценам;</w:t>
      </w:r>
    </w:p>
    <w:p>
      <w:pPr>
        <w:spacing w:after="120"/>
        <w:jc w:val="both"/>
      </w:pPr>
      <w:r>
        <w:rPr>
          <w:rFonts w:ascii="Arial" w:cs="Arial" w:eastAsia="Arial" w:hAnsi="Arial"/>
          <w:sz w:val="24"/>
          <w:szCs w:val="24"/>
        </w:rPr>
        <w:t xml:space="preserve">- внедрение механизмов ипотечного кредитования по низким процентным ставкам на выгодных для населения условиях;</w:t>
      </w:r>
    </w:p>
    <w:p>
      <w:pPr>
        <w:spacing w:after="120"/>
        <w:jc w:val="both"/>
      </w:pPr>
      <w:r>
        <w:rPr>
          <w:rFonts w:ascii="Arial" w:cs="Arial" w:eastAsia="Arial" w:hAnsi="Arial"/>
          <w:sz w:val="24"/>
          <w:szCs w:val="24"/>
        </w:rPr>
        <w:t xml:space="preserve">- акцентирование на граждан, не имеющих в собственности жилой площади;</w:t>
      </w:r>
    </w:p>
    <w:p>
      <w:pPr>
        <w:spacing w:after="120"/>
        <w:jc w:val="both"/>
      </w:pPr>
      <w:r>
        <w:rPr>
          <w:rFonts w:ascii="Arial" w:cs="Arial" w:eastAsia="Arial" w:hAnsi="Arial"/>
          <w:sz w:val="24"/>
          <w:szCs w:val="24"/>
        </w:rPr>
        <w:t xml:space="preserve">- применение современных строительных технологий.</w:t>
      </w:r>
    </w:p>
    <w:p>
      <w:pPr>
        <w:spacing w:after="120"/>
        <w:jc w:val="both"/>
      </w:pPr>
      <w:r>
        <w:rPr>
          <w:rFonts w:ascii="Arial" w:cs="Arial" w:eastAsia="Arial" w:hAnsi="Arial"/>
          <w:sz w:val="24"/>
          <w:szCs w:val="24"/>
        </w:rPr>
        <w:t xml:space="preserve">Условия предоставления социальных ипотечных займов, в части определения процентных ставок будут устанавливаться без учета текущего уровня инфляции. В связи с чем жилье может предоставляться без процентных ставок (опыт мэрии г. Бишкек) или по ставке от 3-х до 9 %, включающей затраты и риски банков и государственной ипотечной компании, а также с дифференцированным размером первоначального взноса в пределах 0 - 30 % от стоимости жилья в зависимости от категорий, платежеспособности и накопленных сбережений заемщика.</w:t>
      </w:r>
    </w:p>
    <w:p>
      <w:pPr>
        <w:spacing w:after="120"/>
        <w:jc w:val="both"/>
      </w:pPr>
      <w:r>
        <w:rPr>
          <w:rFonts w:ascii="Arial" w:cs="Arial" w:eastAsia="Arial" w:hAnsi="Arial"/>
          <w:sz w:val="24"/>
          <w:szCs w:val="24"/>
        </w:rPr>
        <w:t xml:space="preserve">Прогнозируемая стоимость квадратного метра возводимого жилья будет находиться в пределах от 450 до 500 долларов США.</w:t>
      </w:r>
    </w:p>
    <w:p>
      <w:pPr>
        <w:spacing w:after="120"/>
        <w:jc w:val="both"/>
      </w:pPr>
      <w:r>
        <w:rPr>
          <w:rFonts w:ascii="Arial" w:cs="Arial" w:eastAsia="Arial" w:hAnsi="Arial"/>
          <w:sz w:val="24"/>
          <w:szCs w:val="24"/>
        </w:rPr>
        <w:t xml:space="preserve">В настоящее время рассматривается конкретный проект по застройке целого микрорайона вблизи Южной магистрали города Бишкек. Исходя из объемов финансирования средств, а также привлечения средств граждан по долевому участию, по предварительным расчетам экспертов, требуется отвод земельного участка площадью не менее 36,0 га с учетом строительства школы, детского сада, торгового центра и других строений. При этом, под возведение жилых домов будет предусмотрена площадь земли в 30,0 га.</w:t>
      </w:r>
    </w:p>
    <w:p>
      <w:pPr>
        <w:spacing w:after="120"/>
        <w:jc w:val="both"/>
      </w:pPr>
      <w:r>
        <w:rPr>
          <w:rFonts w:ascii="Arial" w:cs="Arial" w:eastAsia="Arial" w:hAnsi="Arial"/>
          <w:sz w:val="24"/>
          <w:szCs w:val="24"/>
        </w:rPr>
        <w:t xml:space="preserve">По оценкам специалистов, при максимальном использовании мощностей, имеющихся в республике, и технологическом оснащении, застройка данной территории по срокам составит от 5 до 7 лет с учетом своевременного финансирования.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Сфера услуг</w:t>
      </w:r>
    </w:p>
    <w:p>
      <w:pPr>
        <w:spacing w:after="120"/>
        <w:jc w:val="both"/>
      </w:pPr>
      <w:r>
        <w:rPr>
          <w:rFonts w:ascii="Arial" w:cs="Arial" w:eastAsia="Arial" w:hAnsi="Arial"/>
          <w:sz w:val="24"/>
          <w:szCs w:val="24"/>
        </w:rPr>
        <w:t xml:space="preserve">Валовой выпуск сферы услуг сложился в объеме 223,0 млрд. сомов, с темпом роста 105,6 %, не достигнув прогнозируемого показателя на 1,1 п.п. (106,7 %). Рост в данном секторе обеспечен ростом оказания услуг в торговле (на 6,8 %), услуг гостиниц и ресторанов (на 9,2 %), в сфере предоставления услуг транспорта и связи (на 9,9 %).</w:t>
      </w:r>
    </w:p>
    <w:p>
      <w:pPr>
        <w:spacing w:after="120"/>
        <w:jc w:val="both"/>
      </w:pPr>
      <w:r>
        <w:rPr>
          <w:rFonts w:ascii="Arial" w:cs="Arial" w:eastAsia="Arial" w:hAnsi="Arial"/>
          <w:sz w:val="24"/>
          <w:szCs w:val="24"/>
        </w:rPr>
        <w:t xml:space="preserve">Влияние сферы услуг на темпы экономического роста было положительным, и вклад в формирование ВВП составил 2,4 %, удельный вес которого в структуре производства ВВП - 44,9 %.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сферы услуг (млн. сомов)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87"/>
        <w:gridCol w:w="1250"/>
        <w:gridCol w:w="1492"/>
        <w:gridCol w:w="1356"/>
        <w:gridCol w:w="1492"/>
        <w:gridCol w:w="1600"/>
      </w:tblGrid>
      <w:tr>
        <w:tc>
          <w:tcPr>
            <w:tcW w:type="dxa" w:w="298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125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 г., Факт</w:t>
            </w:r>
          </w:p>
        </w:tc>
        <w:tc>
          <w:tcPr>
            <w:tcW w:type="dxa" w:w="14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 предв. факт</w:t>
            </w:r>
          </w:p>
        </w:tc>
        <w:tc>
          <w:tcPr>
            <w:tcW w:type="dxa" w:w="135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 прогноз</w:t>
            </w:r>
          </w:p>
        </w:tc>
        <w:tc>
          <w:tcPr>
            <w:tcW w:type="dxa" w:w="14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 от факта 2010 г.</w:t>
            </w:r>
          </w:p>
        </w:tc>
        <w:tc>
          <w:tcPr>
            <w:tcW w:type="dxa" w:w="16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 (+-) от прогноза</w:t>
            </w:r>
          </w:p>
        </w:tc>
      </w:tr>
      <w:tr>
        <w:tc>
          <w:tcPr>
            <w:tcW w:type="dxa" w:w="298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Услуги:</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186473,0</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223048,5</w:t>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216339,9</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36575,5</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6708,6</w:t>
            </w:r>
          </w:p>
        </w:tc>
      </w:tr>
      <w:tr>
        <w:tc>
          <w:tcPr>
            <w:tcW w:type="dxa" w:w="29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темп роста, %</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298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Торговля, ремонт автомобилей, бытовых изделий:</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57621,2</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71775,0</w:t>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74200,1</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14153,8</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-2425,1</w:t>
            </w:r>
          </w:p>
        </w:tc>
      </w:tr>
      <w:tr>
        <w:tc>
          <w:tcPr>
            <w:tcW w:type="dxa" w:w="29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темп роста, %</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94,5</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298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Услуги гостиниц и ресторанов:</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7791,5</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10137,7</w:t>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9663,7</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2346,2</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474</w:t>
            </w:r>
          </w:p>
        </w:tc>
      </w:tr>
      <w:tr>
        <w:tc>
          <w:tcPr>
            <w:tcW w:type="dxa" w:w="29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темп роста, %</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92,7</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298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Транспорт:</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22427,2</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27642,2</w:t>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28348,7</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5215</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-706,5</w:t>
            </w:r>
          </w:p>
        </w:tc>
      </w:tr>
      <w:tr>
        <w:tc>
          <w:tcPr>
            <w:tcW w:type="dxa" w:w="29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темп роста, %</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r>
      <w:tr>
        <w:tc>
          <w:tcPr>
            <w:tcW w:type="dxa" w:w="298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Связь:</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17624,8</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19889,2</w:t>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20124,9</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2264,4</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-235,7</w:t>
            </w:r>
          </w:p>
        </w:tc>
      </w:tr>
      <w:tr>
        <w:tc>
          <w:tcPr>
            <w:tcW w:type="dxa" w:w="29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темп роста, %</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w:t>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117,3</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Удельный вес рыночных услуг в структуре сферы услуг составляет 74,7 %, валовой выпуск за 2011 год сложился в объеме 112,9 млрд. сомов, темп реального роста составил 106,5 %. Удельный вес нерыночных услуг составляет 25,3 %. При этом темп реального роста нерыночных услуг увеличился на 2,9 %.</w:t>
      </w:r>
    </w:p>
    <w:p>
      <w:pPr>
        <w:spacing w:after="120"/>
        <w:jc w:val="both"/>
      </w:pPr>
      <w:r>
        <w:rPr>
          <w:rFonts w:ascii="Arial" w:cs="Arial" w:eastAsia="Arial" w:hAnsi="Arial"/>
          <w:sz w:val="24"/>
          <w:szCs w:val="24"/>
        </w:rPr>
        <w:t xml:space="preserve">Положительный вклад в рост сферы услуг на 2,2 п.п. обеспечен со стороны торговли, ремонта автомобилей, бытовых изделий и предметов личного пользования, и где темп реального роста в 2011 году составил 106,8 % и превысил прогнозный показатель на 0,2 п.п.</w:t>
      </w:r>
    </w:p>
    <w:p>
      <w:pPr>
        <w:spacing w:after="120"/>
        <w:jc w:val="both"/>
      </w:pPr>
      <w:r>
        <w:rPr>
          <w:rFonts w:ascii="Arial" w:cs="Arial" w:eastAsia="Arial" w:hAnsi="Arial"/>
          <w:sz w:val="24"/>
          <w:szCs w:val="24"/>
        </w:rPr>
        <w:t xml:space="preserve">Оборот торговли, ремонта автомобилей, бытовых изделий и предметов личного пользования за 2011 год составил 245,2 млрд. сомов, темп реального роста, по сравнению с аналогичным периодом 2010 года, составил 106,7 % (за 2010 год темп роста - 95,1 %). Наибольший вклад в рост оборота торговли оказала розничная торговля моторным топливом, вклад которой оценивается в 3,0 п.п. Розничная и оптовая торговля, доля которой превышает 85 %, оказали кумулятивный вклад в рост оборота торговли на 2,2 п.п. Рост объема розничного товарооборота и рыночных услуг обеспечен, в основном, за счет улучшения инфраструктуры торговли, налоговых преференций для субъектов предпринимательства (облегчение и упрощение налогообложения швейной и текстильной отраслей, освобождение от НДС специализированных товаров для строительства и т.д.), упрощения ведения бизнеса через сокращение проверок, количества лицензий и других мер государственного регулирования, в целях снижения коррупции и теневой экономики, увеличения деловой активности населения и улучшения качества обслуживания.</w:t>
      </w:r>
    </w:p>
    <w:p>
      <w:pPr>
        <w:spacing w:after="120"/>
        <w:jc w:val="both"/>
      </w:pPr>
      <w:r>
        <w:rPr>
          <w:rFonts w:ascii="Arial" w:cs="Arial" w:eastAsia="Arial" w:hAnsi="Arial"/>
          <w:sz w:val="24"/>
          <w:szCs w:val="24"/>
        </w:rPr>
        <w:t xml:space="preserve">Росту товарооборота также способствовал рост продаж строительных материалов (лесоматериалов, цемента, стекла, строительного кирпича).</w:t>
      </w:r>
    </w:p>
    <w:p>
      <w:pPr>
        <w:spacing w:after="120"/>
        <w:jc w:val="both"/>
      </w:pPr>
      <w:r>
        <w:rPr>
          <w:rFonts w:ascii="Arial" w:cs="Arial" w:eastAsia="Arial" w:hAnsi="Arial"/>
          <w:sz w:val="24"/>
          <w:szCs w:val="24"/>
        </w:rPr>
        <w:t xml:space="preserve">Вклад услуг транспорта и связи за 2011 год в сферу услуг составил 2,2 п.п., прогнозируемый вклад составлял 3,2 п.п.</w:t>
      </w:r>
    </w:p>
    <w:p>
      <w:pPr>
        <w:spacing w:after="120"/>
        <w:jc w:val="both"/>
      </w:pPr>
      <w:r>
        <w:rPr>
          <w:rFonts w:ascii="Arial" w:cs="Arial" w:eastAsia="Arial" w:hAnsi="Arial"/>
          <w:sz w:val="24"/>
          <w:szCs w:val="24"/>
        </w:rPr>
        <w:t xml:space="preserve">Уменьшение вклада услуг транспорта и связи обусловлено за счет транспорта, вклад которого составил 1,1 п.п. За январь - декабрь т.г. валовой выпуск услуг транспорта сложился в объеме 27,6 млрд. сомов, темп реального роста составил 108,6 %. В сравнении с 2010 годом темп роста ускорился на 1,6 п.п., но не достиг прогнозных показателей на 3,7 п.п. Пассажирооборот за истекший период увеличился на 9,0 %. Грузооборот увеличился по сравнению с 2010 годом на 8,2 %. При этом, рост грузооборота наблюдался по всем видам транспорта: по железнодорожному транспорту грузооборот увеличился на 8,1 %, воздушному - в 1,5 раза.</w:t>
      </w:r>
    </w:p>
    <w:p>
      <w:pPr>
        <w:spacing w:after="120"/>
        <w:jc w:val="both"/>
      </w:pPr>
      <w:r>
        <w:rPr>
          <w:rFonts w:ascii="Arial" w:cs="Arial" w:eastAsia="Arial" w:hAnsi="Arial"/>
          <w:sz w:val="24"/>
          <w:szCs w:val="24"/>
        </w:rPr>
        <w:t xml:space="preserve">За 2011 год темп роста услуг связи увеличился на 11,4 %, по сравнению с 2010 годом темп роста вырос на 7,4 п.п., вклад составил 1,1 п.п. в сферу услуг. Увеличение объясняется расширением услуг сотовой связи, доступа к Интернету, внедрением цифрового телевещания; расширением ресурсной базы банковской системы и небанковских финансово-кредитных учреждений.</w:t>
      </w:r>
    </w:p>
    <w:p>
      <w:pPr>
        <w:spacing w:after="120"/>
        <w:jc w:val="both"/>
      </w:pPr>
      <w:r>
        <w:rPr>
          <w:rFonts w:ascii="Arial" w:cs="Arial" w:eastAsia="Arial" w:hAnsi="Arial"/>
          <w:sz w:val="24"/>
          <w:szCs w:val="24"/>
        </w:rPr>
        <w:t xml:space="preserve">Валовой выпуск услуг гостиниц и ресторанов сложился в объеме 10,1 млрд. сомов, темп реального роста составил 109,2 %. За декабрь 2011 года, по сравнению с декабрем 2010 года, темп роста услуг гостиниц и ресторанов составил 111,5 %, при этом гостиниц - 102,9 %, ресторанов - 112,6 %. Основными факторами увеличения услуг гостиниц и ресторанов является увеличение сети предоставляемых услуг и притока туристов в страну.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Исполнение государственного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предварительным данным Центрального казначейства, общий объем доходов государственного бюджета за 2011 год составил 77 344,4 млн. сомов или 100,0 % от установленного планового задания. Доля общих доходов государственного бюджета за отчетный период составила 28,3 % к ВВП. Сумма перевыполнения плана составила 28,7 млн. сомов. При этом, в сравнении с уровнем прошлого года, общие доходы бюджета возросли на 34,8 %, или на 19 959,4 млн. сомов.</w:t>
      </w:r>
    </w:p>
    <w:p>
      <w:pPr>
        <w:spacing w:after="120"/>
        <w:jc w:val="both"/>
      </w:pPr>
      <w:r>
        <w:rPr>
          <w:rFonts w:ascii="Arial" w:cs="Arial" w:eastAsia="Arial" w:hAnsi="Arial"/>
          <w:sz w:val="24"/>
          <w:szCs w:val="24"/>
        </w:rPr>
        <w:t xml:space="preserve">Объем налоговых поступлений в государственный бюджет сложился в размере 53 017,4 млн. сомов, что составляет 101,5 % от намеченного планового значения. По отношению к соответствующему периоду прошлого года налоговые доходы выросли на 13 654,6 млн. сомов или на 34,7 %.</w:t>
      </w:r>
    </w:p>
    <w:p>
      <w:pPr>
        <w:spacing w:after="120"/>
        <w:jc w:val="both"/>
      </w:pPr>
      <w:r>
        <w:rPr>
          <w:rFonts w:ascii="Arial" w:cs="Arial" w:eastAsia="Arial" w:hAnsi="Arial"/>
          <w:sz w:val="24"/>
          <w:szCs w:val="24"/>
        </w:rPr>
        <w:t xml:space="preserve">В том числе, Государственной налоговой службой при Правительстве Кыргызской Республики собрано налогов и платежей в сумме 29 342,6 млн. сомов, плановый показатель выполнен на 100,2 %. При этом, без учета ЗАО «Кумтор», налоговые доходы составили 23 276,1 млн. сом или 98,8 % к плану.</w:t>
      </w:r>
    </w:p>
    <w:p>
      <w:pPr>
        <w:spacing w:after="120"/>
        <w:jc w:val="both"/>
      </w:pPr>
      <w:r>
        <w:rPr>
          <w:rFonts w:ascii="Arial" w:cs="Arial" w:eastAsia="Arial" w:hAnsi="Arial"/>
          <w:sz w:val="24"/>
          <w:szCs w:val="24"/>
        </w:rPr>
        <w:t xml:space="preserve">Государственной таможенной службой при Правительстве Кыргызской Республики обеспечено поступление таможенных сборов и платежей в государственный бюджет в сумме 23 674,8 млн. сомов, или 103,3 % от плана. По отношению к аналогичному периоду прошлого года поступления доходов в денежном выражении возросли на 7 788,6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доходов государственного бюджета (млн. сомов)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53"/>
        <w:gridCol w:w="1589"/>
        <w:gridCol w:w="1589"/>
        <w:gridCol w:w="1054"/>
        <w:gridCol w:w="1677"/>
        <w:gridCol w:w="1915"/>
      </w:tblGrid>
      <w:tr>
        <w:tc>
          <w:tcPr>
            <w:tcW w:type="dxa" w:w="235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 декабрь 2010 г., факт</w:t>
            </w:r>
          </w:p>
        </w:tc>
        <w:tc>
          <w:tcPr>
            <w:tcW w:type="dxa" w:w="15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 декабрь 2011 г., факт</w:t>
            </w:r>
          </w:p>
        </w:tc>
        <w:tc>
          <w:tcPr>
            <w:tcW w:type="dxa" w:w="10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6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 декабрь 2011 г., прогноз</w:t>
            </w:r>
          </w:p>
        </w:tc>
        <w:tc>
          <w:tcPr>
            <w:tcW w:type="dxa" w:w="19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 выполнения, (%)</w:t>
            </w:r>
          </w:p>
        </w:tc>
      </w:tr>
      <w:tr>
        <w:tc>
          <w:tcPr>
            <w:tcW w:type="dxa" w:w="23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Налоговые поступления</w:t>
            </w:r>
          </w:p>
        </w:tc>
        <w:tc>
          <w:tcPr>
            <w:tcW w:type="dxa" w:w="1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39362,7</w:t>
            </w:r>
          </w:p>
        </w:tc>
        <w:tc>
          <w:tcPr>
            <w:tcW w:type="dxa" w:w="1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53 017,4</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134,7</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52 216,9</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w:t>
            </w:r>
          </w:p>
        </w:tc>
      </w:tr>
      <w:tr>
        <w:tc>
          <w:tcPr>
            <w:tcW w:type="dxa" w:w="2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ГНС</w:t>
            </w:r>
          </w:p>
        </w:tc>
        <w:tc>
          <w:tcPr>
            <w:tcW w:type="dxa" w:w="1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23 476,5</w:t>
            </w:r>
          </w:p>
        </w:tc>
        <w:tc>
          <w:tcPr>
            <w:tcW w:type="dxa" w:w="1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29 342,6</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29 294,4</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r>
      <w:tr>
        <w:tc>
          <w:tcPr>
            <w:tcW w:type="dxa" w:w="2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15886,2</w:t>
            </w:r>
          </w:p>
        </w:tc>
        <w:tc>
          <w:tcPr>
            <w:tcW w:type="dxa" w:w="1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23 674,8</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22922,5</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r>
      <w:tr>
        <w:tc>
          <w:tcPr>
            <w:tcW w:type="dxa" w:w="23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Неналоговые поступления</w:t>
            </w:r>
          </w:p>
        </w:tc>
        <w:tc>
          <w:tcPr>
            <w:tcW w:type="dxa" w:w="1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11000,2</w:t>
            </w:r>
          </w:p>
        </w:tc>
        <w:tc>
          <w:tcPr>
            <w:tcW w:type="dxa" w:w="1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15 654,8</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142,3</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15446,1</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r>
      <w:tr>
        <w:tc>
          <w:tcPr>
            <w:tcW w:type="dxa" w:w="23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Полученные официальные трансферты</w:t>
            </w:r>
          </w:p>
        </w:tc>
        <w:tc>
          <w:tcPr>
            <w:tcW w:type="dxa" w:w="1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7022,1</w:t>
            </w:r>
          </w:p>
        </w:tc>
        <w:tc>
          <w:tcPr>
            <w:tcW w:type="dxa" w:w="1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8 672,3</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123,5</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9652,6</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89,8</w:t>
            </w:r>
          </w:p>
        </w:tc>
      </w:tr>
      <w:tr>
        <w:tc>
          <w:tcPr>
            <w:tcW w:type="dxa" w:w="2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57385,0</w:t>
            </w:r>
          </w:p>
        </w:tc>
        <w:tc>
          <w:tcPr>
            <w:tcW w:type="dxa" w:w="1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77 344,4</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134,8</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77 315,7</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Неналоговые поступления государственного бюджета за рассматриваемый период составили 15 654,8 млн. сомов или 101,4 % от плана. Темп роста к прошлому году составил 142,3 %, или поступления увеличились на 4 654,5 млн. сомов. Данный рост связан, в основном, с увеличением поступлений прибыли Национального банка Кыргызской Республики, специальных средств бюджетных учреждений, дивидендов, начисленных на государственный пакет акций.</w:t>
      </w:r>
    </w:p>
    <w:p>
      <w:pPr>
        <w:spacing w:after="120"/>
        <w:jc w:val="both"/>
      </w:pPr>
      <w:r>
        <w:rPr>
          <w:rFonts w:ascii="Arial" w:cs="Arial" w:eastAsia="Arial" w:hAnsi="Arial"/>
          <w:sz w:val="24"/>
          <w:szCs w:val="24"/>
        </w:rPr>
        <w:t xml:space="preserve">Поступления полученных официальных грантов составили 8 672,3 млн. сомов или 89,8 % от плана, в бюджет недопоступило 980,3 млн. сомов, в основном, в связи с недопоступлением грантов ПГИ. По сравнению с прошлым годом поступления полученных грантов увеличились на 23,5 % или на 1 650,2 млн. сомов.</w:t>
      </w:r>
    </w:p>
    <w:p>
      <w:pPr>
        <w:spacing w:after="120"/>
        <w:jc w:val="both"/>
      </w:pPr>
      <w:r>
        <w:rPr>
          <w:rFonts w:ascii="Arial" w:cs="Arial" w:eastAsia="Arial" w:hAnsi="Arial"/>
          <w:sz w:val="24"/>
          <w:szCs w:val="24"/>
        </w:rPr>
        <w:t xml:space="preserve">За 2011 год расходная часть республиканского бюджета (без специальных средств и с учетом государственного долга) исполнена в сумме 75 305,6 млн. сомов, или на 98,8 % от плана. В сравнении с аналогичным периодом прошлого года общие расходы увеличились на 18 050,7 млн. сомов, или на 31,5 %.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5</w:t>
      </w:r>
    </w:p>
    <w:p>
      <w:pPr>
        <w:spacing w:after="120"/>
        <w:jc w:val="both"/>
      </w:pPr>
      <w:r>
        <w:rPr>
          <w:rFonts w:ascii="Arial" w:cs="Arial" w:eastAsia="Arial" w:hAnsi="Arial"/>
          <w:sz w:val="24"/>
          <w:szCs w:val="24"/>
        </w:rPr>
        <w:t xml:space="preserve">Расходы республиканского бюджета (млн. сомов)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68"/>
        <w:gridCol w:w="1492"/>
        <w:gridCol w:w="1492"/>
        <w:gridCol w:w="1008"/>
        <w:gridCol w:w="1565"/>
        <w:gridCol w:w="1852"/>
      </w:tblGrid>
      <w:tr>
        <w:tc>
          <w:tcPr>
            <w:tcW w:type="dxa" w:w="276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статей</w:t>
            </w:r>
          </w:p>
        </w:tc>
        <w:tc>
          <w:tcPr>
            <w:tcW w:type="dxa" w:w="14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-декабрь 2010 г., факт</w:t>
            </w:r>
          </w:p>
        </w:tc>
        <w:tc>
          <w:tcPr>
            <w:tcW w:type="dxa" w:w="14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-декабрь 2011 г., факт</w:t>
            </w:r>
          </w:p>
        </w:tc>
        <w:tc>
          <w:tcPr>
            <w:tcW w:type="dxa" w:w="10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5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-декабрь 2011 г., прогноз</w:t>
            </w:r>
          </w:p>
        </w:tc>
        <w:tc>
          <w:tcPr>
            <w:tcW w:type="dxa" w:w="185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 выполнения, (%)</w:t>
            </w:r>
          </w:p>
        </w:tc>
      </w:tr>
      <w:tr>
        <w:tc>
          <w:tcPr>
            <w:tcW w:type="dxa" w:w="2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57 254,9</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75 305,6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131,5</w:t>
            </w:r>
          </w:p>
        </w:tc>
        <w:tc>
          <w:tcPr>
            <w:tcW w:type="dxa" w:w="1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76 194,1</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98,8</w:t>
            </w:r>
          </w:p>
        </w:tc>
      </w:tr>
      <w:tr>
        <w:tc>
          <w:tcPr>
            <w:tcW w:type="dxa" w:w="2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Заработная плата</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9 681,0</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12 429,0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128,4</w:t>
            </w:r>
          </w:p>
        </w:tc>
        <w:tc>
          <w:tcPr>
            <w:tcW w:type="dxa" w:w="1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12 511,0</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99,3</w:t>
            </w:r>
          </w:p>
        </w:tc>
      </w:tr>
      <w:tr>
        <w:tc>
          <w:tcPr>
            <w:tcW w:type="dxa" w:w="276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Взносы в Социальный фонд</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1 019,3</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1313,1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128,8</w:t>
            </w:r>
          </w:p>
        </w:tc>
        <w:tc>
          <w:tcPr>
            <w:tcW w:type="dxa" w:w="1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1 324,7</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w:t>
            </w:r>
          </w:p>
        </w:tc>
      </w:tr>
      <w:tr>
        <w:tc>
          <w:tcPr>
            <w:tcW w:type="dxa" w:w="276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Приобретение медикаментов</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413,0</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1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425,8</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99,9</w:t>
            </w:r>
          </w:p>
        </w:tc>
      </w:tr>
      <w:tr>
        <w:tc>
          <w:tcPr>
            <w:tcW w:type="dxa" w:w="2768"/>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Пособия по социальному</w:t>
            </w:r>
          </w:p>
          <w:p>
            <w:pPr>
              <w:jc w:val="left"/>
            </w:pPr>
            <w:r>
              <w:rPr>
                <w:rFonts w:ascii="Arial" w:cs="Arial" w:eastAsia="Arial" w:hAnsi="Arial"/>
                <w:sz w:val="24"/>
                <w:szCs w:val="24"/>
              </w:rPr>
              <w:t xml:space="preserve">обеспечению</w:t>
            </w:r>
          </w:p>
        </w:tc>
        <w:tc>
          <w:tcPr>
            <w:tcW w:type="dxa" w:w="14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5 921,4</w:t>
            </w:r>
          </w:p>
        </w:tc>
        <w:tc>
          <w:tcPr>
            <w:tcW w:type="dxa" w:w="14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8 021,6</w:t>
            </w:r>
          </w:p>
        </w:tc>
        <w:tc>
          <w:tcPr>
            <w:tcW w:type="dxa" w:w="100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135,5</w:t>
            </w:r>
          </w:p>
        </w:tc>
        <w:tc>
          <w:tcPr>
            <w:tcW w:type="dxa" w:w="1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8 021,8</w:t>
            </w:r>
          </w:p>
        </w:tc>
        <w:tc>
          <w:tcPr>
            <w:tcW w:type="dxa" w:w="18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w:t>
            </w:r>
          </w:p>
        </w:tc>
      </w:tr>
      <w:tr>
        <w:tc>
          <w:tcPr>
            <w:tcW w:type="dxa" w:w="276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социальной помощи населению</w:t>
            </w:r>
          </w:p>
        </w:tc>
        <w:tc>
          <w:tcPr>
            <w:tcW w:type="dxa" w:w="14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4 496,7</w:t>
            </w:r>
          </w:p>
        </w:tc>
        <w:tc>
          <w:tcPr>
            <w:tcW w:type="dxa" w:w="14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5 574,5</w:t>
            </w:r>
          </w:p>
        </w:tc>
        <w:tc>
          <w:tcPr>
            <w:tcW w:type="dxa" w:w="10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124,0</w:t>
            </w:r>
          </w:p>
        </w:tc>
        <w:tc>
          <w:tcPr>
            <w:tcW w:type="dxa" w:w="15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5 589,0</w:t>
            </w:r>
          </w:p>
        </w:tc>
        <w:tc>
          <w:tcPr>
            <w:tcW w:type="dxa" w:w="185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99,7</w:t>
            </w:r>
          </w:p>
        </w:tc>
      </w:tr>
      <w:tr>
        <w:tc>
          <w:tcPr>
            <w:tcW w:type="dxa" w:w="276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Текущие гранты международных органов</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139,7</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143,0</w:t>
            </w:r>
          </w:p>
        </w:tc>
        <w:tc>
          <w:tcPr>
            <w:tcW w:type="dxa" w:w="1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200,1</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99,9</w:t>
            </w:r>
          </w:p>
        </w:tc>
      </w:tr>
      <w:tr>
        <w:tc>
          <w:tcPr>
            <w:tcW w:type="dxa" w:w="276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Текущие гранты других единиц госуправления</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7 574,2</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13 286,3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175,4</w:t>
            </w:r>
          </w:p>
        </w:tc>
        <w:tc>
          <w:tcPr>
            <w:tcW w:type="dxa" w:w="1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13 369,8</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99,4</w:t>
            </w:r>
          </w:p>
        </w:tc>
      </w:tr>
      <w:tr>
        <w:tc>
          <w:tcPr>
            <w:tcW w:type="dxa" w:w="276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Всего по защищенным статьям</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35 856,6</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50 830,7</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141,8</w:t>
            </w:r>
          </w:p>
        </w:tc>
        <w:tc>
          <w:tcPr>
            <w:tcW w:type="dxa" w:w="1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51 078,7</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w:t>
            </w:r>
          </w:p>
        </w:tc>
      </w:tr>
      <w:tr>
        <w:tc>
          <w:tcPr>
            <w:tcW w:type="dxa" w:w="276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Субсидии нефинансовым госпредприятиям</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1 153,8</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1 343,5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116,4</w:t>
            </w:r>
          </w:p>
        </w:tc>
        <w:tc>
          <w:tcPr>
            <w:tcW w:type="dxa" w:w="1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1 343,5</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276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Здания и сооружения</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4 767,4</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6 344,4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133,1</w:t>
            </w:r>
          </w:p>
        </w:tc>
        <w:tc>
          <w:tcPr>
            <w:tcW w:type="dxa" w:w="1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6 401,1</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w:t>
            </w:r>
          </w:p>
        </w:tc>
      </w:tr>
      <w:tr>
        <w:tc>
          <w:tcPr>
            <w:tcW w:type="dxa" w:w="276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Внешние заимствования</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1 659,8</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1 973,4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118,0</w:t>
            </w:r>
          </w:p>
        </w:tc>
        <w:tc>
          <w:tcPr>
            <w:tcW w:type="dxa" w:w="1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2 030,4</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97,5</w:t>
            </w:r>
          </w:p>
        </w:tc>
      </w:tr>
      <w:tr>
        <w:tc>
          <w:tcPr>
            <w:tcW w:type="dxa" w:w="276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Ценные бумаги, кроме акций</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4 246,5</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4 695,9</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c>
          <w:tcPr>
            <w:tcW w:type="dxa" w:w="1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4 875,8</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Финансирование расходов по заработной плате из республиканского бюджета, в сравнении с аналогичным периодом 2010 года, увеличилось на 2 748,0 млн. сомов, или на 28,4 % (за 2010 год расходы по заработной плате составили 9 681,0 млн. сомов) в связи с повышением размеров заработной платы работников социальной сферы.</w:t>
      </w:r>
    </w:p>
    <w:p>
      <w:pPr>
        <w:spacing w:after="120"/>
        <w:jc w:val="both"/>
      </w:pPr>
      <w:r>
        <w:rPr>
          <w:rFonts w:ascii="Arial" w:cs="Arial" w:eastAsia="Arial" w:hAnsi="Arial"/>
          <w:sz w:val="24"/>
          <w:szCs w:val="24"/>
        </w:rPr>
        <w:t xml:space="preserve">Одним из факторов, повлиявших на финансирование расходов республиканского бюджета, стал тот факт, что </w:t>
      </w:r>
      <w:hyperlink w:history="1" r:id="rIdqafdcwuoogsnbckno09f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2011 год и прогнозе на 2012-2013 годы» был подписан Президентом Кыргызской Республики Отунбаевой Р.И. 30 марта 2011 года. В связи с этим, согласно законодательству, финансирование расходов в месяц производилось не более одной двенадцатой части от всего объема запланированных на год средств.</w:t>
      </w:r>
    </w:p>
    <w:p>
      <w:pPr>
        <w:spacing w:after="120"/>
        <w:jc w:val="both"/>
      </w:pPr>
      <w:r>
        <w:rPr>
          <w:rFonts w:ascii="Arial" w:cs="Arial" w:eastAsia="Arial" w:hAnsi="Arial"/>
          <w:sz w:val="24"/>
          <w:szCs w:val="24"/>
        </w:rPr>
        <w:t xml:space="preserve">За 2011 год удельный вес расходов из республиканского бюджета на социальную сферу составил 40,1 %, всего направлено на 7 282,9 млн. сомов больше, чем в аналогичном периоде прошлого года (удельный вес расходов из республиканского бюджета на социальную сферу за 2010 год составил 39,4 %).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на социальную сферу (млн. сомов)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89"/>
        <w:gridCol w:w="2884"/>
        <w:gridCol w:w="2884"/>
        <w:gridCol w:w="1521"/>
      </w:tblGrid>
      <w:tr>
        <w:tc>
          <w:tcPr>
            <w:tcW w:type="dxa" w:w="28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 декабрь 2010 г., факт</w:t>
            </w:r>
          </w:p>
        </w:tc>
        <w:tc>
          <w:tcPr>
            <w:tcW w:type="dxa" w:w="28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 декабрь 2011 г., факт</w:t>
            </w:r>
          </w:p>
        </w:tc>
        <w:tc>
          <w:tcPr>
            <w:tcW w:type="dxa" w:w="15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r>
      <w:tr>
        <w:tc>
          <w:tcPr>
            <w:tcW w:type="dxa" w:w="28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20 244,9</w:t>
            </w:r>
          </w:p>
        </w:tc>
        <w:tc>
          <w:tcPr>
            <w:tcW w:type="dxa" w:w="2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27 527,8</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136,0</w:t>
            </w:r>
          </w:p>
        </w:tc>
      </w:tr>
      <w:tr>
        <w:tc>
          <w:tcPr>
            <w:tcW w:type="dxa" w:w="28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социальная защита</w:t>
            </w:r>
          </w:p>
        </w:tc>
        <w:tc>
          <w:tcPr>
            <w:tcW w:type="dxa" w:w="2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10 917,5</w:t>
            </w:r>
          </w:p>
        </w:tc>
        <w:tc>
          <w:tcPr>
            <w:tcW w:type="dxa" w:w="2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14 206,4</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130,1</w:t>
            </w:r>
          </w:p>
        </w:tc>
      </w:tr>
      <w:tr>
        <w:tc>
          <w:tcPr>
            <w:tcW w:type="dxa" w:w="28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2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2 653,2</w:t>
            </w:r>
          </w:p>
        </w:tc>
        <w:tc>
          <w:tcPr>
            <w:tcW w:type="dxa" w:w="2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3 903,1</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147,1</w:t>
            </w:r>
          </w:p>
        </w:tc>
      </w:tr>
      <w:tr>
        <w:tc>
          <w:tcPr>
            <w:tcW w:type="dxa" w:w="28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здравоохранение</w:t>
            </w:r>
          </w:p>
        </w:tc>
        <w:tc>
          <w:tcPr>
            <w:tcW w:type="dxa" w:w="2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5 553,8</w:t>
            </w:r>
          </w:p>
        </w:tc>
        <w:tc>
          <w:tcPr>
            <w:tcW w:type="dxa" w:w="2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7 713,5</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138,9</w:t>
            </w:r>
          </w:p>
        </w:tc>
      </w:tr>
      <w:tr>
        <w:tc>
          <w:tcPr>
            <w:tcW w:type="dxa" w:w="28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отдых, культура и религия</w:t>
            </w:r>
          </w:p>
        </w:tc>
        <w:tc>
          <w:tcPr>
            <w:tcW w:type="dxa" w:w="2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1 120,4</w:t>
            </w:r>
          </w:p>
        </w:tc>
        <w:tc>
          <w:tcPr>
            <w:tcW w:type="dxa" w:w="2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1 704,8</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152,2</w:t>
            </w:r>
          </w:p>
        </w:tc>
      </w:tr>
    </w:tbl>
    <w:p>
      <w:pPr>
        <w:spacing w:after="120"/>
        <w:jc w:val="both"/>
      </w:pPr>
      <w:r>
        <w:rPr>
          <w:rFonts w:ascii="Arial" w:cs="Arial" w:eastAsia="Arial" w:hAnsi="Arial"/>
          <w:sz w:val="24"/>
          <w:szCs w:val="24"/>
        </w:rPr>
        <w:t xml:space="preserve">Для справки: Общий дефицит государственного бюджета составил, по предварительным данным, за 2011 год 14 472,0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долг: обслуживание внешнего и внутреннего долга</w:t>
      </w:r>
    </w:p>
    <w:p>
      <w:pPr>
        <w:spacing w:after="120"/>
        <w:jc w:val="both"/>
      </w:pPr>
      <w:r>
        <w:rPr>
          <w:rFonts w:ascii="Arial" w:cs="Arial" w:eastAsia="Arial" w:hAnsi="Arial"/>
          <w:sz w:val="24"/>
          <w:szCs w:val="24"/>
        </w:rPr>
        <w:t xml:space="preserve">Государственный долг, по состоянию на конец ноября 2011 года, составил 141 635,7 млн. сомов, в том числе внутренний долг - 11 776,6 млн. сомов, внешний долг - 129 859,1 млн. сомов.</w:t>
      </w:r>
    </w:p>
    <w:p>
      <w:pPr>
        <w:spacing w:after="120"/>
        <w:jc w:val="both"/>
      </w:pPr>
      <w:r>
        <w:rPr>
          <w:rFonts w:ascii="Arial" w:cs="Arial" w:eastAsia="Arial" w:hAnsi="Arial"/>
          <w:sz w:val="24"/>
          <w:szCs w:val="24"/>
        </w:rPr>
        <w:t xml:space="preserve">Обслуживание долга за январь - декабрь 2011 года составило 9 394,67 млн. сомов. На обслуживание внешнего долга направлено 3 854,27 млн. сомов, в т.ч. по основной сумме - 1 973,30 млн. сомов, по процентам - 1 880,97 млн. сомов. Обслуживание внутреннего долга составило 5 540,4 млн. сомов, в т.ч. по основной сумме - 4 695,94 млн. сомов и по процентам - 844,46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Внешнеэкономическая деятельность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Внешнеэкономическая политика и внешнеэкономическая деятельность</w:t>
      </w:r>
    </w:p>
    <w:p>
      <w:pPr>
        <w:spacing w:after="120"/>
        <w:jc w:val="both"/>
      </w:pPr>
      <w:r>
        <w:rPr>
          <w:rFonts w:ascii="Arial" w:cs="Arial" w:eastAsia="Arial" w:hAnsi="Arial"/>
          <w:sz w:val="24"/>
          <w:szCs w:val="24"/>
        </w:rPr>
        <w:t xml:space="preserve">В 2011 году внешнеэкономическая деятельность была направлена на продолжение активизации сотрудничества Кыргызской Республики с зарубежными странами, велась работа по созданию соответствующей требованиям сегодняшнего дня международной договорно-правовой базы, развитию нормативно-правовой базы республики в сфере интеграционного сотрудничества, созданию благоприятных условий для привлечения иностранных инвестиций и продвижения торгово-экономических интересов, а также на участие в международных мероприятиях с целью ознакомления и информирования представителей иностранных государств, международных организаций, институтов и интеграционных объединений о возможностях Кыргызской Республики.</w:t>
      </w:r>
    </w:p>
    <w:p>
      <w:pPr>
        <w:spacing w:after="120"/>
        <w:jc w:val="both"/>
      </w:pPr>
      <w:r>
        <w:rPr>
          <w:rFonts w:ascii="Arial" w:cs="Arial" w:eastAsia="Arial" w:hAnsi="Arial"/>
          <w:sz w:val="24"/>
          <w:szCs w:val="24"/>
        </w:rPr>
        <w:t xml:space="preserve">За 2011 год организованы и проведены 12-е и 13-е заседания межправительственных кыргызско-российских комиссий по торгово-экономическому, научно-техническому и гуманитарному сотрудничеству, в рамках которых была подписана Программа экономического сотрудничества между правительствами Кыргызской Республики и Российской Федерации на 2010-2013 годы. По итогам достигнутых договоренностей стороны акцентировали сотрудничество в таких приоритетных направлениях, как энергетика, топливно-энергетический комплекс, сельское хозяйство и т.д.</w:t>
      </w:r>
    </w:p>
    <w:p>
      <w:pPr>
        <w:spacing w:after="120"/>
        <w:jc w:val="both"/>
      </w:pPr>
      <w:r>
        <w:rPr>
          <w:rFonts w:ascii="Arial" w:cs="Arial" w:eastAsia="Arial" w:hAnsi="Arial"/>
          <w:sz w:val="24"/>
          <w:szCs w:val="24"/>
        </w:rPr>
        <w:t xml:space="preserve">Прорабатывались вопросы выделения Правительством РФ нового гранта в размере 10 млн. долл. США и льготного кредита в размере 30 млн. долл. США, а также выделение кредита из Антикризисного фонда ЕврАзЭС в размере 106,7 млн. долл. США. При этом следует отметить, что погашена просроченная задолженность Кыргызской Республики перед Российской Федерацией в сумме 14,3 млн. долл. США.</w:t>
      </w:r>
    </w:p>
    <w:p>
      <w:pPr>
        <w:spacing w:after="120"/>
        <w:jc w:val="both"/>
      </w:pPr>
      <w:r>
        <w:rPr>
          <w:rFonts w:ascii="Arial" w:cs="Arial" w:eastAsia="Arial" w:hAnsi="Arial"/>
          <w:sz w:val="24"/>
          <w:szCs w:val="24"/>
        </w:rPr>
        <w:t xml:space="preserve">Продолжены переговоры с российской стороной относительно проекта строительства Камбаратинской ГЭС-1 и четырех ГЭС Верхне-Нарынского каскада.</w:t>
      </w:r>
    </w:p>
    <w:p>
      <w:pPr>
        <w:spacing w:after="120"/>
        <w:jc w:val="both"/>
      </w:pPr>
      <w:r>
        <w:rPr>
          <w:rFonts w:ascii="Arial" w:cs="Arial" w:eastAsia="Arial" w:hAnsi="Arial"/>
          <w:sz w:val="24"/>
          <w:szCs w:val="24"/>
        </w:rPr>
        <w:t xml:space="preserve">Важным моментом стали договоренности, достигнутые в рамках официального визита Премьер-министра Кыргызской Республики А.Атамбаева 4 февраля в Казахстан, по итогам которого был подписан Протокол, включающий в себя вопросы сотрудничества в сфере инвестиций, энергетики, в области технического регулирования, нефтегазовой отрасли, сельского хозяйства, миграции, пересечения пунктов пропусков на госгранице.</w:t>
      </w:r>
    </w:p>
    <w:p>
      <w:pPr>
        <w:spacing w:after="120"/>
        <w:jc w:val="both"/>
      </w:pPr>
      <w:r>
        <w:rPr>
          <w:rFonts w:ascii="Arial" w:cs="Arial" w:eastAsia="Arial" w:hAnsi="Arial"/>
          <w:sz w:val="24"/>
          <w:szCs w:val="24"/>
        </w:rPr>
        <w:t xml:space="preserve">Впоследствии, казахстанской стороной выделены квоты на экспорт нефтепродуктов в количестве 20,0 тыс. тонн, возобновился экспорт молочной продукции на рынки Казахстана, поступили в Кыргызскую Республику в качестве гуманитарной помощи 500 тонн семян кукурузы, отгружен весь объем угля для ТЭЦ г. Бишкек в объеме 230,3 тыс. тонн, осуществлен прием кыргызской электроэнергии в объеме более 2 млрд. кВтч и осуществлены соответствующие предоплаты.</w:t>
      </w:r>
    </w:p>
    <w:p>
      <w:pPr>
        <w:spacing w:after="120"/>
        <w:jc w:val="both"/>
      </w:pPr>
      <w:r>
        <w:rPr>
          <w:rFonts w:ascii="Arial" w:cs="Arial" w:eastAsia="Arial" w:hAnsi="Arial"/>
          <w:sz w:val="24"/>
          <w:szCs w:val="24"/>
        </w:rPr>
        <w:t xml:space="preserve">В рамках рабочего визита Премьер-министра РК К.Масимова в сентябре в Кыргызскую Республику, состоялось второе заседание кыргызско-казахстанского Межправительственного Совета, по итогам которого сторонам удалось достичь важных результатов в сфере энергетики, в области торговли и инвестиций, миграции, пограничного контроля, сельского хозяйства, в газовой отрасли, культурно-гуманитарного сотрудничества и др. Особую важность для Кыргызстана представляют принципиальные договоренности о поставках природного газа в нашу республику, экспорте электроэнергии в Казахстан, создании совместного Кыргызско-Казахстанского инвестиционного фонда, рассмотрении и принятии соглашений в области миграции, пограничного контроля и др.</w:t>
      </w:r>
    </w:p>
    <w:p>
      <w:pPr>
        <w:spacing w:after="120"/>
        <w:jc w:val="both"/>
      </w:pPr>
      <w:r>
        <w:rPr>
          <w:rFonts w:ascii="Arial" w:cs="Arial" w:eastAsia="Arial" w:hAnsi="Arial"/>
          <w:sz w:val="24"/>
          <w:szCs w:val="24"/>
        </w:rPr>
        <w:t xml:space="preserve">Велась работа по реализации договоренностей, достигнутых в ходе официального визита Премьер-министра А.Атамбаева в Турцию (26-27 апреля), о выделении гранта в сумме 10 млн. долл. США и списании государственного долга. В результате, 28 октября в г.Бишкек было подписано Грантовое соглашение между Правительством Кыргызской Республики и Правительством Турции на сумму 10 млн. долл. США, а 1 декабря - подписано Соглашение о списании государственного долга Кыргызской Республики перед Турцией в размере 51 млн. долларов США.</w:t>
      </w:r>
    </w:p>
    <w:p>
      <w:pPr>
        <w:spacing w:after="120"/>
        <w:jc w:val="both"/>
      </w:pPr>
      <w:r>
        <w:rPr>
          <w:rFonts w:ascii="Arial" w:cs="Arial" w:eastAsia="Arial" w:hAnsi="Arial"/>
          <w:sz w:val="24"/>
          <w:szCs w:val="24"/>
        </w:rPr>
        <w:t xml:space="preserve">В г.Бишкек 28-29 сентября 2011 г. проведены Межправительственные переговоры по финансовому и техническому сотрудничеству в рамках политики развития между Кыргызской Республикой и Федеративной Республикой Германия для определения приоритетов по сотрудничеству на двухлетний период (2011-2012 годы). По итогам достигнутых договоренностей, сторонами подписан Протокол о дальнейшем сотрудничестве в целях развития между правительствами Кыргызской Республики и Федеративной Республики Германия. Правительство Германии обязалось увеличить совокупный объем выделяемых средств и предоставить Кыргызской Республике на период 2011-2012 годов 26 млн. евро для двустороннего технического и финансового сотрудничества, из них 16,0 млн. евро предоставляется под проекты финансового сотрудничества, а 10,0 млн. евро - под проекты технического сотрудничества.</w:t>
      </w:r>
    </w:p>
    <w:p>
      <w:pPr>
        <w:spacing w:after="120"/>
        <w:jc w:val="both"/>
      </w:pPr>
      <w:r>
        <w:rPr>
          <w:rFonts w:ascii="Arial" w:cs="Arial" w:eastAsia="Arial" w:hAnsi="Arial"/>
          <w:sz w:val="24"/>
          <w:szCs w:val="24"/>
        </w:rPr>
        <w:t xml:space="preserve">По итогам рабочего визита первого вице-премьер-министра Кыргызской Республики О.Бабанова 6-9 апреля в КНР Сторонами подписано Межправительственное соглашение о технико-экономическом сотрудничестве и Обменные письма об осуществлении проекта строительства больничного комплекса в г.Ош, а также протокол-намерение о поставке электрических счетчиков между Министерством энергетики Кыргызской Республики и компанией «Цзиньчуан».</w:t>
      </w:r>
    </w:p>
    <w:p>
      <w:pPr>
        <w:spacing w:after="120"/>
        <w:jc w:val="both"/>
      </w:pPr>
      <w:r>
        <w:rPr>
          <w:rFonts w:ascii="Arial" w:cs="Arial" w:eastAsia="Arial" w:hAnsi="Arial"/>
          <w:sz w:val="24"/>
          <w:szCs w:val="24"/>
        </w:rPr>
        <w:t xml:space="preserve">С 29 июля по 3 августа 2011 г. состоялся рабочий визит первого вице-премьер-министра Кыргызской Республики О.Бабанова в Японию (г. Токио) с целью обсуждения вопросов дальнейшего развития двустороннего сотрудничества с Японией и участия в международном форуме развивающихся рынков, организованном Японским банком международного сотрудничества при участии АБР. Были организованы встречи с представителями японских правительственных и деловых кругов. Данный визит придал новый импульс развитию кыргызско-японских отношений как в политическом, так и в экономическом направлениях.</w:t>
      </w:r>
    </w:p>
    <w:p>
      <w:pPr>
        <w:spacing w:after="120"/>
        <w:jc w:val="both"/>
      </w:pPr>
      <w:r>
        <w:rPr>
          <w:rFonts w:ascii="Arial" w:cs="Arial" w:eastAsia="Arial" w:hAnsi="Arial"/>
          <w:sz w:val="24"/>
          <w:szCs w:val="24"/>
        </w:rPr>
        <w:t xml:space="preserve">1-2 сентября 2011 г. в ходе участия Президента Кыргызской Республики Р.Отунбаевой в Первой международной выставке ЭКСПО «Китай - Евразия» подписано Соглашение о технико-экономическом сотрудничестве на 100 млн. юаней.</w:t>
      </w:r>
    </w:p>
    <w:p>
      <w:pPr>
        <w:spacing w:after="120"/>
        <w:jc w:val="both"/>
      </w:pPr>
      <w:r>
        <w:rPr>
          <w:rFonts w:ascii="Arial" w:cs="Arial" w:eastAsia="Arial" w:hAnsi="Arial"/>
          <w:sz w:val="24"/>
          <w:szCs w:val="24"/>
        </w:rPr>
        <w:t xml:space="preserve">В отчетном периоде поддерживалась связь с Субрегиональным представительством по вопросу подготовки и участия кыргызской делегации на 37-ой сессии Продовольственной и сельскохозяйственной организации ООН (ФАО), которая была проведена с 25 июня по 2 июля 2011 года в г. Рим. По итогам проведенных переговоров и встреч делегации Кыргызской Республики удалось достичь решения ФАО о реструктуризации задолженности Кыргызской Республики перед организацией на 14 лет и восстановление «права голоса» Кыргызстана, что позволило кыргызской делегации принять участие в голосовании на выборах Генерального директора ФАО.</w:t>
      </w:r>
    </w:p>
    <w:p>
      <w:pPr>
        <w:spacing w:after="120"/>
        <w:jc w:val="both"/>
      </w:pPr>
      <w:r>
        <w:rPr>
          <w:rFonts w:ascii="Arial" w:cs="Arial" w:eastAsia="Arial" w:hAnsi="Arial"/>
          <w:sz w:val="24"/>
          <w:szCs w:val="24"/>
        </w:rPr>
        <w:t xml:space="preserve">• 8 марта 2011 года в г.Москве состоялся Международный экономический форум государств-участнков СНГ «20 лет вместе: опыт сотрудничества и перспективы». В ходе Форума состоялось обсуждение вопросов функционирования Таможенного союза, перспектив создания Единого экономического пространства, интеграционного взаимодействия, инновационного сотрудничества, транспортной логистики, выработки единых стандартов в различных сферах экономики. Кроме того, прошло обсуждение Стратегии экономического развития СНГ до 2020 года, актуальных проблем, связанных с заключением Договора о зоне свободной торговли и Межгосударственной программы инновационного сотрудничества СНГ на период до 2020 года.</w:t>
      </w:r>
    </w:p>
    <w:p>
      <w:pPr>
        <w:spacing w:after="120"/>
        <w:jc w:val="both"/>
      </w:pPr>
      <w:r>
        <w:rPr>
          <w:rFonts w:ascii="Arial" w:cs="Arial" w:eastAsia="Arial" w:hAnsi="Arial"/>
          <w:sz w:val="24"/>
          <w:szCs w:val="24"/>
        </w:rPr>
        <w:t xml:space="preserve">• В период с 13 по 17 апреля 2011 года в г.Ялта (Украина) прошли очередные заседания Экономического совета Содружества Независимых Государств и заседания Интеграционного Комитета ЕврАзЭС.</w:t>
      </w:r>
    </w:p>
    <w:p>
      <w:pPr>
        <w:spacing w:after="120"/>
        <w:jc w:val="both"/>
      </w:pPr>
      <w:r>
        <w:rPr>
          <w:rFonts w:ascii="Arial" w:cs="Arial" w:eastAsia="Arial" w:hAnsi="Arial"/>
          <w:sz w:val="24"/>
          <w:szCs w:val="24"/>
        </w:rPr>
        <w:t xml:space="preserve">Главными вопросами повестки дня Экономического совета Содружества Независимых Государств стали вопросы по обсуждению проекта Договора о зоне свободной торговли между государствами-участниками СНГ, об итогах выполнения Плана реализации важнейших мероприятий, направленных на развитие и повышение эффективности взаимодействия государств-участников СНГ в экономической сфере, а также о ходе подготовки Межгосударственной выставки, посвященной 20-летию Содружества.</w:t>
      </w:r>
    </w:p>
    <w:p>
      <w:pPr>
        <w:spacing w:after="120"/>
        <w:jc w:val="both"/>
      </w:pPr>
      <w:r>
        <w:rPr>
          <w:rFonts w:ascii="Arial" w:cs="Arial" w:eastAsia="Arial" w:hAnsi="Arial"/>
          <w:sz w:val="24"/>
          <w:szCs w:val="24"/>
        </w:rPr>
        <w:t xml:space="preserve">• 7 ноября 2011 года в Санкт-Петербурге состоялось очередное заседание Совета глав правительств государств-членов ШОС. В ходе заседания было подписано Совместное коммюнике, в котором отражены основные итоги деятельности ШОС и обозначены дальнейшие перспективы, а также принят второй итоговый документ - Совместное заявление об экономическом положении в мире и на пространстве ШОС.</w:t>
      </w:r>
    </w:p>
    <w:p>
      <w:pPr>
        <w:spacing w:after="120"/>
        <w:jc w:val="both"/>
      </w:pPr>
      <w:r>
        <w:rPr>
          <w:rFonts w:ascii="Arial" w:cs="Arial" w:eastAsia="Arial" w:hAnsi="Arial"/>
          <w:sz w:val="24"/>
          <w:szCs w:val="24"/>
        </w:rPr>
        <w:t xml:space="preserve">Принято решение о повышении бюджета и увеличении денежного содержания штатных работников ПДО ШОС на 15 % для поднятия престижа Организации и повышения привлекательности работы в ее постоянных органах.</w:t>
      </w:r>
    </w:p>
    <w:p>
      <w:pPr>
        <w:spacing w:after="120"/>
        <w:jc w:val="both"/>
      </w:pPr>
      <w:r>
        <w:rPr>
          <w:rFonts w:ascii="Arial" w:cs="Arial" w:eastAsia="Arial" w:hAnsi="Arial"/>
          <w:sz w:val="24"/>
          <w:szCs w:val="24"/>
        </w:rPr>
        <w:t xml:space="preserve">За период с января по ноябрь отчетного периода общая сумма гуманитарной (финансовой, технической) помощи составила 216 млн. 800 тысяч долларов США, 62 млн. евро, 28 млн. 800 тысяч рублей и 42 млн. юаней.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Внешняя торговля Кыргызской Республики за январь - ноябрь 2011 года</w:t>
      </w:r>
    </w:p>
    <w:p>
      <w:pPr>
        <w:spacing w:after="120"/>
        <w:jc w:val="both"/>
      </w:pPr>
      <w:r>
        <w:rPr>
          <w:rFonts w:ascii="Arial" w:cs="Arial" w:eastAsia="Arial" w:hAnsi="Arial"/>
          <w:sz w:val="24"/>
          <w:szCs w:val="24"/>
        </w:rPr>
        <w:t xml:space="preserve">Внешнеторговый оборот Кыргызской Республики в январе - ноябре 2011 года составил 5576,3 млн. долл. США, превысив показатель 2010 года за аналогичный период на 35,6 %.</w:t>
      </w:r>
    </w:p>
    <w:p>
      <w:pPr>
        <w:spacing w:after="120"/>
        <w:jc w:val="both"/>
      </w:pPr>
      <w:r>
        <w:rPr>
          <w:rFonts w:ascii="Arial" w:cs="Arial" w:eastAsia="Arial" w:hAnsi="Arial"/>
          <w:sz w:val="24"/>
          <w:szCs w:val="24"/>
        </w:rPr>
        <w:t xml:space="preserve">Объем экспортных поставок составил 1794,6 млн. долларов США (рост 43,6 %), импортных поступлений - 3781,7 млн. долларов США (рост 32,2 %). В общем объеме товарооборота доля импорта составила 67,8 %, экспорта - 32,2 %.</w:t>
      </w:r>
    </w:p>
    <w:p>
      <w:pPr>
        <w:spacing w:after="120"/>
        <w:jc w:val="both"/>
      </w:pPr>
      <w:r>
        <w:rPr>
          <w:rFonts w:ascii="Arial" w:cs="Arial" w:eastAsia="Arial" w:hAnsi="Arial"/>
          <w:sz w:val="24"/>
          <w:szCs w:val="24"/>
        </w:rPr>
        <w:t xml:space="preserve">Сальдо торгового баланса сохранилось отрицательным и составило 1987,1 млн. долларов США, что выше на 12,4 % относительно января - ноября 2010 года.</w:t>
      </w:r>
    </w:p>
    <w:p>
      <w:pPr>
        <w:spacing w:after="120"/>
        <w:jc w:val="both"/>
      </w:pPr>
      <w:r>
        <w:rPr>
          <w:rFonts w:ascii="Arial" w:cs="Arial" w:eastAsia="Arial" w:hAnsi="Arial"/>
          <w:sz w:val="24"/>
          <w:szCs w:val="24"/>
        </w:rPr>
        <w:t xml:space="preserve">Отрицательное сальдо торгового баланса в последние годы динамично растет и остается одной из главных проблем внешнеторговой деятельности страны. Это связано с тем, что в структуре импорта Кыргызстана более 60 % занимают инвестиционные и промежуточные товары (машины, оборудование, сырье, материалы и комплектующие изделия, нефтепродукты, газ, уголь), которые необходимы для производственных целей.</w:t>
      </w:r>
    </w:p>
    <w:p>
      <w:pPr>
        <w:spacing w:after="120"/>
        <w:jc w:val="both"/>
      </w:pPr>
      <w:r>
        <w:rPr>
          <w:rFonts w:ascii="Arial" w:cs="Arial" w:eastAsia="Arial" w:hAnsi="Arial"/>
          <w:sz w:val="24"/>
          <w:szCs w:val="24"/>
        </w:rPr>
        <w:t xml:space="preserve">Экспортные поставки за рассматриваемый период 2011 года, по сравнению с аналогичным периодом 2010 года, увеличились на 43,6 % и составили 1794,6 млн. долларов США. Без учета золота, объем экспорта за истекший период увеличился на 14,7 % и составил 867,5 млн. долларов США.</w:t>
      </w:r>
    </w:p>
    <w:p>
      <w:pPr>
        <w:spacing w:after="120"/>
        <w:jc w:val="both"/>
      </w:pPr>
      <w:r>
        <w:rPr>
          <w:rFonts w:ascii="Arial" w:cs="Arial" w:eastAsia="Arial" w:hAnsi="Arial"/>
          <w:sz w:val="24"/>
          <w:szCs w:val="24"/>
        </w:rPr>
        <w:t xml:space="preserve">Основной объем экспорта направлялся в Швейцарию (44,3 % общего объема экспорта), Россию (14,7 %), Казахстан (14,7 %), Объединенные Арабские Эмираты (8,3 %) и Узбекистан (5,9 %) и др.</w:t>
      </w:r>
    </w:p>
    <w:p>
      <w:pPr>
        <w:spacing w:after="120"/>
        <w:jc w:val="both"/>
      </w:pPr>
      <w:r>
        <w:rPr>
          <w:rFonts w:ascii="Arial" w:cs="Arial" w:eastAsia="Arial" w:hAnsi="Arial"/>
          <w:sz w:val="24"/>
          <w:szCs w:val="24"/>
        </w:rPr>
        <w:t xml:space="preserve">В товарной структуре экспорта преобладали драгоценные металлы (51,7 % общего объема экспорта), предметы одежды и одежные принадлежности (7,7 %), продтовары и сельхозсырье: живые животные, овощи и фрукты и др. (10,6 %), лом и отходы черных и цветных металлов (4,8 %).</w:t>
      </w:r>
    </w:p>
    <w:p>
      <w:pPr>
        <w:spacing w:after="120"/>
        <w:jc w:val="both"/>
      </w:pPr>
      <w:r>
        <w:rPr>
          <w:rFonts w:ascii="Arial" w:cs="Arial" w:eastAsia="Arial" w:hAnsi="Arial"/>
          <w:sz w:val="24"/>
          <w:szCs w:val="24"/>
        </w:rPr>
        <w:t xml:space="preserve">Объемы экспортных поставок повысились за счет золота - на 87,9 %, текстиля и текстильных изделий - на 42 %, живых животных в 2,2 раза, кожсырья в 3,6 раза, хлопка-сырца на 23,7 %, овощей и фруктов - на 43,8 %, табачных изделий в 2,4 раза, электроэнергии - на 58,7 %, ламп накаливания - на 9,7 %.</w:t>
      </w:r>
    </w:p>
    <w:p>
      <w:pPr>
        <w:spacing w:after="120"/>
        <w:jc w:val="both"/>
      </w:pPr>
      <w:r>
        <w:rPr>
          <w:rFonts w:ascii="Arial" w:cs="Arial" w:eastAsia="Arial" w:hAnsi="Arial"/>
          <w:sz w:val="24"/>
          <w:szCs w:val="24"/>
        </w:rPr>
        <w:t xml:space="preserve">Вместе с тем, снизились объемы экспорта молочных продуктов - на 6,6 %, табака - на 36,6 %, неорганических химических веществ - на 69 %.</w:t>
      </w:r>
    </w:p>
    <w:p>
      <w:pPr>
        <w:spacing w:after="120"/>
        <w:jc w:val="both"/>
      </w:pPr>
      <w:r>
        <w:rPr>
          <w:rFonts w:ascii="Arial" w:cs="Arial" w:eastAsia="Arial" w:hAnsi="Arial"/>
          <w:sz w:val="24"/>
          <w:szCs w:val="24"/>
        </w:rPr>
        <w:t xml:space="preserve">В общем объеме экспорта удельный вес стран СНГ составил 38,2 %, стран вне СНГ - 61,8 %. По сравнению с январем - ноябрем 2010 года экспортные поставки в страны вне СНГ возросли на 43,3 %, в страны СНГ - на 44,2 %.</w:t>
      </w:r>
    </w:p>
    <w:p>
      <w:pPr>
        <w:spacing w:after="120"/>
        <w:jc w:val="both"/>
      </w:pPr>
      <w:r>
        <w:rPr>
          <w:rFonts w:ascii="Arial" w:cs="Arial" w:eastAsia="Arial" w:hAnsi="Arial"/>
          <w:sz w:val="24"/>
          <w:szCs w:val="24"/>
        </w:rPr>
        <w:t xml:space="preserve">Крупными торговыми партнерами Кыргызской Республики по экспорту среди государств-участников СНГ являлись Россия, Казахстан и Узбекистан. В общем объеме экспорта Кыргызской Республики в страны СНГ за 11 месяцев 2011 года удельный вес России составил 38,5 % (264 млн. долл.), Казахстана - более 38 % (263,1 млн. долл.).</w:t>
      </w:r>
    </w:p>
    <w:p>
      <w:pPr>
        <w:spacing w:after="120"/>
        <w:jc w:val="both"/>
      </w:pPr>
      <w:r>
        <w:rPr>
          <w:rFonts w:ascii="Arial" w:cs="Arial" w:eastAsia="Arial" w:hAnsi="Arial"/>
          <w:sz w:val="24"/>
          <w:szCs w:val="24"/>
        </w:rPr>
        <w:t xml:space="preserve">За рассматриваемый период импортные поступления товаров в республику возросли на 32,2 % и достигли 3781,7 млн. долларов.</w:t>
      </w:r>
    </w:p>
    <w:p>
      <w:pPr>
        <w:spacing w:after="120"/>
        <w:jc w:val="both"/>
      </w:pPr>
      <w:r>
        <w:rPr>
          <w:rFonts w:ascii="Arial" w:cs="Arial" w:eastAsia="Arial" w:hAnsi="Arial"/>
          <w:sz w:val="24"/>
          <w:szCs w:val="24"/>
        </w:rPr>
        <w:t xml:space="preserve">В структуре импорта преобладали топливно-энергетические ресурсы (уголь, нефтепродукты, газ) - 22,2 %, продукция машиностроения (машины, оборудование и механизмы, электрические машины и аппараты, транспортные средства и др.) - 23 %, продукция химической и связанных с ней отраслей промышленности - 12,3 %, продтовары и сельхозсырье - 16,6 %, продукция легкой промышленности (одежда, обувь, изделия из текстиля) - 8,5 %.</w:t>
      </w:r>
    </w:p>
    <w:p>
      <w:pPr>
        <w:spacing w:after="120"/>
        <w:jc w:val="both"/>
      </w:pPr>
      <w:r>
        <w:rPr>
          <w:rFonts w:ascii="Arial" w:cs="Arial" w:eastAsia="Arial" w:hAnsi="Arial"/>
          <w:sz w:val="24"/>
          <w:szCs w:val="24"/>
        </w:rPr>
        <w:t xml:space="preserve">Импортные поступления увеличились, в основном, за счет роста поступлений машин, оборудования и механизмов, электрических машин и аппаратов, транспортных средств на 23 %, одежды и ее принадлежностей - на 61 %, обуви - на 37 %, продтоваров - на 30,7 %, нефтепродуктов - на 11,6 % и др.</w:t>
      </w:r>
    </w:p>
    <w:p>
      <w:pPr>
        <w:spacing w:after="120"/>
        <w:jc w:val="both"/>
      </w:pPr>
      <w:r>
        <w:rPr>
          <w:rFonts w:ascii="Arial" w:cs="Arial" w:eastAsia="Arial" w:hAnsi="Arial"/>
          <w:sz w:val="24"/>
          <w:szCs w:val="24"/>
        </w:rPr>
        <w:t xml:space="preserve">Основными странами-партнерами по импорту являлись Россия, занимающая 33 % в общем объеме поступлений, Китай (21,9 %), Казахстан (9,8 %), США (5,2%), Япония (3,7 %), Германия (3,3 %), Узбекистан (2,1 %).</w:t>
      </w:r>
    </w:p>
    <w:p>
      <w:pPr>
        <w:spacing w:after="120"/>
        <w:jc w:val="both"/>
      </w:pPr>
      <w:r>
        <w:rPr>
          <w:rFonts w:ascii="Arial" w:cs="Arial" w:eastAsia="Arial" w:hAnsi="Arial"/>
          <w:sz w:val="24"/>
          <w:szCs w:val="24"/>
        </w:rPr>
        <w:t xml:space="preserve">На долю России в общем объеме импорта из государств-участников СНГ пришлось 64 % (1248,7 млн. долл.), Казахстана - 19,2 % (369,6 млн. долл.), Узбекистана - 4,2 % (80,5 млн. долл.), Украины - 5,6 % (108,4 млн. долл.) и Беларуси - 5,3 % (101,5 млн. долл.).</w:t>
      </w:r>
    </w:p>
    <w:p>
      <w:pPr>
        <w:spacing w:after="120"/>
        <w:jc w:val="both"/>
      </w:pPr>
      <w:r>
        <w:rPr>
          <w:rFonts w:ascii="Arial" w:cs="Arial" w:eastAsia="Arial" w:hAnsi="Arial"/>
          <w:sz w:val="24"/>
          <w:szCs w:val="24"/>
        </w:rPr>
        <w:t xml:space="preserve">По предварительным данным, в 2011 году объем внешней торговли ожидается на уровне 6075,0 млн. долл. с ростом на 21,9 %, в том числе экспорт - 1960 млн. долл., увеличение на 11,4 %, импорт - 4115,0 млн. долл. с ростом на 27,7 %.</w:t>
      </w:r>
    </w:p>
    <w:p>
      <w:pPr>
        <w:spacing w:after="120"/>
        <w:jc w:val="both"/>
      </w:pPr>
      <w:r>
        <w:rPr>
          <w:rFonts w:ascii="Arial" w:cs="Arial" w:eastAsia="Arial" w:hAnsi="Arial"/>
          <w:sz w:val="24"/>
          <w:szCs w:val="24"/>
        </w:rPr>
        <w:t xml:space="preserve">Увеличение объемов экспорта ожидается за счет увеличения экспорта золота на 51,3 %, электроэнергии - на 55 %, швейных изделий - на 22,5 %, сурьмы - на 23,5 %, ртути - в 2,8 раза, ламп накаливания - на 4 % и др.</w:t>
      </w:r>
    </w:p>
    <w:p>
      <w:pPr>
        <w:spacing w:after="120"/>
        <w:jc w:val="both"/>
      </w:pPr>
      <w:r>
        <w:rPr>
          <w:rFonts w:ascii="Arial" w:cs="Arial" w:eastAsia="Arial" w:hAnsi="Arial"/>
          <w:sz w:val="24"/>
          <w:szCs w:val="24"/>
        </w:rPr>
        <w:t xml:space="preserve">Увеличение импортных поступлений ожидается за счет увеличения импорта нефтепродуктов на 8,4 %, продтоваров на 26 %, медицинской и фармацевтической продукции на 48,1 %, пластмассы и изделий из нее - на 36,8 %, изделий из резины - на 33,1 %, черных металлов и изделий из них - на 51,6 %, автомобилей и их частей - на 51 % и др.</w:t>
      </w:r>
    </w:p>
    <w:p>
      <w:pPr>
        <w:spacing w:after="120"/>
        <w:jc w:val="both"/>
      </w:pPr>
      <w:r>
        <w:rPr>
          <w:rFonts w:ascii="Arial" w:cs="Arial" w:eastAsia="Arial" w:hAnsi="Arial"/>
          <w:sz w:val="24"/>
          <w:szCs w:val="24"/>
        </w:rPr>
        <w:t xml:space="preserve">В целях дальнейшего стимулирования торговли со странами СНГ, учитывая изменившуюся экономическую ситуацию, а также членство ряда государств в ВТО и создание Таможенного союза (ТС), проводилась работа и переговоры по проекту нового Договора о зоне свободной торговли СНГ. Новый Договор был одобрен решениями соответствующих комитетов Жогорку Кенеша Кыргызской Республики (17 октября 2011 года) и </w:t>
      </w:r>
      <w:r>
        <w:rPr>
          <w:rFonts w:ascii="Arial" w:cs="Arial" w:eastAsia="Arial" w:hAnsi="Arial"/>
          <w:sz w:val="24"/>
          <w:szCs w:val="24"/>
        </w:rPr>
        <w:t xml:space="preserve">распоряжением</w:t>
      </w:r>
      <w:r>
        <w:rPr>
          <w:rFonts w:ascii="Arial" w:cs="Arial" w:eastAsia="Arial" w:hAnsi="Arial"/>
          <w:sz w:val="24"/>
          <w:szCs w:val="24"/>
        </w:rPr>
        <w:t xml:space="preserve"> Правительства Кыргызской Республики (17 мая 2011 года № 175-р) и был подписан на заседании Совета глав правительств СНГ 18 октября 2011 года.</w:t>
      </w:r>
    </w:p>
    <w:p>
      <w:pPr>
        <w:spacing w:after="120"/>
        <w:jc w:val="both"/>
      </w:pPr>
      <w:r>
        <w:rPr>
          <w:rFonts w:ascii="Arial" w:cs="Arial" w:eastAsia="Arial" w:hAnsi="Arial"/>
          <w:sz w:val="24"/>
          <w:szCs w:val="24"/>
        </w:rPr>
        <w:t xml:space="preserve">В результате ежегодной работы с Дирекцией ЕС по защите здоровья и потребителей Европейской Комиссии, в целях получения доступа на рынок стран ЕС для кыргызского меда Кыргызская Республика была включена в список стран на 2011 год, которые могут экспортировать мед в государства ЕС (Решение Комиссии ЕС от 16 марта 2011 года).</w:t>
      </w:r>
    </w:p>
    <w:p>
      <w:pPr>
        <w:spacing w:after="120"/>
        <w:jc w:val="both"/>
      </w:pPr>
      <w:r>
        <w:rPr>
          <w:rFonts w:ascii="Arial" w:cs="Arial" w:eastAsia="Arial" w:hAnsi="Arial"/>
          <w:sz w:val="24"/>
          <w:szCs w:val="24"/>
        </w:rPr>
        <w:t xml:space="preserve">Были подготовлены и согласованы с российской стороной балансы основных видов нефтепродуктов. В ходе визита Премьер-министра Кыргызской Республики 18 марта 2011 года в Москве состоялись переговоры с Премьер-министром Российской Федерации В.Путиным, в ходе которых была достигнута договоренность об отмене экспортных пошлин на нефтепродукты, вывозимые в Кыргызскую Республику.</w:t>
      </w:r>
    </w:p>
    <w:p>
      <w:pPr>
        <w:spacing w:after="120"/>
        <w:jc w:val="both"/>
      </w:pPr>
      <w:r>
        <w:rPr>
          <w:rFonts w:ascii="Arial" w:cs="Arial" w:eastAsia="Arial" w:hAnsi="Arial"/>
          <w:sz w:val="24"/>
          <w:szCs w:val="24"/>
        </w:rPr>
        <w:t xml:space="preserve">В рамках мер по сдерживанию цен на продукты питания, а также в целях упрощения ввоза физическими лицами муки пшеничной и других социально значимых продуктов питания (масло растительное, рис, гречка, макаронные изделия, сахар, мясо КРС, МРС и домашних птиц) на территорию Кыргызской Республики принято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внесении дополнений в </w:t>
      </w:r>
      <w:r>
        <w:rPr>
          <w:rFonts w:ascii="Arial" w:cs="Arial" w:eastAsia="Arial" w:hAnsi="Arial"/>
          <w:sz w:val="24"/>
          <w:szCs w:val="24"/>
        </w:rPr>
        <w:t xml:space="preserve">постановление Правительства Кыргызской Республики «Об утверждении </w:t>
      </w:r>
      <w:r>
        <w:rPr>
          <w:rFonts w:ascii="Arial" w:cs="Arial" w:eastAsia="Arial" w:hAnsi="Arial"/>
          <w:sz w:val="24"/>
          <w:szCs w:val="24"/>
        </w:rPr>
        <w:t xml:space="preserve">Инструкции о перемещении товаров и автотранспорта через государственную границу Кыргызской Республики физическими лицами» от 31 декабря 2004 года № 976» от 4 марта 2011 года № 95. Реализация постановления позволила насытить внутренний рынок продуктами первой необходимости и способствовала сдерживанию роста цен на продовольственные товары (мука, масло растительное, рис, гречка, макаронные изделия, сахар, мясо КРС, МРС и домашних птиц).</w:t>
      </w:r>
    </w:p>
    <w:p>
      <w:pPr>
        <w:spacing w:after="120"/>
        <w:jc w:val="both"/>
      </w:pPr>
      <w:r>
        <w:rPr>
          <w:rFonts w:ascii="Arial" w:cs="Arial" w:eastAsia="Arial" w:hAnsi="Arial"/>
          <w:sz w:val="24"/>
          <w:szCs w:val="24"/>
        </w:rPr>
        <w:t xml:space="preserve">В целях недопущения недостатка ГСМ на внутреннем рынке и сдерживания роста цен на ГСМ принято </w:t>
      </w:r>
      <w:hyperlink w:history="1" r:id="rId5ixvf3v7mq_sbqkkaknu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введении временного запрета на вывоз нефтепродуктов с территории Кыргызской Республики» от 15 июня 2011 года № 316. Данные меры позволили предотвратить вывоз ГСМ, беспошлинно получаемых по договоренности с Российской Федерацией, а также обеспечить потребности внутреннего рынка в ГСМ, и способствовали сдерживанию роста цен на данные товары.</w:t>
      </w:r>
    </w:p>
    <w:p>
      <w:pPr>
        <w:spacing w:after="120"/>
        <w:jc w:val="both"/>
      </w:pPr>
      <w:r>
        <w:rPr>
          <w:rFonts w:ascii="Arial" w:cs="Arial" w:eastAsia="Arial" w:hAnsi="Arial"/>
          <w:sz w:val="24"/>
          <w:szCs w:val="24"/>
        </w:rPr>
        <w:t xml:space="preserve">В целях предотвращения образования дефицита минеральных удобрений на внутреннем рынке Жогорку Кенеш Кыргызской Республики своим </w:t>
      </w:r>
      <w:r>
        <w:rPr>
          <w:rFonts w:ascii="Arial" w:cs="Arial" w:eastAsia="Arial" w:hAnsi="Arial"/>
          <w:sz w:val="24"/>
          <w:szCs w:val="24"/>
        </w:rPr>
        <w:t xml:space="preserve">постановлением</w:t>
      </w:r>
      <w:r>
        <w:rPr>
          <w:rFonts w:ascii="Arial" w:cs="Arial" w:eastAsia="Arial" w:hAnsi="Arial"/>
          <w:sz w:val="24"/>
          <w:szCs w:val="24"/>
        </w:rPr>
        <w:t xml:space="preserve"> от 28 декабря 2011 года № 1457-V согласился с проектом постановления Правительства Кыргызской Республики «Об установлении ставки вывозной (экспортной) таможенной пошлины на удобрения, вывозимые с территории Кыргызской Республики», к</w:t>
      </w:r>
    </w:p>
    <w:p>
      <w:pPr>
        <w:spacing w:after="120"/>
        <w:jc w:val="both"/>
      </w:pPr>
      <w:r>
        <w:rPr>
          <w:rFonts w:ascii="Arial" w:cs="Arial" w:eastAsia="Arial" w:hAnsi="Arial"/>
          <w:sz w:val="24"/>
          <w:szCs w:val="24"/>
        </w:rPr>
        <w:t xml:space="preserve">.оторым устанавливаются с 1 февраля 2012 года по 30 июля 2012 года сезонные пошлины на экспорт удобрений в размере 14 сом/кг.</w:t>
      </w:r>
    </w:p>
    <w:p>
      <w:pPr>
        <w:spacing w:after="120"/>
        <w:jc w:val="both"/>
      </w:pPr>
      <w:r>
        <w:rPr>
          <w:rFonts w:ascii="Arial" w:cs="Arial" w:eastAsia="Arial" w:hAnsi="Arial"/>
          <w:sz w:val="24"/>
          <w:szCs w:val="24"/>
        </w:rPr>
        <w:t xml:space="preserve">В целях создания условий для формирования нормативно-правовой базы экспортного контроля, отвечающей современным требованиям и основывающейся на общепринятых принципах и международных стандартах, и приведения ее в соответствие с </w:t>
      </w:r>
      <w:hyperlink w:history="1" r:id="rIdnghriwi6hkegqa1ioqkft">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принят </w:t>
      </w:r>
      <w:hyperlink w:history="1" r:id="rIdhvwbfbsqysygukhxescd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от 5 октября 2011 года.</w:t>
      </w:r>
    </w:p>
    <w:p>
      <w:pPr>
        <w:spacing w:after="120"/>
        <w:jc w:val="both"/>
      </w:pPr>
      <w:r>
        <w:rPr>
          <w:rFonts w:ascii="Arial" w:cs="Arial" w:eastAsia="Arial" w:hAnsi="Arial"/>
          <w:sz w:val="24"/>
          <w:szCs w:val="24"/>
        </w:rPr>
        <w:t xml:space="preserve">Серьезным испытанием для экономики является создание Таможенного союза (далее - ТС). Кыргызстан уже в полной мере ощущает воздействие ТС, будучи вне его. Несмотря на то, что Кыргызская Республика остается участницей соглашений ЕврАзЭС о зоне свободной торговли стран СНГ, которые должны обеспечивать беспошлинный и беспрепятственный ввоз/вывоз товаров по территории стран СНГ, в том числе и стран ТС, Кыргызская Республика испытывает серьезные трудности в торговле со странами ТС. С 1 июля 2011 года, когда все виды контроля были перенесены на внешнюю границу ТС, особо страдает приграничная торговля, осуществляемая физическими лицами, и оптовые рынки. Если раньше в приграничных областях население свободно провозило товары (в основном это сельхозпродукция) для торговли, в настоящее время провоз физическими лицами регламентирован ограничениями. Кроме того, страдают обычные граждане-пассажиры, которые не осуществляют торговлю, а направляются автомобильным и железнодорожным транспортом.</w:t>
      </w:r>
    </w:p>
    <w:p>
      <w:pPr>
        <w:spacing w:after="120"/>
        <w:jc w:val="both"/>
      </w:pPr>
      <w:r>
        <w:rPr>
          <w:rFonts w:ascii="Arial" w:cs="Arial" w:eastAsia="Arial" w:hAnsi="Arial"/>
          <w:sz w:val="24"/>
          <w:szCs w:val="24"/>
        </w:rPr>
        <w:t xml:space="preserve">Применяемые ограничения Республикой Казахстан на экспорт/импорт затрагивают экономические интересы Кыргызской Республики: с 1 июля продлен запрет на экспорт ГСМ до конца 2011 года; с 29 сентября 2011 года сроком на 4 месяца введен запрет на вывоз масла подсолнечного, сафлорового и их фракций; действует запрет на вывоз макулатуры с таможенной территории Казахстана; с сентября 2011 года введены защитные меры сроком на три года в отношении некоторых видов кондитерских изделий.</w:t>
      </w:r>
    </w:p>
    <w:p>
      <w:pPr>
        <w:spacing w:after="120"/>
        <w:jc w:val="both"/>
      </w:pPr>
      <w:r>
        <w:rPr>
          <w:rFonts w:ascii="Arial" w:cs="Arial" w:eastAsia="Arial" w:hAnsi="Arial"/>
          <w:sz w:val="24"/>
          <w:szCs w:val="24"/>
        </w:rPr>
        <w:t xml:space="preserve">Высокие затраты, связанные с проведением работ по подтверждению соответствия в странах ТС (стоимость работ по оценке соответствия в странах ТС в 5-10 раз превышают стоимость аналогичных работ в Кыргызской Республике), осложняют экспорт товаров на их рынки и снижают их конкурентоспособность.</w:t>
      </w:r>
    </w:p>
    <w:p>
      <w:pPr>
        <w:spacing w:after="120"/>
        <w:jc w:val="both"/>
      </w:pPr>
      <w:r>
        <w:rPr>
          <w:rFonts w:ascii="Arial" w:cs="Arial" w:eastAsia="Arial" w:hAnsi="Arial"/>
          <w:sz w:val="24"/>
          <w:szCs w:val="24"/>
        </w:rPr>
        <w:t xml:space="preserve">В декабре 2011 года страны ТС приняли 10 технических регламентов, в том числе: «О безопасности продукции легкой промышленности»; «О безопасности пищевой продукции»; «Пищевая продукция в части ее маркировки»; «Технический регламент на соковую продукцию из фруктов и овощей»; «Технический регламент на масложировую продукцию». Таким образом, со вступлением в силу данных техрегламентов пищевая и швейная продукция Кыргызской Республики должна соответствовать их требованиям при экспорте в страны ТС.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работе по вхождению Кыргызской Республики в Таможенный союз</w:t>
      </w:r>
    </w:p>
    <w:p>
      <w:pPr>
        <w:spacing w:after="120"/>
        <w:jc w:val="both"/>
      </w:pPr>
      <w:r>
        <w:rPr>
          <w:rFonts w:ascii="Arial" w:cs="Arial" w:eastAsia="Arial" w:hAnsi="Arial"/>
          <w:sz w:val="24"/>
          <w:szCs w:val="24"/>
        </w:rPr>
        <w:t xml:space="preserve">11 апреля 2011 года состоялось заседание Правительства Кыргызской Республики, на котором было принято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«О Межведомственной комиссии при Правительстве Кыргызской Республики по переговорам о присоединении Кыргызской Республики к Таможенному союзу Республики Беларусь, Республики Казахстан и Российской Федерации и Единому экономическому пространству» № 150.</w:t>
      </w:r>
    </w:p>
    <w:p>
      <w:pPr>
        <w:spacing w:after="120"/>
        <w:jc w:val="both"/>
      </w:pPr>
      <w:r>
        <w:rPr>
          <w:rFonts w:ascii="Arial" w:cs="Arial" w:eastAsia="Arial" w:hAnsi="Arial"/>
          <w:sz w:val="24"/>
          <w:szCs w:val="24"/>
        </w:rPr>
        <w:t xml:space="preserve">Данным постановлением было одобрено обращение от имени Премьер-министра Кыргызской Республики в Межгосударственный Совет ЕврАзЭС - высший орган Комиссии ТС о намерении Кыргызской Республики вступить в переговорный процесс по присоединению к ТС, которое было направлено в данный орган.</w:t>
      </w:r>
    </w:p>
    <w:p>
      <w:pPr>
        <w:spacing w:after="120"/>
        <w:jc w:val="both"/>
      </w:pPr>
      <w:r>
        <w:rPr>
          <w:rFonts w:ascii="Arial" w:cs="Arial" w:eastAsia="Arial" w:hAnsi="Arial"/>
          <w:sz w:val="24"/>
          <w:szCs w:val="24"/>
        </w:rPr>
        <w:t xml:space="preserve">19 октября 2011 г. в г. Санкт-Петербург на заседании Межгососвета ЕврАзЭС, главы правительств стран ЕврАзЭС приняли решение о присоединении Кыргызстана к ТС и по данному вопросу будет создана уполномоченная рабочая группа, которая будет ответственной за проведение переговоров с Кыргызской Республикой по присоединению к ТС. Таким образом, процедурно Кыргызстан получил одобрение высшего органа ТС на проведение переговоров по присоединению к ТС.</w:t>
      </w:r>
    </w:p>
    <w:p>
      <w:pPr>
        <w:spacing w:after="120"/>
        <w:jc w:val="both"/>
      </w:pPr>
      <w:r>
        <w:rPr>
          <w:rFonts w:ascii="Arial" w:cs="Arial" w:eastAsia="Arial" w:hAnsi="Arial"/>
          <w:sz w:val="24"/>
          <w:szCs w:val="24"/>
        </w:rPr>
        <w:t xml:space="preserve">На сегодняшний день, в рамках подготовки к переговорам по присоединению к ТС, Межведомственной комиссией проводится работа над проектом доклада рабочей группы по вступлению в ТС, анализом национального законодательства на соответствие соглашениям ТС и ЕЭП, а также подготовлен перечень чувствительных товаров для переговоров с ТС на предмет исключений из Единого таможенного тарифа для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Улучшение деловой среды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Инвестиционная политика, исполнение Программы государственных инвестиций</w:t>
      </w:r>
    </w:p>
    <w:p>
      <w:pPr>
        <w:spacing w:after="120"/>
        <w:jc w:val="both"/>
      </w:pPr>
      <w:r>
        <w:rPr>
          <w:rFonts w:ascii="Arial" w:cs="Arial" w:eastAsia="Arial" w:hAnsi="Arial"/>
          <w:sz w:val="24"/>
          <w:szCs w:val="24"/>
        </w:rPr>
        <w:t xml:space="preserve">Для улучшения инвестиционного климата Правительство Кыргызской Республики предпринимает меры по формированию благоприятной бизнес-среды и совершенствованию процесса привлечения инвестиций в страну, путем реализации Плана мер Правительства Кыргызской Республики, улучшению позиции страны в международных рейтингах, в том числе по отчету Всемирного банка «Doing business» (2012 год - 70 место).</w:t>
      </w:r>
    </w:p>
    <w:p>
      <w:pPr>
        <w:spacing w:after="120"/>
        <w:jc w:val="both"/>
      </w:pPr>
      <w:r>
        <w:rPr>
          <w:rFonts w:ascii="Arial" w:cs="Arial" w:eastAsia="Arial" w:hAnsi="Arial"/>
          <w:sz w:val="24"/>
          <w:szCs w:val="24"/>
        </w:rPr>
        <w:t xml:space="preserve">В рамках проводимой реформы по совершенствованию разрешительной системы в сфере строительства принято </w:t>
      </w:r>
      <w:hyperlink w:history="1" r:id="rIdpvo1rithe9qdu1d3-tew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Типового положения</w:t>
      </w:r>
      <w:r>
        <w:rPr>
          <w:rFonts w:ascii="Arial" w:cs="Arial" w:eastAsia="Arial" w:hAnsi="Arial"/>
          <w:sz w:val="24"/>
          <w:szCs w:val="24"/>
        </w:rPr>
        <w:t xml:space="preserve"> о порядке и условиях возмездного предоставления прав собственности или аренды на земельные участки, находящиеся в муниципальной собственности» от 23 сентября 2011 года № 571. Данное постановление определяет четкие и прозрачные процедуры формирования и предоставления в собственность или в пользование земельных участков, находящихся в муниципальной собственности.</w:t>
      </w:r>
    </w:p>
    <w:p>
      <w:pPr>
        <w:spacing w:after="120"/>
        <w:jc w:val="both"/>
      </w:pPr>
      <w:r>
        <w:rPr>
          <w:rFonts w:ascii="Arial" w:cs="Arial" w:eastAsia="Arial" w:hAnsi="Arial"/>
          <w:sz w:val="24"/>
          <w:szCs w:val="24"/>
        </w:rPr>
        <w:t xml:space="preserve">Одним из эффективных средств привлечения инвестиций и реализации социально значимых проектов призвано стать государственно-частное партнерство.</w:t>
      </w:r>
    </w:p>
    <w:p>
      <w:pPr>
        <w:spacing w:after="120"/>
        <w:jc w:val="both"/>
      </w:pPr>
      <w:r>
        <w:rPr>
          <w:rFonts w:ascii="Arial" w:cs="Arial" w:eastAsia="Arial" w:hAnsi="Arial"/>
          <w:sz w:val="24"/>
          <w:szCs w:val="24"/>
        </w:rPr>
        <w:t xml:space="preserve">В этой связи Президентом Кыргызской Республики подписан </w:t>
      </w:r>
      <w:hyperlink w:history="1" r:id="rId3doea-jmqt89oqkemo_b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государственно-частном партнерстве в Кыргызской Республике» от 22 февраля 2012 года № 7.</w:t>
      </w:r>
    </w:p>
    <w:p>
      <w:pPr>
        <w:spacing w:after="120"/>
        <w:jc w:val="both"/>
      </w:pPr>
      <w:r>
        <w:rPr>
          <w:rFonts w:ascii="Arial" w:cs="Arial" w:eastAsia="Arial" w:hAnsi="Arial"/>
          <w:sz w:val="24"/>
          <w:szCs w:val="24"/>
        </w:rPr>
        <w:t xml:space="preserve">Данный Закон предусматривает распределение обязанностей между государственными органами по подготовке, отбору и реализации проектов государственно-частного партнерства, указывается сфера действия Закона, в том числе те сектора экономики, в которых возможна реализация проектов ГЧП.</w:t>
      </w:r>
    </w:p>
    <w:p>
      <w:pPr>
        <w:spacing w:after="120"/>
        <w:jc w:val="both"/>
      </w:pPr>
      <w:r>
        <w:rPr>
          <w:rFonts w:ascii="Arial" w:cs="Arial" w:eastAsia="Arial" w:hAnsi="Arial"/>
          <w:sz w:val="24"/>
          <w:szCs w:val="24"/>
        </w:rPr>
        <w:t xml:space="preserve">В целях выработки мер по созданию Кыргызско-Казахстанского инвестиционного фонда, в соответствии с протоколом, подписанным между Министерством экономического регулирования Кыргызской Республики и акционерным обществом «Казына Капитал Менеджмент» (Казахстан), </w:t>
      </w:r>
      <w:r>
        <w:rPr>
          <w:rFonts w:ascii="Arial" w:cs="Arial" w:eastAsia="Arial" w:hAnsi="Arial"/>
          <w:sz w:val="24"/>
          <w:szCs w:val="24"/>
        </w:rPr>
        <w:t xml:space="preserve">распоряжением</w:t>
      </w:r>
      <w:r>
        <w:rPr>
          <w:rFonts w:ascii="Arial" w:cs="Arial" w:eastAsia="Arial" w:hAnsi="Arial"/>
          <w:sz w:val="24"/>
          <w:szCs w:val="24"/>
        </w:rPr>
        <w:t xml:space="preserve"> Правительства Кыргызской Республики от 15 июля 2011 года № 283-р, образована рабочая группа по проработке вопросов создания Кыргызско-Казахстанского инвестиционного Фонда.</w:t>
      </w:r>
    </w:p>
    <w:p>
      <w:pPr>
        <w:spacing w:after="120"/>
        <w:jc w:val="both"/>
      </w:pPr>
      <w:r>
        <w:rPr>
          <w:rFonts w:ascii="Arial" w:cs="Arial" w:eastAsia="Arial" w:hAnsi="Arial"/>
          <w:sz w:val="24"/>
          <w:szCs w:val="24"/>
        </w:rPr>
        <w:t xml:space="preserve">Создание инвестиционного фонда прямых инвестиций с уставным фондом 100,0 млн. долл. США, через который предполагается финансирование приоритетных проектов на территории Кыргызской Республики, позволит увеличить приток иностранных инвестиций в страну, создать новые рабочие места, тем самым повлиять на улучшение социально-экономического развития.</w:t>
      </w:r>
    </w:p>
    <w:p>
      <w:pPr>
        <w:spacing w:after="120"/>
        <w:jc w:val="both"/>
      </w:pPr>
      <w:r>
        <w:rPr>
          <w:rFonts w:ascii="Arial" w:cs="Arial" w:eastAsia="Arial" w:hAnsi="Arial"/>
          <w:sz w:val="24"/>
          <w:szCs w:val="24"/>
        </w:rPr>
        <w:t xml:space="preserve">В рамках укрепления связей, взаимного доверия и определения новых форм сотрудничества между деловыми сообществами соседних стран проведены следующие мероприятия:</w:t>
      </w:r>
    </w:p>
    <w:p>
      <w:pPr>
        <w:spacing w:after="120"/>
        <w:jc w:val="both"/>
      </w:pPr>
      <w:r>
        <w:rPr>
          <w:rFonts w:ascii="Arial" w:cs="Arial" w:eastAsia="Arial" w:hAnsi="Arial"/>
          <w:sz w:val="24"/>
          <w:szCs w:val="24"/>
        </w:rPr>
        <w:t xml:space="preserve">• 1 и 2 февраля 2011 года в г. Бишкек проведен кыргызско-турецкий бизнес-форум. Целью данного мероприятия было ознакомление турецких бизнесменов с инвестиционными возможностями Кыргызстана. Делегацией турецких бизнесменов было проведено обсуждение развития таких направлений в бизнесе, как машиностроение, текстиль, медицина, туризм, промышленность, сельское хозяйство (производители фасоли, переработчики с/х продукции), энергетика, поставщики алюминия, угля, строительство.</w:t>
      </w:r>
    </w:p>
    <w:p>
      <w:pPr>
        <w:spacing w:after="120"/>
        <w:jc w:val="both"/>
      </w:pPr>
      <w:r>
        <w:rPr>
          <w:rFonts w:ascii="Arial" w:cs="Arial" w:eastAsia="Arial" w:hAnsi="Arial"/>
          <w:sz w:val="24"/>
          <w:szCs w:val="24"/>
        </w:rPr>
        <w:t xml:space="preserve">По итогам бизнес-форума с участием премьер-министров Кыргызстана и Турции состоялось подписание меморандумов о сотрудничестве и взаимопонимании между Министерством экономического регулирования Кыргызской Республики: с Агентством по поддержке и привлечению инвестиций при Премьер-министре, Ассоциацией экспортеров, Конфедерацией бизнесменов и промышленников Турции;</w:t>
      </w:r>
    </w:p>
    <w:p>
      <w:pPr>
        <w:spacing w:after="120"/>
        <w:jc w:val="both"/>
      </w:pPr>
      <w:r>
        <w:rPr>
          <w:rFonts w:ascii="Arial" w:cs="Arial" w:eastAsia="Arial" w:hAnsi="Arial"/>
          <w:sz w:val="24"/>
          <w:szCs w:val="24"/>
        </w:rPr>
        <w:t xml:space="preserve">• с 25 по 27 апреля 2011 года совместно с турецкой стороной проведен кыргызско-турецкий бизнес-форум, в г. Анкара, с участием членов Правительства Кыргызской Республики во главе с Премьер-министром Кыргызской Республики, а также кыргызских и турецких бизнесменов. 22-23 июня 2011 года Кыргызскую Республику с рабочим визитом посетила казахстанская делегация АО «ФНБ «Самрук-Казына». В ходе данного визита проведены переговоры с первым вице-премьер-министром Кыргызской Республики и членами Правительства Кыргызской Республики.</w:t>
      </w:r>
    </w:p>
    <w:p>
      <w:pPr>
        <w:spacing w:after="120"/>
        <w:jc w:val="both"/>
      </w:pPr>
      <w:r>
        <w:rPr>
          <w:rFonts w:ascii="Arial" w:cs="Arial" w:eastAsia="Arial" w:hAnsi="Arial"/>
          <w:sz w:val="24"/>
          <w:szCs w:val="24"/>
        </w:rPr>
        <w:t xml:space="preserve">Поступление прямых иностранных инвестиций (далее - ПИИ) за 9 месяцев 2011 года составило 458,8 млн. долл. США и к уровню аналогичного периода 2010 года повысилось в 1,8 раза.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Поступление прямых иностранных инвестиций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72"/>
        <w:gridCol w:w="1095"/>
        <w:gridCol w:w="1404"/>
        <w:gridCol w:w="1465"/>
        <w:gridCol w:w="1465"/>
        <w:gridCol w:w="2076"/>
      </w:tblGrid>
      <w:tr>
        <w:tc>
          <w:tcPr>
            <w:tcW w:type="dxa" w:w="26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Показатель/годы</w:t>
            </w:r>
          </w:p>
        </w:tc>
        <w:tc>
          <w:tcPr>
            <w:tcW w:type="dxa" w:w="10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 г.</w:t>
            </w:r>
          </w:p>
        </w:tc>
        <w:tc>
          <w:tcPr>
            <w:tcW w:type="dxa" w:w="140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 г,</w:t>
            </w:r>
          </w:p>
          <w:p>
            <w:pPr>
              <w:jc w:val="left"/>
            </w:pPr>
            <w:r>
              <w:rPr>
                <w:rFonts w:ascii="Arial" w:cs="Arial" w:eastAsia="Arial" w:hAnsi="Arial"/>
                <w:sz w:val="24"/>
                <w:szCs w:val="24"/>
              </w:rPr>
              <w:t xml:space="preserve">в % к 2009 г.</w:t>
            </w:r>
          </w:p>
        </w:tc>
        <w:tc>
          <w:tcPr>
            <w:tcW w:type="dxa" w:w="14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9 месяцев 2010 г.</w:t>
            </w:r>
          </w:p>
        </w:tc>
        <w:tc>
          <w:tcPr>
            <w:tcW w:type="dxa" w:w="14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9 месяцев 2011 г.</w:t>
            </w:r>
          </w:p>
        </w:tc>
        <w:tc>
          <w:tcPr>
            <w:tcW w:type="dxa" w:w="207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9 мес. 2011 г. в % к 9 мес. 2010 г.</w:t>
            </w:r>
          </w:p>
        </w:tc>
      </w:tr>
      <w:tr>
        <w:tc>
          <w:tcPr>
            <w:tcW w:type="dxa" w:w="2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ПИИ, тыс. долл. США*</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445962,8</w:t>
            </w:r>
          </w:p>
        </w:tc>
        <w:tc>
          <w:tcPr>
            <w:tcW w:type="dxa" w:w="1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1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248 858,2</w:t>
            </w:r>
          </w:p>
        </w:tc>
        <w:tc>
          <w:tcPr>
            <w:tcW w:type="dxa" w:w="1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458 787,6</w:t>
            </w:r>
          </w:p>
        </w:tc>
        <w:tc>
          <w:tcPr>
            <w:tcW w:type="dxa" w:w="2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184,3</w:t>
            </w:r>
          </w:p>
        </w:tc>
      </w:tr>
    </w:tbl>
    <w:p>
      <w:pPr>
        <w:spacing w:after="120"/>
        <w:jc w:val="both"/>
      </w:pPr>
      <w:r>
        <w:rPr>
          <w:rFonts w:ascii="Arial" w:cs="Arial" w:eastAsia="Arial" w:hAnsi="Arial"/>
          <w:sz w:val="24"/>
          <w:szCs w:val="24"/>
        </w:rPr>
        <w:t xml:space="preserve">________________________</w:t>
      </w:r>
    </w:p>
    <w:p>
      <w:pPr>
        <w:spacing w:after="120"/>
        <w:jc w:val="both"/>
      </w:pPr>
      <w:r>
        <w:rPr>
          <w:rFonts w:ascii="Arial" w:cs="Arial" w:eastAsia="Arial" w:hAnsi="Arial"/>
          <w:sz w:val="24"/>
          <w:szCs w:val="24"/>
        </w:rPr>
        <w:t xml:space="preserve">* - Без учета оттока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Наиболее привлекательными отраслями для инвесторов за 9 месяцев 2011 года являлись обрабатывающая промышленность, удельный вес которой в общем объеме ПИИ составил 27 %; торговля; ремонт автомобилей, бытовых изделий и предметов личного пользования - 6 %; финансовая деятельность - 5 %; операции с недвижимым имуществом, аренда и предоставление услуг потребителям - 8 %; транспорт и связь - 2 %; горнодобывающая промышленность - 2 %.</w:t>
      </w:r>
    </w:p>
    <w:p>
      <w:pPr>
        <w:spacing w:after="120"/>
        <w:jc w:val="both"/>
      </w:pPr>
      <w:r>
        <w:rPr>
          <w:rFonts w:ascii="Arial" w:cs="Arial" w:eastAsia="Arial" w:hAnsi="Arial"/>
          <w:sz w:val="24"/>
          <w:szCs w:val="24"/>
        </w:rPr>
        <w:t xml:space="preserve">Приток ПИИ из стран вне СНГ за 9 месяцев 2011 года составил 193,3 % к уровню аналогичного периода 2010 года (91,6 % от общего объема поступивших ПИИ). Основными странами-инвесторами являлись: Канада - 17 % от общего объема ПИИ (219,5 млн. долл. США), Великобритания - 3 % (34,3 млн. долл. США), Китай - 5 % (55,0 млн. долл. США), Германия - 2 % (25,3 млн. долл. США).</w:t>
      </w:r>
    </w:p>
    <w:p>
      <w:pPr>
        <w:spacing w:after="120"/>
        <w:jc w:val="both"/>
      </w:pPr>
      <w:r>
        <w:rPr>
          <w:rFonts w:ascii="Arial" w:cs="Arial" w:eastAsia="Arial" w:hAnsi="Arial"/>
          <w:sz w:val="24"/>
          <w:szCs w:val="24"/>
        </w:rPr>
        <w:t xml:space="preserve">Объем поступлений ПИИ из стран СНГ увеличился и составил 122,5 % к уровню аналогичного периода 2010 года (8,4% от общего объема поступивших инвестиций). Основную долю вложений ПИИ осуществили инвесторы из Казахстана - 29 % или 22,1 млн. долл. США, при этом необходимо отметить, что рост составил 2,8 раза к аналогичному уровню рассматриваемого периода 2010 года, а также из России - 21 % (16,2 млн. долл. США) от общего объема поступивших ПИИ, при этом объемы прямых инвестиций снизились на 31,3 %.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Поступление прямых иностранных инвестиций (ПИИ) за 9 месяцев 2011 года в разрезе регионов (тыс. долл. США)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27"/>
        <w:gridCol w:w="3526"/>
        <w:gridCol w:w="3526"/>
      </w:tblGrid>
      <w:tr>
        <w:tc>
          <w:tcPr>
            <w:tcW w:type="dxa" w:w="312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5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Приток</w:t>
            </w:r>
          </w:p>
        </w:tc>
      </w:tr>
      <w:tr>
        <w:tc>
          <w:tcPr>
            <w:tcW w:type="dxa" w:w="31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месяцев 2011 г.</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месяцев 2011 г., в % к 9 месяцам 2010 г.</w:t>
            </w:r>
          </w:p>
        </w:tc>
      </w:tr>
      <w:tr>
        <w:tc>
          <w:tcPr>
            <w:tcW w:type="dxa" w:w="31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458 787,6</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1,8 р.</w:t>
            </w:r>
          </w:p>
        </w:tc>
      </w:tr>
      <w:tr>
        <w:tc>
          <w:tcPr>
            <w:tcW w:type="dxa" w:w="31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4 352,3</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10,5 р.</w:t>
            </w:r>
          </w:p>
        </w:tc>
      </w:tr>
      <w:tr>
        <w:tc>
          <w:tcPr>
            <w:tcW w:type="dxa" w:w="31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38 973,1</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w:t>
            </w:r>
          </w:p>
        </w:tc>
      </w:tr>
      <w:tr>
        <w:tc>
          <w:tcPr>
            <w:tcW w:type="dxa" w:w="31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211798,7</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2,3 р.</w:t>
            </w:r>
          </w:p>
        </w:tc>
      </w:tr>
      <w:tr>
        <w:tc>
          <w:tcPr>
            <w:tcW w:type="dxa" w:w="31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603,9</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52,9</w:t>
            </w:r>
          </w:p>
        </w:tc>
      </w:tr>
      <w:tr>
        <w:tc>
          <w:tcPr>
            <w:tcW w:type="dxa" w:w="31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3 112,3</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69,6</w:t>
            </w:r>
          </w:p>
        </w:tc>
      </w:tr>
      <w:tr>
        <w:tc>
          <w:tcPr>
            <w:tcW w:type="dxa" w:w="31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54 420,8</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5,9 р.</w:t>
            </w:r>
          </w:p>
        </w:tc>
      </w:tr>
      <w:tr>
        <w:tc>
          <w:tcPr>
            <w:tcW w:type="dxa" w:w="31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г.Бишкек</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132 201,4</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1,6 р.</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Как видно из таблицы 8, за 9 месяцев 2011 года в общем объеме ПИИ наибольший удельный вес приходится на Иссык-Кульскую область - 46,2 %, или 211,8 млн. долл. США, г. Бишкек - 28,8 % или 132,2 млн. долл. США, Чуйскую область - 11,9 % или 54,4 млн. долл. США, Джалал-Абадскую область - 8,5 % или 39 млн. долл. США.</w:t>
      </w:r>
    </w:p>
    <w:p>
      <w:pPr>
        <w:spacing w:after="120"/>
        <w:jc w:val="both"/>
      </w:pPr>
      <w:r>
        <w:rPr>
          <w:rFonts w:ascii="Arial" w:cs="Arial" w:eastAsia="Arial" w:hAnsi="Arial"/>
          <w:sz w:val="24"/>
          <w:szCs w:val="24"/>
        </w:rPr>
        <w:t xml:space="preserve">Отток прямых иностранных инвестиций за 9 месяцев 2011 года составил 70,1 млн. долл. США (15,3 % поступивших ПИИ), что меньше, чем за аналогичный период прошлого года на 47,8 млн. долл. США или на 47,4 % (118 млн. долл. США за 9 месяцев 2010 года).</w:t>
      </w:r>
    </w:p>
    <w:p>
      <w:pPr>
        <w:spacing w:after="120"/>
        <w:jc w:val="both"/>
      </w:pPr>
      <w:r>
        <w:rPr>
          <w:rFonts w:ascii="Arial" w:cs="Arial" w:eastAsia="Arial" w:hAnsi="Arial"/>
          <w:sz w:val="24"/>
          <w:szCs w:val="24"/>
        </w:rPr>
        <w:t xml:space="preserve">Отток ПИИ объясняется возвратом большей части полученных кредитов от зарубежных совладельцев предприятий и торговых кредитов, которые составляют в структуре оттока 92,2 %. Следует отметить, что отток инвестиций прослеживается практически во всех отраслях экономики, но наибольшую долю занимают обрабатывающая промышленность - 34,2 %, торговля; ремонт автомобилей, бытовых изделий и предметов личного пользования - 19,2 %; операции с недвижимым имуществом, аренда и предоставление услуг потребителям - 19,0 %; строительство - 16,5 %.</w:t>
      </w:r>
    </w:p>
    <w:p>
      <w:pPr>
        <w:spacing w:after="120"/>
        <w:jc w:val="both"/>
      </w:pPr>
      <w:r>
        <w:rPr>
          <w:rFonts w:ascii="Arial" w:cs="Arial" w:eastAsia="Arial" w:hAnsi="Arial"/>
          <w:sz w:val="24"/>
          <w:szCs w:val="24"/>
        </w:rPr>
        <w:t xml:space="preserve">Основными странами, которые вывозят свой капитал, являются Казахстан, Германия, Россия, Китай, Соединенные Штаты Америки, Турция, Объединенные Арабские Эмираты.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Программа государственных инвестиций ПГИ</w:t>
      </w:r>
    </w:p>
    <w:p>
      <w:pPr>
        <w:spacing w:after="120"/>
        <w:jc w:val="both"/>
      </w:pPr>
      <w:r>
        <w:rPr>
          <w:rFonts w:ascii="Arial" w:cs="Arial" w:eastAsia="Arial" w:hAnsi="Arial"/>
          <w:sz w:val="24"/>
          <w:szCs w:val="24"/>
        </w:rPr>
        <w:t xml:space="preserve">Общий объем расходов по инвестиционным проектам Программы государственных инвестиций за январь - декабрь 2011 года составил 13 785,9 млн. сомов, в том числе внешнее финансирование инвестиционных проектов без грантов составило 8 478,2 млн. сомов, или 97,9 % от годового планового показателя, и в части внутреннего софинансирования инвестиционных проектов - 626,4 млн. сомов или 98,6 % годового планового показателя.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Фискальная политика</w:t>
      </w:r>
    </w:p>
    <w:p>
      <w:pPr>
        <w:spacing w:after="120"/>
        <w:jc w:val="both"/>
      </w:pPr>
      <w:r>
        <w:rPr>
          <w:rFonts w:ascii="Arial" w:cs="Arial" w:eastAsia="Arial" w:hAnsi="Arial"/>
          <w:sz w:val="24"/>
          <w:szCs w:val="24"/>
        </w:rPr>
        <w:t xml:space="preserve">Основными направлениями фискальной политики в отчетном 2011 году были обеспечение устойчивого экономического роста путем создания максимально благоприятных условий для активизации деятельности хозяйствующих субъектов, ликвидация барьеров для ведения бизнеса, а также рассмотрение вопросов по снижению налогового бремени и стимулированию развития предпринимательства.</w:t>
      </w:r>
    </w:p>
    <w:p>
      <w:pPr>
        <w:spacing w:after="120"/>
        <w:jc w:val="both"/>
      </w:pPr>
      <w:r>
        <w:rPr>
          <w:rFonts w:ascii="Arial" w:cs="Arial" w:eastAsia="Arial" w:hAnsi="Arial"/>
          <w:sz w:val="24"/>
          <w:szCs w:val="24"/>
        </w:rPr>
        <w:t xml:space="preserve">Для улучшения инвестиционного климата, совершенствования проводимой налоговой политики, системы налогового и таможенного администрирования Правительством Кыргызской Республики принят ряд нормативных правовых актов.</w:t>
      </w:r>
    </w:p>
    <w:p>
      <w:pPr>
        <w:spacing w:after="120"/>
        <w:jc w:val="both"/>
      </w:pPr>
      <w:r>
        <w:rPr>
          <w:rFonts w:ascii="Arial" w:cs="Arial" w:eastAsia="Arial" w:hAnsi="Arial"/>
          <w:sz w:val="24"/>
          <w:szCs w:val="24"/>
        </w:rPr>
        <w:t xml:space="preserve">Для справки:</w:t>
      </w:r>
    </w:p>
    <w:p>
      <w:pPr>
        <w:spacing w:after="120"/>
        <w:jc w:val="both"/>
      </w:pPr>
      <w:r>
        <w:rPr>
          <w:rFonts w:ascii="Arial" w:cs="Arial" w:eastAsia="Arial" w:hAnsi="Arial"/>
          <w:sz w:val="24"/>
          <w:szCs w:val="24"/>
        </w:rPr>
        <w:t xml:space="preserve">- </w:t>
      </w:r>
      <w:hyperlink w:history="1" r:id="rIdphkr7qeew8no8fsfakhf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признании утратившими силу некоторых законодательных актов Кыргызской Республики и внесении изменения в </w:t>
      </w:r>
      <w:hyperlink w:history="1" r:id="rIdyqtetk6r-gvd8uxrw6hap">
        <w:r>
          <w:rPr>
            <w:rFonts w:ascii="Arial" w:cs="Arial" w:eastAsia="Arial" w:hAnsi="Arial"/>
            <w:color w:val="1D4ED8"/>
            <w:sz w:val="24"/>
            <w:szCs w:val="24"/>
            <w:u w:val="single"/>
          </w:rPr>
          <w:t xml:space="preserve">Налоговый кодекс</w:t>
        </w:r>
      </w:hyperlink>
      <w:r>
        <w:rPr>
          <w:rFonts w:ascii="Arial" w:cs="Arial" w:eastAsia="Arial" w:hAnsi="Arial"/>
          <w:sz w:val="24"/>
          <w:szCs w:val="24"/>
        </w:rPr>
        <w:t xml:space="preserve"> Кыргызской Республики» от 11 марта 2011 года № 5 (приостановлено дальнейшее продвижение государственной политики по введению латентных марок);</w:t>
      </w:r>
    </w:p>
    <w:p>
      <w:pPr>
        <w:spacing w:after="120"/>
        <w:jc w:val="both"/>
      </w:pPr>
      <w:r>
        <w:rPr>
          <w:rFonts w:ascii="Arial" w:cs="Arial" w:eastAsia="Arial" w:hAnsi="Arial"/>
          <w:sz w:val="24"/>
          <w:szCs w:val="24"/>
        </w:rPr>
        <w:t xml:space="preserve">- </w:t>
      </w:r>
      <w:hyperlink w:history="1" r:id="rIdhbwf8ebry1vlo_0jbsm7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ruc9w_lajewgxhvr7_2w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таможенном тарифе Кыргызской Республики» от 19 мая 2011 года № 27 (в целях сдерживания роста цен на социально значимые виды товаров);</w:t>
      </w:r>
    </w:p>
    <w:p>
      <w:pPr>
        <w:spacing w:after="120"/>
        <w:jc w:val="both"/>
      </w:pPr>
      <w:r>
        <w:rPr>
          <w:rFonts w:ascii="Arial" w:cs="Arial" w:eastAsia="Arial" w:hAnsi="Arial"/>
          <w:sz w:val="24"/>
          <w:szCs w:val="24"/>
        </w:rPr>
        <w:t xml:space="preserve">- </w:t>
      </w:r>
      <w:hyperlink w:history="1" r:id="rIdyvsscthj8djkdoivjuan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от 30 мая 2011 года № 33 (для принятия комплекса мер по легализации теневого оборота алкогольной продукции и доведения объема производства и реализации водки до 2 500 тыс. дал.);</w:t>
      </w:r>
    </w:p>
    <w:p>
      <w:pPr>
        <w:spacing w:after="120"/>
        <w:jc w:val="both"/>
      </w:pPr>
      <w:r>
        <w:rPr>
          <w:rFonts w:ascii="Arial" w:cs="Arial" w:eastAsia="Arial" w:hAnsi="Arial"/>
          <w:sz w:val="24"/>
          <w:szCs w:val="24"/>
        </w:rPr>
        <w:t xml:space="preserve">- </w:t>
      </w:r>
      <w:hyperlink w:history="1" r:id="rIdo4odcatf-np1qjw20lhx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jm1irr8l5sk3r8esaaq2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неналоговых платежах» от 16 июня 2011 года № 48 (сняты все несоответствия и барьеры, мешающие администрированию неналоговых платежей);</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и дополнений в </w:t>
      </w:r>
      <w:hyperlink w:history="1" r:id="rIdq2zt8lfdqawvh7lccadhf">
        <w:r>
          <w:rPr>
            <w:rFonts w:ascii="Arial" w:cs="Arial" w:eastAsia="Arial" w:hAnsi="Arial"/>
            <w:color w:val="1D4ED8"/>
            <w:sz w:val="24"/>
            <w:szCs w:val="24"/>
            <w:u w:val="single"/>
          </w:rPr>
          <w:t xml:space="preserve">Налоговый кодекс</w:t>
        </w:r>
      </w:hyperlink>
      <w:r>
        <w:rPr>
          <w:rFonts w:ascii="Arial" w:cs="Arial" w:eastAsia="Arial" w:hAnsi="Arial"/>
          <w:sz w:val="24"/>
          <w:szCs w:val="24"/>
        </w:rPr>
        <w:t xml:space="preserve"> Кыргызской Республики» от 24 июня 2011 года № 56 (освобождение от НДС специализированных товаров для строительства и реконструкции стекловаренной печи);</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и дополнений в </w:t>
      </w:r>
      <w:hyperlink w:history="1" r:id="rIdbelju1ihwju5skgetthqe">
        <w:r>
          <w:rPr>
            <w:rFonts w:ascii="Arial" w:cs="Arial" w:eastAsia="Arial" w:hAnsi="Arial"/>
            <w:color w:val="1D4ED8"/>
            <w:sz w:val="24"/>
            <w:szCs w:val="24"/>
            <w:u w:val="single"/>
          </w:rPr>
          <w:t xml:space="preserve">Налоговый кодекс</w:t>
        </w:r>
      </w:hyperlink>
      <w:r>
        <w:rPr>
          <w:rFonts w:ascii="Arial" w:cs="Arial" w:eastAsia="Arial" w:hAnsi="Arial"/>
          <w:sz w:val="24"/>
          <w:szCs w:val="24"/>
        </w:rPr>
        <w:t xml:space="preserve"> Кыргызской Республики» от 30 июня 2011 года № 64 (поставка и экспорт золотого и серебряного сплавов и аффинированного золота и серебра являются поставкой, освобожденной от НДС);</w:t>
      </w:r>
    </w:p>
    <w:p>
      <w:pPr>
        <w:spacing w:after="120"/>
        <w:jc w:val="both"/>
      </w:pPr>
      <w:r>
        <w:rPr>
          <w:rFonts w:ascii="Arial" w:cs="Arial" w:eastAsia="Arial" w:hAnsi="Arial"/>
          <w:sz w:val="24"/>
          <w:szCs w:val="24"/>
        </w:rPr>
        <w:t xml:space="preserve">- </w:t>
      </w:r>
      <w:hyperlink w:history="1" r:id="rId-hpvzjk_mdfh1jlofxsh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изменений в некоторые законодательные акты» от 22 июля 2011 года № 123 (для перехода на комбинированную систему обложения акцизным налогом табачных изделий);</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Указ</w:t>
      </w:r>
      <w:r>
        <w:rPr>
          <w:rFonts w:ascii="Arial" w:cs="Arial" w:eastAsia="Arial" w:hAnsi="Arial"/>
          <w:sz w:val="24"/>
          <w:szCs w:val="24"/>
        </w:rPr>
        <w:t xml:space="preserve"> Президента Кыргызской Республики «О признании утратившим силу </w:t>
      </w:r>
      <w:r>
        <w:rPr>
          <w:rFonts w:ascii="Arial" w:cs="Arial" w:eastAsia="Arial" w:hAnsi="Arial"/>
          <w:sz w:val="24"/>
          <w:szCs w:val="24"/>
        </w:rPr>
        <w:t xml:space="preserve">Указа</w:t>
      </w:r>
      <w:r>
        <w:rPr>
          <w:rFonts w:ascii="Arial" w:cs="Arial" w:eastAsia="Arial" w:hAnsi="Arial"/>
          <w:sz w:val="24"/>
          <w:szCs w:val="24"/>
        </w:rPr>
        <w:t xml:space="preserve"> Президента Кыргызской Республики «О системе маркировок товаров контрольными (латентными) знаками» от 12 января 2006 года» от 24 мая 2011 года № 123 (в целях приведения в соответствие со статьей 3 </w:t>
      </w:r>
      <w:hyperlink w:history="1" r:id="rIdthdsksfhr1yjxtwby6dx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признании утратившими силу некоторых законодательных актов Кыргызской Республики и внесении изменения в </w:t>
      </w:r>
      <w:hyperlink w:history="1" r:id="rId9zoti1jk-m5hs22kzumyh">
        <w:r>
          <w:rPr>
            <w:rFonts w:ascii="Arial" w:cs="Arial" w:eastAsia="Arial" w:hAnsi="Arial"/>
            <w:color w:val="1D4ED8"/>
            <w:sz w:val="24"/>
            <w:szCs w:val="24"/>
            <w:u w:val="single"/>
          </w:rPr>
          <w:t xml:space="preserve">Налоговый кодекс</w:t>
        </w:r>
      </w:hyperlink>
      <w:r>
        <w:rPr>
          <w:rFonts w:ascii="Arial" w:cs="Arial" w:eastAsia="Arial" w:hAnsi="Arial"/>
          <w:sz w:val="24"/>
          <w:szCs w:val="24"/>
        </w:rPr>
        <w:t xml:space="preserve"> Кыргызской Республики» от 11 марта 2011 года № 5);</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внесении изменений в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мерах по реализации требований </w:t>
      </w:r>
      <w:hyperlink w:history="1" r:id="rIdi4ikdhuumlfzzbsisd9dc">
        <w:r>
          <w:rPr>
            <w:rFonts w:ascii="Arial" w:cs="Arial" w:eastAsia="Arial" w:hAnsi="Arial"/>
            <w:color w:val="1D4ED8"/>
            <w:sz w:val="24"/>
            <w:szCs w:val="24"/>
            <w:u w:val="single"/>
          </w:rPr>
          <w:t xml:space="preserve">Таможенного кодекса</w:t>
        </w:r>
      </w:hyperlink>
      <w:r>
        <w:rPr>
          <w:rFonts w:ascii="Arial" w:cs="Arial" w:eastAsia="Arial" w:hAnsi="Arial"/>
          <w:sz w:val="24"/>
          <w:szCs w:val="24"/>
        </w:rPr>
        <w:t xml:space="preserve"> Кыргызской Республики» от 11 марта 2005 года № 123» от 22 февраля 2011 года № 63 (в целях усиления контроля таможенной стоимости ввозимых товаров посредством формирования и использования сведений по ввозимым товарам на таможенную территорию Кыргызской Республики);</w:t>
      </w:r>
    </w:p>
    <w:p>
      <w:pPr>
        <w:spacing w:after="120"/>
        <w:jc w:val="both"/>
      </w:pPr>
      <w:r>
        <w:rPr>
          <w:rFonts w:ascii="Arial" w:cs="Arial" w:eastAsia="Arial" w:hAnsi="Arial"/>
          <w:sz w:val="24"/>
          <w:szCs w:val="24"/>
        </w:rPr>
        <w:t xml:space="preserve">- </w:t>
      </w:r>
      <w:hyperlink w:history="1" r:id="rIduuwuyezorbaqxftt-m84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w:t>
      </w:r>
      <w:hyperlink w:history="1" r:id="rId7arfltubgdptxdwvh92f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nzjdyy9taeag4vtonnalq">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перемещении товаров и автотранспорта через государственную границу Кыргызской Республики физическими лицами» от 31 декабря 2004 года № 976» от 22 февраля 2011 года № 64 (в целях дальнейшего упорядочения процедуры перемещения физическими лицами товаров и автотранспорта через государственную границу Кыргызской Республики);</w:t>
      </w:r>
    </w:p>
    <w:p>
      <w:pPr>
        <w:spacing w:after="120"/>
        <w:jc w:val="both"/>
      </w:pPr>
      <w:r>
        <w:rPr>
          <w:rFonts w:ascii="Arial" w:cs="Arial" w:eastAsia="Arial" w:hAnsi="Arial"/>
          <w:sz w:val="24"/>
          <w:szCs w:val="24"/>
        </w:rPr>
        <w:t xml:space="preserve">- </w:t>
      </w:r>
      <w:hyperlink w:history="1" r:id="rId7xwbmxmwmilfozxf6mhn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w:t>
      </w:r>
      <w:hyperlink w:history="1" r:id="rIdrnv82fvmx5o1txybxwt_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ставок налога на основе обязательного патента по видам экономической деятельности» от 28 января 2009 года № 58» от 22 февраля 2011 года № 66 (для пересмотра ставок налога на основе обязательного патента на услуги игровых автоматов);</w:t>
      </w:r>
    </w:p>
    <w:p>
      <w:pPr>
        <w:spacing w:after="120"/>
        <w:jc w:val="both"/>
      </w:pPr>
      <w:r>
        <w:rPr>
          <w:rFonts w:ascii="Arial" w:cs="Arial" w:eastAsia="Arial" w:hAnsi="Arial"/>
          <w:sz w:val="24"/>
          <w:szCs w:val="24"/>
        </w:rPr>
        <w:t xml:space="preserve">- </w:t>
      </w:r>
      <w:hyperlink w:history="1" r:id="rIdyoptxdr9h3xupbwau-gt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освобождении субъектов предпринимательства от процедуры апробирования и клеймения ювелирных изделий из драгоценных металлов, импортируемых в Кыргызскую Республику» от 22 февраля 2011 года № 67 (в целях увеличения поступления таможенных платежей при импорте ювелирных изделий из драгоценных металлов и поддержки субъектов предпринимательства Кыргызской Республики);</w:t>
      </w:r>
    </w:p>
    <w:p>
      <w:pPr>
        <w:spacing w:after="120"/>
        <w:jc w:val="both"/>
      </w:pPr>
      <w:r>
        <w:rPr>
          <w:rFonts w:ascii="Arial" w:cs="Arial" w:eastAsia="Arial" w:hAnsi="Arial"/>
          <w:sz w:val="24"/>
          <w:szCs w:val="24"/>
        </w:rPr>
        <w:t xml:space="preserve">- </w:t>
      </w:r>
      <w:hyperlink w:history="1" r:id="rId9_c8et2sxsw6rawak9ny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cnvspeec3yvcnxkwlxssm">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реализации международных договоров и иных соглашений, участницей которых является Кыргызская Республика, в части освобождения от уплаты налогов, пошлин и иных платежей» от 12 апреля 2011 года № 155 (Определение порядка реализации международных договоров и иных соглашений, ратифицированных в установленном законодательством Кыргызской Республики порядке, участницей которых является Кыргызская Республика, предусматривающих освобождение от уплаты налогов, пошлин и иных платежей);</w:t>
      </w:r>
    </w:p>
    <w:p>
      <w:pPr>
        <w:spacing w:after="120"/>
        <w:jc w:val="both"/>
      </w:pPr>
      <w:r>
        <w:rPr>
          <w:rFonts w:ascii="Arial" w:cs="Arial" w:eastAsia="Arial" w:hAnsi="Arial"/>
          <w:sz w:val="24"/>
          <w:szCs w:val="24"/>
        </w:rPr>
        <w:t xml:space="preserve">- </w:t>
      </w:r>
      <w:hyperlink w:history="1" r:id="rIdju7koyq1u_ioieudxelg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27 мая 2011 года № 259 (в целях устранения дублирования в нормативных правовых актах, касающихся вопросов учета автотранспорта, и уменьшения затрат и времени при оформлении автотранспортных средств);</w:t>
      </w:r>
    </w:p>
    <w:p>
      <w:pPr>
        <w:spacing w:after="120"/>
        <w:jc w:val="both"/>
      </w:pPr>
      <w:r>
        <w:rPr>
          <w:rFonts w:ascii="Arial" w:cs="Arial" w:eastAsia="Arial" w:hAnsi="Arial"/>
          <w:sz w:val="24"/>
          <w:szCs w:val="24"/>
        </w:rPr>
        <w:t xml:space="preserve">- </w:t>
      </w:r>
      <w:hyperlink w:history="1" r:id="rIdzstvnbf-oiyzyx7salaq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государственной поддержке развития аффинажного производства в Кыргызской Республике» от 23 июня 2011 года № 338 (в целях стимулирования производства и привлечения дополнительных объемов сырья (сплава, лома, шлихового золота и т.д.), содержащего драгоценные металлы, производимого на территории Кыргызской Республики и ввозимого из зарубежных стран, на переработку на аффинажном заводе ОАО «Кыргызалтын» «Аффинажный завод»);</w:t>
      </w:r>
    </w:p>
    <w:p>
      <w:pPr>
        <w:spacing w:after="120"/>
        <w:jc w:val="both"/>
      </w:pPr>
      <w:r>
        <w:rPr>
          <w:rFonts w:ascii="Arial" w:cs="Arial" w:eastAsia="Arial" w:hAnsi="Arial"/>
          <w:sz w:val="24"/>
          <w:szCs w:val="24"/>
        </w:rPr>
        <w:t xml:space="preserve">- </w:t>
      </w:r>
      <w:hyperlink w:history="1" r:id="rIdha7vz3kuh93qcfadhrbk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признании утратившим силу </w:t>
      </w:r>
      <w:hyperlink w:history="1" r:id="rIdi2dth-wpowkhmugbexqua">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порядке получения, хранения, контроля и учета контрольных (латентных) марок и одобрении перечня товаров, подлежащих маркировке контрольными (латентными) марками» от 24 декабря 2008 года № 711» от 24 июня 2011 года № 341 (в целях приведения в соответствие со статьей 3 Закона Кыргызской Республики «О признании утратившими силу некоторых законодательных актов Кыргызской Республики и внесении изменения в </w:t>
      </w:r>
      <w:hyperlink w:history="1" r:id="rIdowxqbbza30_p3ew0ed2s_">
        <w:r>
          <w:rPr>
            <w:rFonts w:ascii="Arial" w:cs="Arial" w:eastAsia="Arial" w:hAnsi="Arial"/>
            <w:color w:val="1D4ED8"/>
            <w:sz w:val="24"/>
            <w:szCs w:val="24"/>
            <w:u w:val="single"/>
          </w:rPr>
          <w:t xml:space="preserve">Налоговый кодекс</w:t>
        </w:r>
      </w:hyperlink>
      <w:r>
        <w:rPr>
          <w:rFonts w:ascii="Arial" w:cs="Arial" w:eastAsia="Arial" w:hAnsi="Arial"/>
          <w:sz w:val="24"/>
          <w:szCs w:val="24"/>
        </w:rPr>
        <w:t xml:space="preserve"> Кыргызской Республики» от 11 марта 2011 года № 5);</w:t>
      </w:r>
    </w:p>
    <w:p>
      <w:pPr>
        <w:spacing w:after="120"/>
        <w:jc w:val="both"/>
      </w:pPr>
      <w:r>
        <w:rPr>
          <w:rFonts w:ascii="Arial" w:cs="Arial" w:eastAsia="Arial" w:hAnsi="Arial"/>
          <w:sz w:val="24"/>
          <w:szCs w:val="24"/>
        </w:rPr>
        <w:t xml:space="preserve">- </w:t>
      </w:r>
      <w:hyperlink w:history="1" r:id="rIduc2ip05lsqgfqpvu2bpl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w:t>
      </w:r>
      <w:hyperlink w:history="1" r:id="rIdncm7emu48gi9nmyxzkoz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введении временного запрета на вывоз нефтепродуктов с территории Кыргызской Республики» от 15 июня 2011 года № 316» от 26 августа 2011 года № 516 (в целях исполнения международных обязательств по реэкспорту отдельных видов товаров, а также в целях поддержки отечественных товаропроизводителей предусматривает введение временного запрета на вывоз нефтепродуктов с территории Кыргызской Республики);</w:t>
      </w:r>
    </w:p>
    <w:p>
      <w:pPr>
        <w:spacing w:after="120"/>
        <w:jc w:val="both"/>
      </w:pPr>
      <w:r>
        <w:rPr>
          <w:rFonts w:ascii="Arial" w:cs="Arial" w:eastAsia="Arial" w:hAnsi="Arial"/>
          <w:sz w:val="24"/>
          <w:szCs w:val="24"/>
        </w:rPr>
        <w:t xml:space="preserve">- </w:t>
      </w:r>
      <w:hyperlink w:history="1" r:id="rIdpwk7xwlpfyobkydeqlph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w:t>
      </w:r>
      <w:r>
        <w:rPr>
          <w:rFonts w:ascii="Arial" w:cs="Arial" w:eastAsia="Arial" w:hAnsi="Arial"/>
          <w:sz w:val="24"/>
          <w:szCs w:val="24"/>
        </w:rPr>
        <w:t xml:space="preserve">проекте Закона</w:t>
      </w:r>
      <w:r>
        <w:rPr>
          <w:rFonts w:ascii="Arial" w:cs="Arial" w:eastAsia="Arial" w:hAnsi="Arial"/>
          <w:sz w:val="24"/>
          <w:szCs w:val="24"/>
        </w:rPr>
        <w:t xml:space="preserve"> Кыргызской Республики «О внесении изменений и дополнений в </w:t>
      </w:r>
      <w:hyperlink w:history="1" r:id="rIdxmje6y1j_lhcjcfz4cggr">
        <w:r>
          <w:rPr>
            <w:rFonts w:ascii="Arial" w:cs="Arial" w:eastAsia="Arial" w:hAnsi="Arial"/>
            <w:color w:val="1D4ED8"/>
            <w:sz w:val="24"/>
            <w:szCs w:val="24"/>
            <w:u w:val="single"/>
          </w:rPr>
          <w:t xml:space="preserve">Налоговый кодекс</w:t>
        </w:r>
      </w:hyperlink>
      <w:r>
        <w:rPr>
          <w:rFonts w:ascii="Arial" w:cs="Arial" w:eastAsia="Arial" w:hAnsi="Arial"/>
          <w:sz w:val="24"/>
          <w:szCs w:val="24"/>
        </w:rPr>
        <w:t xml:space="preserve"> Кыргызской Республики» от 26 октября 2011 года № 676 (в целях совершенствования и улучшения налогового администрирования и приведения в соответствие с </w:t>
      </w:r>
      <w:hyperlink w:history="1" r:id="rIdmtcgml8wtcdmkes5luax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положений </w:t>
      </w:r>
      <w:hyperlink w:history="1" r:id="rIdh4gpcpszloikkwujnhjde">
        <w:r>
          <w:rPr>
            <w:rFonts w:ascii="Arial" w:cs="Arial" w:eastAsia="Arial" w:hAnsi="Arial"/>
            <w:color w:val="1D4ED8"/>
            <w:sz w:val="24"/>
            <w:szCs w:val="24"/>
            <w:u w:val="single"/>
          </w:rPr>
          <w:t xml:space="preserve">Налогового кодекса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hyperlink w:history="1" r:id="rIdrqaj2nb5zktrmcnzdhwl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w:t>
      </w:r>
      <w:r>
        <w:rPr>
          <w:rFonts w:ascii="Arial" w:cs="Arial" w:eastAsia="Arial" w:hAnsi="Arial"/>
          <w:sz w:val="24"/>
          <w:szCs w:val="24"/>
        </w:rPr>
        <w:t xml:space="preserve">проекте Закона</w:t>
      </w:r>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от 26 октября 2011 года № 681 (в целях улучшения, упрощения и усиления налогового администрирования, создания благоприятных условий для лизинговых операций, упрощения порядка ведения учета субъектами малого и среднего предпринимательства, создания общей основы по администрированию страховых взносов и подоходного налога, пополнения доходной части госбюджета на 1 млрд. сомов);</w:t>
      </w:r>
    </w:p>
    <w:p>
      <w:pPr>
        <w:spacing w:after="120"/>
        <w:jc w:val="both"/>
      </w:pPr>
      <w:r>
        <w:rPr>
          <w:rFonts w:ascii="Arial" w:cs="Arial" w:eastAsia="Arial" w:hAnsi="Arial"/>
          <w:sz w:val="24"/>
          <w:szCs w:val="24"/>
        </w:rPr>
        <w:t xml:space="preserve">- </w:t>
      </w:r>
      <w:hyperlink w:history="1" r:id="rIdajnebusiomwprmffp9n3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признании утратившими силу некоторых решений Правительства Кыргызской Республики» от 30 декабря 2011 года № 769 (предусматривает отмену таможенных марок на чай, импортируемый, производимый (расфасованный) и реализуемый на таможенной территории Кыргызской Республики, и снимает один из барьеров на пути развития бизнеса);</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распоряжение</w:t>
      </w:r>
      <w:r>
        <w:rPr>
          <w:rFonts w:ascii="Arial" w:cs="Arial" w:eastAsia="Arial" w:hAnsi="Arial"/>
          <w:sz w:val="24"/>
          <w:szCs w:val="24"/>
        </w:rPr>
        <w:t xml:space="preserve"> Правительства Кыргызской Республики об одобрении </w:t>
      </w:r>
      <w:r>
        <w:rPr>
          <w:rFonts w:ascii="Arial" w:cs="Arial" w:eastAsia="Arial" w:hAnsi="Arial"/>
          <w:sz w:val="24"/>
          <w:szCs w:val="24"/>
        </w:rPr>
        <w:t xml:space="preserve">проекта Соглашения</w:t>
      </w:r>
      <w:r>
        <w:rPr>
          <w:rFonts w:ascii="Arial" w:cs="Arial" w:eastAsia="Arial" w:hAnsi="Arial"/>
          <w:sz w:val="24"/>
          <w:szCs w:val="24"/>
        </w:rPr>
        <w:t xml:space="preserve"> между Правительством Кыргызской Республики и Правительством Азербайджанской Республики об избежании двойного налогообложения и предотвращении уклонения от налогообложения в отношении налогов на доход и на капитал от 29 апреля 2011 года № 149-р (в целях углубления двусторонних взаимоотношений в области налоговых отношений);</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распоряжение</w:t>
      </w:r>
      <w:r>
        <w:rPr>
          <w:rFonts w:ascii="Arial" w:cs="Arial" w:eastAsia="Arial" w:hAnsi="Arial"/>
          <w:sz w:val="24"/>
          <w:szCs w:val="24"/>
        </w:rPr>
        <w:t xml:space="preserve"> Правительства Кыргызской Республики о передаче с баланса Государственного предприятия «Кыргызресурсы» на баланс СЭЗ «Бишкек» недвижимого имущества от 2 сентября 2011 года № 385-р (в целях эффективного привлечения инвестиций и выполнения норм законодательства Кыргызской Республики территорию, закрепленную за Государственным предприятием «Кыргызресурсы», необходимо передать на баланс СЭЗ «Бишкек»).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Предпринимательство</w:t>
      </w:r>
    </w:p>
    <w:p>
      <w:pPr>
        <w:spacing w:after="120"/>
        <w:jc w:val="both"/>
      </w:pPr>
      <w:r>
        <w:rPr>
          <w:rFonts w:ascii="Arial" w:cs="Arial" w:eastAsia="Arial" w:hAnsi="Arial"/>
          <w:sz w:val="24"/>
          <w:szCs w:val="24"/>
        </w:rPr>
        <w:t xml:space="preserve">В 2011 году в Кыргызской Республике функционировало 11351 малое и среднее предприятия (прирост на 734 единиц относительно 2010 года). Индивидуальную предпринимательскую деятельность осуществляли 263,1 тыс. физических лиц (прирост составил 22,7 тыс. человек). Общая численность занятых в сфере предпринимательства (без учета крестьянских и фермерских хозяйств) за отчетный период составила 350 тыс. человек (прирост составил 28,7 тыс. человек).</w:t>
      </w:r>
    </w:p>
    <w:p>
      <w:pPr>
        <w:spacing w:after="120"/>
        <w:jc w:val="both"/>
      </w:pPr>
      <w:r>
        <w:rPr>
          <w:rFonts w:ascii="Arial" w:cs="Arial" w:eastAsia="Arial" w:hAnsi="Arial"/>
          <w:sz w:val="24"/>
          <w:szCs w:val="24"/>
        </w:rPr>
        <w:t xml:space="preserve">Удельный вес малого и среднего бизнеса в общем объеме ВВП, по предварительным оценкам, составил 39,2 %, при этом предприятиями МСП произведено промышленной продукции 19,4 % от объема промышленного производства республики, в сельском хозяйстве - 58,1 % от продукции отрасли.</w:t>
      </w:r>
    </w:p>
    <w:p>
      <w:pPr>
        <w:spacing w:after="120"/>
        <w:jc w:val="both"/>
      </w:pPr>
      <w:r>
        <w:rPr>
          <w:rFonts w:ascii="Arial" w:cs="Arial" w:eastAsia="Arial" w:hAnsi="Arial"/>
          <w:sz w:val="24"/>
          <w:szCs w:val="24"/>
        </w:rPr>
        <w:t xml:space="preserve">В целях улучшения условий ведения бизнеса и сокращения расходов госорганов и затрат бизнеса, оптимизации административных процессов при выдаче разрешительных документов на строительство, распределение ответственности между государством и субъектами строительства, в сфере строительства приняты законы Кыргызской Республики: «О внесении изменений в </w:t>
      </w:r>
      <w:hyperlink w:history="1" r:id="rIduzjx9sipjvfvztp0r3-x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градостроительстве и архитектуре Кыргызской Республики» (</w:t>
      </w:r>
      <w:hyperlink w:history="1" r:id="rIdamihnwa5j39g1esjpofam">
        <w:r>
          <w:rPr>
            <w:rFonts w:ascii="Arial" w:cs="Arial" w:eastAsia="Arial" w:hAnsi="Arial"/>
            <w:color w:val="1D4ED8"/>
            <w:sz w:val="24"/>
            <w:szCs w:val="24"/>
            <w:u w:val="single"/>
          </w:rPr>
          <w:t xml:space="preserve">12 декабря 2011 года № 234</w:t>
        </w:r>
      </w:hyperlink>
      <w:r>
        <w:rPr>
          <w:rFonts w:ascii="Arial" w:cs="Arial" w:eastAsia="Arial" w:hAnsi="Arial"/>
          <w:sz w:val="24"/>
          <w:szCs w:val="24"/>
        </w:rPr>
        <w:t xml:space="preserve">), «О внесении изменений в </w:t>
      </w:r>
      <w:hyperlink w:history="1" r:id="rIdudqcrg2fy9zww0gjj_yx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индивидуальном жилищном строительстве в Республике Кыргызстан» (</w:t>
      </w:r>
      <w:hyperlink w:history="1" r:id="rId11xkfxpcekdzs1r4fp4st">
        <w:r>
          <w:rPr>
            <w:rFonts w:ascii="Arial" w:cs="Arial" w:eastAsia="Arial" w:hAnsi="Arial"/>
            <w:color w:val="1D4ED8"/>
            <w:sz w:val="24"/>
            <w:szCs w:val="24"/>
            <w:u w:val="single"/>
          </w:rPr>
          <w:t xml:space="preserve">13 декабря 2011 года № 236</w:t>
        </w:r>
      </w:hyperlink>
      <w:r>
        <w:rPr>
          <w:rFonts w:ascii="Arial" w:cs="Arial" w:eastAsia="Arial" w:hAnsi="Arial"/>
          <w:sz w:val="24"/>
          <w:szCs w:val="24"/>
        </w:rPr>
        <w:t xml:space="preserve">), «О внесении изменений и дополнений в </w:t>
      </w:r>
      <w:hyperlink w:history="1" r:id="rIdy-zgnyekwvllp7qk7hkyw">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w:t>
      </w:r>
      <w:hyperlink w:history="1" r:id="rId6cesz5d70a6pajhf7x4wm">
        <w:r>
          <w:rPr>
            <w:rFonts w:ascii="Arial" w:cs="Arial" w:eastAsia="Arial" w:hAnsi="Arial"/>
            <w:color w:val="1D4ED8"/>
            <w:sz w:val="24"/>
            <w:szCs w:val="24"/>
            <w:u w:val="single"/>
          </w:rPr>
          <w:t xml:space="preserve">от 16 декабря 2011 года № 240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целях оптимизации государственных функций и стандартизации государственных услуг, исключения излишних административных барьеров и вмешательства государства в деятельность субъектов предпринимательства, сокращения расходов государственного бюджета, коррупционных механизмов, образована Межведомственная комиссия по реформе системы государственного регулирования предпринимательской деятельности, целью которой является внесение предложений по созданию нормативной правовой базы, регулирующей предпринимательскую деятельность, отвечающей принципам рыночной экономики. В состав Комиссии вошли как представители бизнес-сообщества, так и представители органов исполнительной власти.</w:t>
      </w:r>
    </w:p>
    <w:p>
      <w:pPr>
        <w:spacing w:after="120"/>
        <w:jc w:val="both"/>
      </w:pPr>
      <w:r>
        <w:rPr>
          <w:rFonts w:ascii="Arial" w:cs="Arial" w:eastAsia="Arial" w:hAnsi="Arial"/>
          <w:sz w:val="24"/>
          <w:szCs w:val="24"/>
        </w:rPr>
        <w:t xml:space="preserve">В течение 2011 года данной Межведомственной комиссией проведены заседания и рабочие совещания с участием представителей государственных органов и органов местного самоуправления, где рассмотрены и выработаны дальнейшие действия в рамках процесса оптимизации нормативной правовой базы регулирования предпринимательской деятельности в лицензионно-разрешительной и контрольно-надзорной сферах.</w:t>
      </w:r>
    </w:p>
    <w:p>
      <w:pPr>
        <w:spacing w:after="120"/>
        <w:jc w:val="both"/>
      </w:pPr>
      <w:r>
        <w:rPr>
          <w:rFonts w:ascii="Arial" w:cs="Arial" w:eastAsia="Arial" w:hAnsi="Arial"/>
          <w:sz w:val="24"/>
          <w:szCs w:val="24"/>
        </w:rPr>
        <w:t xml:space="preserve">В целях недопущения необоснованных и неэффективных проверок со стороны государственных контролирующих органов, а также совершенствования порядка проведения проверок субъектов предпринимательства принят </w:t>
      </w:r>
      <w:hyperlink w:history="1" r:id="rIdli4zcumq2bgbd1sizx_c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mtjr24nynmi5_zvc4ig_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проведения проверок субъектов предпринимательства» (от 22 июля 2011 года № 121).</w:t>
      </w:r>
    </w:p>
    <w:p>
      <w:pPr>
        <w:spacing w:after="120"/>
        <w:jc w:val="both"/>
      </w:pPr>
      <w:r>
        <w:rPr>
          <w:rFonts w:ascii="Arial" w:cs="Arial" w:eastAsia="Arial" w:hAnsi="Arial"/>
          <w:sz w:val="24"/>
          <w:szCs w:val="24"/>
        </w:rPr>
        <w:t xml:space="preserve">Для поддержки пострадавших предпринимателей южного региона республики принято постановление Правительства Кыргызской Республики «О мерах по поддержке предпринимателей, пострадавших в результате грабежей, мародерства и пожара в июне 2010 года, произошедших в городе Ош, Джалал-Абадской и Ошской областях» от 18 февраля 2011 года № 57, которым утвержден Реестр пострадавших субъектов предпринимательства и предоставлены меры государственной поддержки для восстановления пострадавшего бизнеса.</w:t>
      </w:r>
    </w:p>
    <w:p>
      <w:pPr>
        <w:spacing w:after="120"/>
        <w:jc w:val="both"/>
      </w:pPr>
      <w:r>
        <w:rPr>
          <w:rFonts w:ascii="Arial" w:cs="Arial" w:eastAsia="Arial" w:hAnsi="Arial"/>
          <w:sz w:val="24"/>
          <w:szCs w:val="24"/>
        </w:rPr>
        <w:t xml:space="preserve">В целях оказания финансовой и адресной поддержки всем пострадавшим предпринимателям южного региона принято </w:t>
      </w:r>
      <w:hyperlink w:history="1" r:id="rIdmjjo3zcg4wabihkifvqe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поддержке предпринимателей, пострадавших в результате грабежей, мародерства и пожаров в июне 2010 года в г.Ош, Джалал-Абадской и Ошской областях» от 16 мая 2011 года № 228. Данное постановление предусматривает меры конкретной финансовой поддержки в виде выплаты компенсации пострадавшим предпринимателям в размере 450 млн. сомов.</w:t>
      </w:r>
    </w:p>
    <w:p>
      <w:pPr>
        <w:spacing w:after="120"/>
        <w:jc w:val="both"/>
      </w:pPr>
      <w:r>
        <w:rPr>
          <w:rFonts w:ascii="Arial" w:cs="Arial" w:eastAsia="Arial" w:hAnsi="Arial"/>
          <w:sz w:val="24"/>
          <w:szCs w:val="24"/>
        </w:rPr>
        <w:t xml:space="preserve">Государственной дирекцией по восстановлению и развитию городов Ош и Джалал-Абад за 2011 год 1994 субъектам предпринимательства выплачена единовременная безвозмездная помощь на сумму 99,7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Техническое регулирование</w:t>
      </w:r>
    </w:p>
    <w:p>
      <w:pPr>
        <w:spacing w:after="120"/>
        <w:jc w:val="both"/>
      </w:pPr>
      <w:r>
        <w:rPr>
          <w:rFonts w:ascii="Arial" w:cs="Arial" w:eastAsia="Arial" w:hAnsi="Arial"/>
          <w:sz w:val="24"/>
          <w:szCs w:val="24"/>
        </w:rPr>
        <w:t xml:space="preserve">В целях реализации законов Кыргызской Республики «</w:t>
      </w:r>
      <w:hyperlink w:history="1" r:id="rIdkrygdqofhxhkk9grt53z4">
        <w:r>
          <w:rPr>
            <w:rFonts w:ascii="Arial" w:cs="Arial" w:eastAsia="Arial" w:hAnsi="Arial"/>
            <w:color w:val="1D4ED8"/>
            <w:sz w:val="24"/>
            <w:szCs w:val="24"/>
            <w:u w:val="single"/>
          </w:rPr>
          <w:t xml:space="preserve">Об основах технического регулирования в Кыргызской Республике</w:t>
        </w:r>
      </w:hyperlink>
      <w:r>
        <w:rPr>
          <w:rFonts w:ascii="Arial" w:cs="Arial" w:eastAsia="Arial" w:hAnsi="Arial"/>
          <w:sz w:val="24"/>
          <w:szCs w:val="24"/>
        </w:rPr>
        <w:t xml:space="preserve">», «</w:t>
      </w:r>
      <w:hyperlink w:history="1" r:id="rIdtrgk0-k6z-mtqid-ga98_">
        <w:r>
          <w:rPr>
            <w:rFonts w:ascii="Arial" w:cs="Arial" w:eastAsia="Arial" w:hAnsi="Arial"/>
            <w:color w:val="1D4ED8"/>
            <w:sz w:val="24"/>
            <w:szCs w:val="24"/>
            <w:u w:val="single"/>
          </w:rPr>
          <w:t xml:space="preserve">Об обеспечении единства измерений</w:t>
        </w:r>
      </w:hyperlink>
      <w:r>
        <w:rPr>
          <w:rFonts w:ascii="Arial" w:cs="Arial" w:eastAsia="Arial" w:hAnsi="Arial"/>
          <w:sz w:val="24"/>
          <w:szCs w:val="24"/>
        </w:rPr>
        <w:t xml:space="preserve">» и дальнейшего развития национальной инфраструктуры качества разработана Концепция развития национальной инфраструктуры качества Кыргызской Республики (технического регулирования в целом, также его составляющих структур как стандартизация, метрология, аккредитация, сертификация) до 2015 года.</w:t>
      </w:r>
    </w:p>
    <w:p>
      <w:pPr>
        <w:spacing w:after="120"/>
        <w:jc w:val="both"/>
      </w:pPr>
      <w:r>
        <w:rPr>
          <w:rFonts w:ascii="Arial" w:cs="Arial" w:eastAsia="Arial" w:hAnsi="Arial"/>
          <w:sz w:val="24"/>
          <w:szCs w:val="24"/>
        </w:rPr>
        <w:t xml:space="preserve">За отчетный период приняты постановления Правительства Кыргызской Республики:</w:t>
      </w:r>
    </w:p>
    <w:p>
      <w:pPr>
        <w:spacing w:after="120"/>
        <w:jc w:val="both"/>
      </w:pPr>
      <w:r>
        <w:rPr>
          <w:rFonts w:ascii="Arial" w:cs="Arial" w:eastAsia="Arial" w:hAnsi="Arial"/>
          <w:sz w:val="24"/>
          <w:szCs w:val="24"/>
        </w:rPr>
        <w:t xml:space="preserve">• «Об утверждении </w:t>
      </w:r>
      <w:r>
        <w:rPr>
          <w:rFonts w:ascii="Arial" w:cs="Arial" w:eastAsia="Arial" w:hAnsi="Arial"/>
          <w:sz w:val="24"/>
          <w:szCs w:val="24"/>
        </w:rPr>
        <w:t xml:space="preserve">Методики</w:t>
      </w:r>
      <w:r>
        <w:rPr>
          <w:rFonts w:ascii="Arial" w:cs="Arial" w:eastAsia="Arial" w:hAnsi="Arial"/>
          <w:sz w:val="24"/>
          <w:szCs w:val="24"/>
        </w:rPr>
        <w:t xml:space="preserve"> определения технологических потерь сжиженных углеводородных газов на кустовых базах сжиженного газа и автогазозаправочных станциях и </w:t>
      </w:r>
      <w:r>
        <w:rPr>
          <w:rFonts w:ascii="Arial" w:cs="Arial" w:eastAsia="Arial" w:hAnsi="Arial"/>
          <w:sz w:val="24"/>
          <w:szCs w:val="24"/>
        </w:rPr>
        <w:t xml:space="preserve">Методики</w:t>
      </w:r>
      <w:r>
        <w:rPr>
          <w:rFonts w:ascii="Arial" w:cs="Arial" w:eastAsia="Arial" w:hAnsi="Arial"/>
          <w:sz w:val="24"/>
          <w:szCs w:val="24"/>
        </w:rPr>
        <w:t xml:space="preserve"> определения технологических потерь нефтепродуктов при зачистке резервуаров» (</w:t>
      </w:r>
      <w:r>
        <w:rPr>
          <w:rFonts w:ascii="Arial" w:cs="Arial" w:eastAsia="Arial" w:hAnsi="Arial"/>
          <w:sz w:val="24"/>
          <w:szCs w:val="24"/>
        </w:rPr>
        <w:t xml:space="preserve">от 26 июля 2011 г. № 408</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 внесении изменений и дополнений в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порядке ввоза для обращения на территории Кыргызской Республики продукции, подлежащей обязательному подтверждению соответствия, и о признании результатов обязательного подтверждения соответствия продукции, полученных за пределами Кыргызской Республики от 11 января 2006 года № 8» (</w:t>
      </w:r>
      <w:hyperlink w:history="1" r:id="rId8yehl33dxhesgh4orrjbn">
        <w:r>
          <w:rPr>
            <w:rFonts w:ascii="Arial" w:cs="Arial" w:eastAsia="Arial" w:hAnsi="Arial"/>
            <w:color w:val="1D4ED8"/>
            <w:sz w:val="24"/>
            <w:szCs w:val="24"/>
            <w:u w:val="single"/>
          </w:rPr>
          <w:t xml:space="preserve">от 6 сентября 2011 г. № 535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 </w:t>
      </w:r>
      <w:r>
        <w:rPr>
          <w:rFonts w:ascii="Arial" w:cs="Arial" w:eastAsia="Arial" w:hAnsi="Arial"/>
          <w:sz w:val="24"/>
          <w:szCs w:val="24"/>
        </w:rPr>
        <w:t xml:space="preserve">проекте постановления</w:t>
      </w:r>
      <w:r>
        <w:rPr>
          <w:rFonts w:ascii="Arial" w:cs="Arial" w:eastAsia="Arial" w:hAnsi="Arial"/>
          <w:sz w:val="24"/>
          <w:szCs w:val="24"/>
        </w:rPr>
        <w:t xml:space="preserve"> Жогорку Кенеша Кыргызской Республики «О внесении дополнений в </w:t>
      </w:r>
      <w:r>
        <w:rPr>
          <w:rFonts w:ascii="Arial" w:cs="Arial" w:eastAsia="Arial" w:hAnsi="Arial"/>
          <w:sz w:val="24"/>
          <w:szCs w:val="24"/>
        </w:rPr>
        <w:t xml:space="preserve">постановление</w:t>
      </w:r>
      <w:r>
        <w:rPr>
          <w:rFonts w:ascii="Arial" w:cs="Arial" w:eastAsia="Arial" w:hAnsi="Arial"/>
          <w:sz w:val="24"/>
          <w:szCs w:val="24"/>
        </w:rPr>
        <w:t xml:space="preserve"> Жогорку Кенеша Кыргызской Республики от 20 июня 2008 года № 553-IV «Об утверждении </w:t>
      </w:r>
      <w:r>
        <w:rPr>
          <w:rFonts w:ascii="Arial" w:cs="Arial" w:eastAsia="Arial" w:hAnsi="Arial"/>
          <w:sz w:val="24"/>
          <w:szCs w:val="24"/>
        </w:rPr>
        <w:t xml:space="preserve">Перечня</w:t>
      </w:r>
      <w:r>
        <w:rPr>
          <w:rFonts w:ascii="Arial" w:cs="Arial" w:eastAsia="Arial" w:hAnsi="Arial"/>
          <w:sz w:val="24"/>
          <w:szCs w:val="24"/>
        </w:rPr>
        <w:t xml:space="preserve"> уполномоченных органов, имеющих право на проведение проверок субъектов предпринимательства» (</w:t>
      </w:r>
      <w:hyperlink w:history="1" r:id="rIdx2vewtg8lye9s72x92fhr">
        <w:r>
          <w:rPr>
            <w:rFonts w:ascii="Arial" w:cs="Arial" w:eastAsia="Arial" w:hAnsi="Arial"/>
            <w:color w:val="1D4ED8"/>
            <w:sz w:val="24"/>
            <w:szCs w:val="24"/>
            <w:u w:val="single"/>
          </w:rPr>
          <w:t xml:space="preserve">от 27 сентября 2011 г. № 605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 утверждении </w:t>
      </w:r>
      <w:r>
        <w:rPr>
          <w:rFonts w:ascii="Arial" w:cs="Arial" w:eastAsia="Arial" w:hAnsi="Arial"/>
          <w:sz w:val="24"/>
          <w:szCs w:val="24"/>
        </w:rPr>
        <w:t xml:space="preserve">Программы</w:t>
      </w:r>
      <w:r>
        <w:rPr>
          <w:rFonts w:ascii="Arial" w:cs="Arial" w:eastAsia="Arial" w:hAnsi="Arial"/>
          <w:sz w:val="24"/>
          <w:szCs w:val="24"/>
        </w:rPr>
        <w:t xml:space="preserve"> разработки технических регламентов на 2012-2013 годы» (</w:t>
      </w:r>
      <w:r>
        <w:rPr>
          <w:rFonts w:ascii="Arial" w:cs="Arial" w:eastAsia="Arial" w:hAnsi="Arial"/>
          <w:sz w:val="24"/>
          <w:szCs w:val="24"/>
        </w:rPr>
        <w:t xml:space="preserve">от 11 ноября 2011 г. № 714</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приняты 15 технических регламентов:</w:t>
      </w:r>
    </w:p>
    <w:p>
      <w:pPr>
        <w:spacing w:after="120"/>
        <w:jc w:val="both"/>
      </w:pPr>
      <w:r>
        <w:rPr>
          <w:rFonts w:ascii="Arial" w:cs="Arial" w:eastAsia="Arial" w:hAnsi="Arial"/>
          <w:sz w:val="24"/>
          <w:szCs w:val="24"/>
        </w:rPr>
        <w:t xml:space="preserve">1. «О безопасности питьевой воды» (</w:t>
      </w:r>
      <w:hyperlink w:history="1" r:id="rIdpc48p5hdvfiht1syc9qo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от 30 мая 2011 года № 34);</w:t>
      </w:r>
    </w:p>
    <w:p>
      <w:pPr>
        <w:spacing w:after="120"/>
        <w:jc w:val="both"/>
      </w:pPr>
      <w:r>
        <w:rPr>
          <w:rFonts w:ascii="Arial" w:cs="Arial" w:eastAsia="Arial" w:hAnsi="Arial"/>
          <w:sz w:val="24"/>
          <w:szCs w:val="24"/>
        </w:rPr>
        <w:t xml:space="preserve">2. «Безопасность зданий и сооружений» (</w:t>
      </w:r>
      <w:hyperlink w:history="1" r:id="rIduiqf6rdctkpadzu61-ux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от 27 июня 2011 года № 57);</w:t>
      </w:r>
    </w:p>
    <w:p>
      <w:pPr>
        <w:spacing w:after="120"/>
        <w:jc w:val="both"/>
      </w:pPr>
      <w:r>
        <w:rPr>
          <w:rFonts w:ascii="Arial" w:cs="Arial" w:eastAsia="Arial" w:hAnsi="Arial"/>
          <w:sz w:val="24"/>
          <w:szCs w:val="24"/>
        </w:rPr>
        <w:t xml:space="preserve">3. «О безопасности лекарственных средств для медицинского применения» (</w:t>
      </w:r>
      <w:hyperlink w:history="1" r:id="rIdkmfhi9buxe3vxy35zgge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6 апреля 2011 года № 137);</w:t>
      </w:r>
    </w:p>
    <w:p>
      <w:pPr>
        <w:spacing w:after="120"/>
        <w:jc w:val="both"/>
      </w:pPr>
      <w:r>
        <w:rPr>
          <w:rFonts w:ascii="Arial" w:cs="Arial" w:eastAsia="Arial" w:hAnsi="Arial"/>
          <w:sz w:val="24"/>
          <w:szCs w:val="24"/>
        </w:rPr>
        <w:t xml:space="preserve">4. «О безопасности бутилированных природных минеральных, природных питьевых и столовых вод» (</w:t>
      </w:r>
      <w:hyperlink w:history="1" r:id="rIdwzq95mibc6sntnpmwq3b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6 апреля 2011 года № 139);</w:t>
      </w:r>
    </w:p>
    <w:p>
      <w:pPr>
        <w:spacing w:after="120"/>
        <w:jc w:val="both"/>
      </w:pPr>
      <w:r>
        <w:rPr>
          <w:rFonts w:ascii="Arial" w:cs="Arial" w:eastAsia="Arial" w:hAnsi="Arial"/>
          <w:sz w:val="24"/>
          <w:szCs w:val="24"/>
        </w:rPr>
        <w:t xml:space="preserve">5. «О пожарной безопасности» (</w:t>
      </w:r>
      <w:hyperlink w:history="1" r:id="rIdnyat6obcz9yoslxsf-vf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от 26 июля 2011 года № 142);</w:t>
      </w:r>
    </w:p>
    <w:p>
      <w:pPr>
        <w:spacing w:after="120"/>
        <w:jc w:val="both"/>
      </w:pPr>
      <w:r>
        <w:rPr>
          <w:rFonts w:ascii="Arial" w:cs="Arial" w:eastAsia="Arial" w:hAnsi="Arial"/>
          <w:sz w:val="24"/>
          <w:szCs w:val="24"/>
        </w:rPr>
        <w:t xml:space="preserve">6. «О безопасности кондитерских изделий» (</w:t>
      </w:r>
      <w:hyperlink w:history="1" r:id="rIdtcg5uviny5ah7pc4tiza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18 апреля 2011 года № 163);</w:t>
      </w:r>
    </w:p>
    <w:p>
      <w:pPr>
        <w:spacing w:after="120"/>
        <w:jc w:val="both"/>
      </w:pPr>
      <w:r>
        <w:rPr>
          <w:rFonts w:ascii="Arial" w:cs="Arial" w:eastAsia="Arial" w:hAnsi="Arial"/>
          <w:sz w:val="24"/>
          <w:szCs w:val="24"/>
        </w:rPr>
        <w:t xml:space="preserve">8. «О безопасности соков, нектаров и сокосодержащих напитков из фруктов и (или) овощей» (</w:t>
      </w:r>
      <w:hyperlink w:history="1" r:id="rIdioatl1cuxywi3m9fzwav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19 апреля 2011 года № 172);</w:t>
      </w:r>
    </w:p>
    <w:p>
      <w:pPr>
        <w:spacing w:after="120"/>
        <w:jc w:val="both"/>
      </w:pPr>
      <w:r>
        <w:rPr>
          <w:rFonts w:ascii="Arial" w:cs="Arial" w:eastAsia="Arial" w:hAnsi="Arial"/>
          <w:sz w:val="24"/>
          <w:szCs w:val="24"/>
        </w:rPr>
        <w:t xml:space="preserve">7. «О радиационной безопасности» (</w:t>
      </w:r>
      <w:hyperlink w:history="1" r:id="rIdqzvqxb4wkkwfzisupvb9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от 29 ноября 2011 года № 224);</w:t>
      </w:r>
    </w:p>
    <w:p>
      <w:pPr>
        <w:spacing w:after="120"/>
        <w:jc w:val="both"/>
      </w:pPr>
      <w:r>
        <w:rPr>
          <w:rFonts w:ascii="Arial" w:cs="Arial" w:eastAsia="Arial" w:hAnsi="Arial"/>
          <w:sz w:val="24"/>
          <w:szCs w:val="24"/>
        </w:rPr>
        <w:t xml:space="preserve">9. «О безопасности винодельческой продукции» (</w:t>
      </w:r>
      <w:hyperlink w:history="1" r:id="rIda1df7gtju1vglg6zfdfu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5 июля 2011 года № 356);</w:t>
      </w:r>
    </w:p>
    <w:p>
      <w:pPr>
        <w:spacing w:after="120"/>
        <w:jc w:val="both"/>
      </w:pPr>
      <w:r>
        <w:rPr>
          <w:rFonts w:ascii="Arial" w:cs="Arial" w:eastAsia="Arial" w:hAnsi="Arial"/>
          <w:sz w:val="24"/>
          <w:szCs w:val="24"/>
        </w:rPr>
        <w:t xml:space="preserve">10. «О безопасности спирта этилового, водки и ликероводочных изделий» (</w:t>
      </w:r>
      <w:hyperlink w:history="1" r:id="rIdytmqdgq7ppzgzt7uhmnw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5 июля 2011 года № 357);</w:t>
      </w:r>
    </w:p>
    <w:p>
      <w:pPr>
        <w:spacing w:after="120"/>
        <w:jc w:val="both"/>
      </w:pPr>
      <w:r>
        <w:rPr>
          <w:rFonts w:ascii="Arial" w:cs="Arial" w:eastAsia="Arial" w:hAnsi="Arial"/>
          <w:sz w:val="24"/>
          <w:szCs w:val="24"/>
        </w:rPr>
        <w:t xml:space="preserve">11. «О безопасности пива» (</w:t>
      </w:r>
      <w:hyperlink w:history="1" r:id="rIdkowyfcnxcr4ktyho2szo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14 июля 2011 года № 388);</w:t>
      </w:r>
    </w:p>
    <w:p>
      <w:pPr>
        <w:spacing w:after="120"/>
        <w:jc w:val="both"/>
      </w:pPr>
      <w:r>
        <w:rPr>
          <w:rFonts w:ascii="Arial" w:cs="Arial" w:eastAsia="Arial" w:hAnsi="Arial"/>
          <w:sz w:val="24"/>
          <w:szCs w:val="24"/>
        </w:rPr>
        <w:t xml:space="preserve">12. «О безопасности сахара» (</w:t>
      </w:r>
      <w:hyperlink w:history="1" r:id="rIdoy_zlc2vi3htuzsfs4j1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 августа 2011 года № 437);</w:t>
      </w:r>
    </w:p>
    <w:p>
      <w:pPr>
        <w:spacing w:after="120"/>
        <w:jc w:val="both"/>
      </w:pPr>
      <w:r>
        <w:rPr>
          <w:rFonts w:ascii="Arial" w:cs="Arial" w:eastAsia="Arial" w:hAnsi="Arial"/>
          <w:sz w:val="24"/>
          <w:szCs w:val="24"/>
        </w:rPr>
        <w:t xml:space="preserve">13. «О безопасности подъемно-транспортного оборудования и процессов его эксплуатации» (</w:t>
      </w:r>
      <w:hyperlink w:history="1" r:id="rId1igldsce3wpb4qalbkxq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23 сентября 2011 года № 587).</w:t>
      </w:r>
    </w:p>
    <w:p>
      <w:pPr>
        <w:spacing w:after="120"/>
        <w:jc w:val="both"/>
      </w:pPr>
      <w:r>
        <w:rPr>
          <w:rFonts w:ascii="Arial" w:cs="Arial" w:eastAsia="Arial" w:hAnsi="Arial"/>
          <w:sz w:val="24"/>
          <w:szCs w:val="24"/>
        </w:rPr>
        <w:t xml:space="preserve">14. «Об электромагнитной совместимости» (</w:t>
      </w:r>
      <w:hyperlink w:history="1" r:id="rIdxodn9tj-ei54br0gjnlf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12 января 2012 года № 24).</w:t>
      </w:r>
    </w:p>
    <w:p>
      <w:pPr>
        <w:spacing w:after="120"/>
        <w:jc w:val="both"/>
      </w:pPr>
      <w:r>
        <w:rPr>
          <w:rFonts w:ascii="Arial" w:cs="Arial" w:eastAsia="Arial" w:hAnsi="Arial"/>
          <w:sz w:val="24"/>
          <w:szCs w:val="24"/>
        </w:rPr>
        <w:t xml:space="preserve">15. «Об одобрении </w:t>
      </w:r>
      <w:r>
        <w:rPr>
          <w:rFonts w:ascii="Arial" w:cs="Arial" w:eastAsia="Arial" w:hAnsi="Arial"/>
          <w:sz w:val="24"/>
          <w:szCs w:val="24"/>
        </w:rPr>
        <w:t xml:space="preserve">проекта Закона</w:t>
      </w:r>
      <w:r>
        <w:rPr>
          <w:rFonts w:ascii="Arial" w:cs="Arial" w:eastAsia="Arial" w:hAnsi="Arial"/>
          <w:sz w:val="24"/>
          <w:szCs w:val="24"/>
        </w:rPr>
        <w:t xml:space="preserve"> Кыргызской Республики «О внесении изменений и дополнений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«Общий технический регламент о безопасности наземных транспортных средств» (</w:t>
      </w:r>
      <w:hyperlink w:history="1" r:id="rIdjdx3e32wjee7blncg0zo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25 октября 2011 года № 672), одобрен Жогорку Кенешем Кыргызской Республики и направлен Президенту Кыргызской Республики).</w:t>
      </w:r>
    </w:p>
    <w:p>
      <w:pPr>
        <w:spacing w:after="120"/>
        <w:jc w:val="both"/>
      </w:pPr>
      <w:r>
        <w:rPr>
          <w:rFonts w:ascii="Arial" w:cs="Arial" w:eastAsia="Arial" w:hAnsi="Arial"/>
          <w:sz w:val="24"/>
          <w:szCs w:val="24"/>
        </w:rPr>
        <w:t xml:space="preserve">Принятые технические регламенты соответствуют международным нормам и правилам и содержат обязательные требования по безопасности продукции и формы оценки соответствия, которые проводятся в форме декларирования, основанные на собственных доказательствах безопасности продукции. При этом данная форма сокращает издержки производителей, способствует экономическому росту предприятий и повышает ответственность производителей.</w:t>
      </w:r>
    </w:p>
    <w:p>
      <w:pPr>
        <w:spacing w:after="120"/>
        <w:jc w:val="both"/>
      </w:pPr>
      <w:r>
        <w:rPr>
          <w:rFonts w:ascii="Arial" w:cs="Arial" w:eastAsia="Arial" w:hAnsi="Arial"/>
          <w:sz w:val="24"/>
          <w:szCs w:val="24"/>
        </w:rPr>
        <w:t xml:space="preserve">На одобрении Жогорку Кенеша Кыргызской Республики находятся 4 техрегламента:</w:t>
      </w:r>
    </w:p>
    <w:p>
      <w:pPr>
        <w:spacing w:after="120"/>
        <w:jc w:val="both"/>
      </w:pPr>
      <w:r>
        <w:rPr>
          <w:rFonts w:ascii="Arial" w:cs="Arial" w:eastAsia="Arial" w:hAnsi="Arial"/>
          <w:sz w:val="24"/>
          <w:szCs w:val="24"/>
        </w:rPr>
        <w:t xml:space="preserve">1. «Требования к безопасности пищевых продуктов и процессов их производства, хранения, перевозки, реализации и утилизации» (</w:t>
      </w:r>
      <w:hyperlink w:history="1" r:id="rIdcyktvfqmi89kmfs83ktx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15 декабря 2009 года № 755);</w:t>
      </w:r>
    </w:p>
    <w:p>
      <w:pPr>
        <w:spacing w:after="120"/>
        <w:jc w:val="both"/>
      </w:pPr>
      <w:r>
        <w:rPr>
          <w:rFonts w:ascii="Arial" w:cs="Arial" w:eastAsia="Arial" w:hAnsi="Arial"/>
          <w:sz w:val="24"/>
          <w:szCs w:val="24"/>
        </w:rPr>
        <w:t xml:space="preserve">2. «О маркировке пищевых продуктов» (</w:t>
      </w:r>
      <w:hyperlink w:history="1" r:id="rIdkxgowfmg0idpl-ahfsxf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8 июля 2011 года № 378);</w:t>
      </w:r>
    </w:p>
    <w:p>
      <w:pPr>
        <w:spacing w:after="120"/>
        <w:jc w:val="both"/>
      </w:pPr>
      <w:r>
        <w:rPr>
          <w:rFonts w:ascii="Arial" w:cs="Arial" w:eastAsia="Arial" w:hAnsi="Arial"/>
          <w:sz w:val="24"/>
          <w:szCs w:val="24"/>
        </w:rPr>
        <w:t xml:space="preserve">3. «Гигиена производства пищевых продуктов» (</w:t>
      </w:r>
      <w:hyperlink w:history="1" r:id="rIdz14dsbnypng4r9mvrjr_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13 сентября 2011 года № 549);</w:t>
      </w:r>
    </w:p>
    <w:p>
      <w:pPr>
        <w:spacing w:after="120"/>
        <w:jc w:val="both"/>
      </w:pPr>
      <w:r>
        <w:rPr>
          <w:rFonts w:ascii="Arial" w:cs="Arial" w:eastAsia="Arial" w:hAnsi="Arial"/>
          <w:sz w:val="24"/>
          <w:szCs w:val="24"/>
        </w:rPr>
        <w:t xml:space="preserve">4. «О безопасности игрушек» (</w:t>
      </w:r>
      <w:hyperlink w:history="1" r:id="rId560wqisp1axiktpnbgg7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22 августа 2011 года № 476).</w:t>
      </w:r>
    </w:p>
    <w:p>
      <w:pPr>
        <w:spacing w:after="120"/>
        <w:jc w:val="both"/>
      </w:pPr>
      <w:r>
        <w:rPr>
          <w:rFonts w:ascii="Arial" w:cs="Arial" w:eastAsia="Arial" w:hAnsi="Arial"/>
          <w:sz w:val="24"/>
          <w:szCs w:val="24"/>
        </w:rPr>
        <w:t xml:space="preserve">В рамках ЕврАзЭС проведена работа по утверждению </w:t>
      </w:r>
      <w:r>
        <w:rPr>
          <w:rFonts w:ascii="Arial" w:cs="Arial" w:eastAsia="Arial" w:hAnsi="Arial"/>
          <w:sz w:val="24"/>
          <w:szCs w:val="24"/>
        </w:rPr>
        <w:t xml:space="preserve">Протокола</w:t>
      </w:r>
      <w:r>
        <w:rPr>
          <w:rFonts w:ascii="Arial" w:cs="Arial" w:eastAsia="Arial" w:hAnsi="Arial"/>
          <w:sz w:val="24"/>
          <w:szCs w:val="24"/>
        </w:rPr>
        <w:t xml:space="preserve"> о внесении изменений в </w:t>
      </w:r>
      <w:r>
        <w:rPr>
          <w:rFonts w:ascii="Arial" w:cs="Arial" w:eastAsia="Arial" w:hAnsi="Arial"/>
          <w:sz w:val="24"/>
          <w:szCs w:val="24"/>
        </w:rPr>
        <w:t xml:space="preserve">Соглашение</w:t>
      </w:r>
      <w:r>
        <w:rPr>
          <w:rFonts w:ascii="Arial" w:cs="Arial" w:eastAsia="Arial" w:hAnsi="Arial"/>
          <w:sz w:val="24"/>
          <w:szCs w:val="24"/>
        </w:rPr>
        <w:t xml:space="preserve"> о проведении согласованной политики в области технического регулирования, санитарных и фитосанитарных мер от 25 января 2008 года, подписанного 19 мая 2011 года в городе Минск» (</w:t>
      </w:r>
      <w:hyperlink w:history="1" r:id="rIdq4_dgzcfwwchv4kckczo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23 августа 2011 № 486), проведен анализ и одобрены проекты договоров о принятии 8-ми технических регламентов ЕврАзЭС.</w:t>
      </w:r>
    </w:p>
    <w:p>
      <w:pPr>
        <w:spacing w:after="120"/>
        <w:jc w:val="both"/>
      </w:pPr>
      <w:r>
        <w:rPr>
          <w:rFonts w:ascii="Arial" w:cs="Arial" w:eastAsia="Arial" w:hAnsi="Arial"/>
          <w:sz w:val="24"/>
          <w:szCs w:val="24"/>
        </w:rPr>
        <w:t xml:space="preserve">Проработаны и направлены на рассмотрение Сторонами 3 проекта Соглашений:</w:t>
      </w:r>
    </w:p>
    <w:p>
      <w:pPr>
        <w:spacing w:after="120"/>
        <w:jc w:val="both"/>
      </w:pPr>
      <w:r>
        <w:rPr>
          <w:rFonts w:ascii="Arial" w:cs="Arial" w:eastAsia="Arial" w:hAnsi="Arial"/>
          <w:sz w:val="24"/>
          <w:szCs w:val="24"/>
        </w:rPr>
        <w:t xml:space="preserve">• между Кыргызской Республикой и Китаем о сотрудничестве в сфере стандартизации, метрологии и оценки соответствия и о сотрудничестве в области аккредитации;</w:t>
      </w:r>
    </w:p>
    <w:p>
      <w:pPr>
        <w:spacing w:after="120"/>
        <w:jc w:val="both"/>
      </w:pPr>
      <w:r>
        <w:rPr>
          <w:rFonts w:ascii="Arial" w:cs="Arial" w:eastAsia="Arial" w:hAnsi="Arial"/>
          <w:sz w:val="24"/>
          <w:szCs w:val="24"/>
        </w:rPr>
        <w:t xml:space="preserve">• между Кыргызской Республикой и Польским комитетом по стандартизации о сотрудничестве в области стандартизации;</w:t>
      </w:r>
    </w:p>
    <w:p>
      <w:pPr>
        <w:spacing w:after="120"/>
        <w:jc w:val="both"/>
      </w:pPr>
      <w:r>
        <w:rPr>
          <w:rFonts w:ascii="Arial" w:cs="Arial" w:eastAsia="Arial" w:hAnsi="Arial"/>
          <w:sz w:val="24"/>
          <w:szCs w:val="24"/>
        </w:rPr>
        <w:t xml:space="preserve">• между Правительством Кыргызской Республики и Правительством Грузии о сотрудничестве в сфере технического регулирования и метрологии.</w:t>
      </w:r>
    </w:p>
    <w:p>
      <w:pPr>
        <w:spacing w:after="120"/>
        <w:jc w:val="both"/>
      </w:pPr>
      <w:r>
        <w:rPr>
          <w:rFonts w:ascii="Arial" w:cs="Arial" w:eastAsia="Arial" w:hAnsi="Arial"/>
          <w:sz w:val="24"/>
          <w:szCs w:val="24"/>
        </w:rPr>
        <w:t xml:space="preserve">Проведено 18 заседаний экспертных комиссий по экспертизе 6-ти проектов техрегламентов, заседания Временных творческих групп по разработке проектов техрегламентов. Также проводилась ежемесячная работа с реестром выданных сертификатов соответствия, прием отчетов аккредитованных органов о выданных сертификатах соответствия на продукцию.</w:t>
      </w:r>
    </w:p>
    <w:p>
      <w:pPr>
        <w:spacing w:after="120"/>
        <w:jc w:val="both"/>
      </w:pPr>
      <w:r>
        <w:rPr>
          <w:rFonts w:ascii="Arial" w:cs="Arial" w:eastAsia="Arial" w:hAnsi="Arial"/>
          <w:sz w:val="24"/>
          <w:szCs w:val="24"/>
        </w:rPr>
        <w:t xml:space="preserve">Подготовлены и выпущены буклеты по 16-ти принятым техрегламентам, техрегулированию и декларированию.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 Надзор и регулирование финансового рынка</w:t>
      </w:r>
    </w:p>
    <w:p>
      <w:pPr>
        <w:spacing w:after="120"/>
        <w:jc w:val="both"/>
      </w:pPr>
      <w:r>
        <w:rPr>
          <w:rFonts w:ascii="Arial" w:cs="Arial" w:eastAsia="Arial" w:hAnsi="Arial"/>
          <w:sz w:val="24"/>
          <w:szCs w:val="24"/>
        </w:rPr>
        <w:t xml:space="preserve">По итогам 2011 года объем торгов с ценными бумагами на фондовом рынке Кыргызской Республики составил 1 587,8 млн. сомов, что на 11,4% больше объема торгов за аналогичный период 2010 года.</w:t>
      </w:r>
    </w:p>
    <w:p>
      <w:pPr>
        <w:spacing w:after="120"/>
        <w:jc w:val="both"/>
      </w:pPr>
      <w:r>
        <w:rPr>
          <w:rFonts w:ascii="Arial" w:cs="Arial" w:eastAsia="Arial" w:hAnsi="Arial"/>
          <w:sz w:val="24"/>
          <w:szCs w:val="24"/>
        </w:rPr>
        <w:t xml:space="preserve">Количество заключенных сделок с ценными бумагами за отчетный период составило - 1 953 сделки, что на 23,2 % больше количества сделок за аналогичный период прошлого года.</w:t>
      </w:r>
    </w:p>
    <w:p>
      <w:pPr>
        <w:spacing w:after="120"/>
        <w:jc w:val="both"/>
      </w:pPr>
      <w:r>
        <w:rPr>
          <w:rFonts w:ascii="Arial" w:cs="Arial" w:eastAsia="Arial" w:hAnsi="Arial"/>
          <w:sz w:val="24"/>
          <w:szCs w:val="24"/>
        </w:rPr>
        <w:t xml:space="preserve">Наиболее крупной сделкой является сделка со 100 % пакетом акций ОАО «Финанс Кредит Банк», совершенная 19 мая 2011 года брокерской компанией ОсОО «BNC Finance» на сумму 300,0 млн. сомов.</w:t>
      </w:r>
    </w:p>
    <w:p>
      <w:pPr>
        <w:spacing w:after="120"/>
        <w:jc w:val="both"/>
      </w:pPr>
      <w:r>
        <w:rPr>
          <w:rFonts w:ascii="Arial" w:cs="Arial" w:eastAsia="Arial" w:hAnsi="Arial"/>
          <w:sz w:val="24"/>
          <w:szCs w:val="24"/>
        </w:rPr>
        <w:t xml:space="preserve">За 2011 год лидирующей компанией по объему совершенных сделок является ОсОО «Ато Финанс», которой было совершено 14 сделок с ценными бумагами на сумму 612,0 млн. сомов.</w:t>
      </w:r>
    </w:p>
    <w:p>
      <w:pPr>
        <w:spacing w:after="120"/>
        <w:jc w:val="both"/>
      </w:pPr>
      <w:r>
        <w:rPr>
          <w:rFonts w:ascii="Arial" w:cs="Arial" w:eastAsia="Arial" w:hAnsi="Arial"/>
          <w:sz w:val="24"/>
          <w:szCs w:val="24"/>
        </w:rPr>
        <w:t xml:space="preserve">За период январь - декабрь 2011 года было зарегистрировано 58 выпусков ценных бумаг на сумму 2454,9 млн. сомов, что составляет 73,94 % от объема выпуска ценных бумаг за аналогичный период прошлого года (55 выпусков ценных бумаг на сумму 3320 млн. сомов), в том числе зарегистрирован выпуск именных процентных облигаций ОсОО «Компания Россказмет» на сумму 90 млн. сомов, ОАО «Микрокредитная компания «Ак-Ашуу» - на сумму 9 млн. сомов, ЗАО Фирма «ШОРО» - на сумму 45 млн. сомов, ОАО «ЦУМ Айчурек» - на сумму 25 млн. сомов.</w:t>
      </w:r>
    </w:p>
    <w:p>
      <w:pPr>
        <w:spacing w:after="120"/>
        <w:jc w:val="both"/>
      </w:pPr>
      <w:r>
        <w:rPr>
          <w:rFonts w:ascii="Arial" w:cs="Arial" w:eastAsia="Arial" w:hAnsi="Arial"/>
          <w:sz w:val="24"/>
          <w:szCs w:val="24"/>
        </w:rPr>
        <w:t xml:space="preserve">Из 58 зарегистрированных выпусков ценных бумаг 26 выпусков являются учредительными (первыми) на сумму 151,2 млн. сомов, 32 - дополнительными, на сумму 2303,7 млн. сомов.</w:t>
      </w:r>
    </w:p>
    <w:p>
      <w:pPr>
        <w:spacing w:after="120"/>
        <w:jc w:val="both"/>
      </w:pPr>
      <w:r>
        <w:rPr>
          <w:rFonts w:ascii="Arial" w:cs="Arial" w:eastAsia="Arial" w:hAnsi="Arial"/>
          <w:sz w:val="24"/>
          <w:szCs w:val="24"/>
        </w:rPr>
        <w:t xml:space="preserve">За 2011 год объем иностранных инвестиций в корпоративные ценные бумаги эмитентов Кыргызской Республики составил 275 млн. сомов, из них инвестиции на 274,77 млн. сомов - из стран дальнего зарубежья, 0,23 млн. сомов - из стран СНГ.</w:t>
      </w:r>
    </w:p>
    <w:p>
      <w:pPr>
        <w:spacing w:after="120"/>
        <w:jc w:val="both"/>
      </w:pPr>
      <w:r>
        <w:rPr>
          <w:rFonts w:ascii="Arial" w:cs="Arial" w:eastAsia="Arial" w:hAnsi="Arial"/>
          <w:sz w:val="24"/>
          <w:szCs w:val="24"/>
        </w:rPr>
        <w:t xml:space="preserve">Поступление в бюджет страны от единовременных комиссионных сборов за государственную регистрацию выпуска ценных бумаг составило 45 600 сомов.</w:t>
      </w:r>
    </w:p>
    <w:p>
      <w:pPr>
        <w:spacing w:after="120"/>
        <w:jc w:val="both"/>
      </w:pPr>
      <w:r>
        <w:rPr>
          <w:rFonts w:ascii="Arial" w:cs="Arial" w:eastAsia="Arial" w:hAnsi="Arial"/>
          <w:sz w:val="24"/>
          <w:szCs w:val="24"/>
        </w:rPr>
        <w:t xml:space="preserve">Сумма наложенных Госфиннадзором административных штрафов за 2011 год составила 86,5 тыс. сомов.</w:t>
      </w:r>
    </w:p>
    <w:p>
      <w:pPr>
        <w:spacing w:after="120"/>
        <w:jc w:val="both"/>
      </w:pPr>
      <w:r>
        <w:rPr>
          <w:rFonts w:ascii="Arial" w:cs="Arial" w:eastAsia="Arial" w:hAnsi="Arial"/>
          <w:sz w:val="24"/>
          <w:szCs w:val="24"/>
        </w:rPr>
        <w:t xml:space="preserve">Страховой рынок. Совокупные активы страховых организаций, по состоянию на 1 декабря 2011 года, составили 1045,5 млн. сомов и по сравнению с показателями на 1 декабря 2010 года увеличились на 14,2 %.</w:t>
      </w:r>
    </w:p>
    <w:p>
      <w:pPr>
        <w:spacing w:after="120"/>
        <w:jc w:val="both"/>
      </w:pPr>
      <w:r>
        <w:rPr>
          <w:rFonts w:ascii="Arial" w:cs="Arial" w:eastAsia="Arial" w:hAnsi="Arial"/>
          <w:sz w:val="24"/>
          <w:szCs w:val="24"/>
        </w:rPr>
        <w:t xml:space="preserve">Совокупный собственный капитал страховых организаций, по состоянию на 1 декабря 2011 года, составил 679,4 млн. сомов, который уменьшился на 9,5 % по сравнению с аналогичным периодом 2010 года.</w:t>
      </w:r>
    </w:p>
    <w:p>
      <w:pPr>
        <w:spacing w:after="120"/>
        <w:jc w:val="both"/>
      </w:pPr>
      <w:r>
        <w:rPr>
          <w:rFonts w:ascii="Arial" w:cs="Arial" w:eastAsia="Arial" w:hAnsi="Arial"/>
          <w:sz w:val="24"/>
          <w:szCs w:val="24"/>
        </w:rPr>
        <w:t xml:space="preserve">Объем страховых резервов, сформированных страховыми (перестраховочными) организациями для обеспечения исполнения принятых обязательств по действующим договорам страхования и перестрахования, по состоянию на 1 декабря 2011 года, составил 105,6 млн. сомов.</w:t>
      </w:r>
    </w:p>
    <w:p>
      <w:pPr>
        <w:spacing w:after="120"/>
        <w:jc w:val="both"/>
      </w:pPr>
      <w:r>
        <w:rPr>
          <w:rFonts w:ascii="Arial" w:cs="Arial" w:eastAsia="Arial" w:hAnsi="Arial"/>
          <w:sz w:val="24"/>
          <w:szCs w:val="24"/>
        </w:rPr>
        <w:t xml:space="preserve">За 2011 год объем страховых премий составил 709,2 млн. сомов и по сравнению с 2010 годом увеличился на 33,3 %, в том числе, по имущественному страхованию - 520,4 млн. сомов и на 36,0 %, а по личному страхованию - 67,9 млн. сомов, который уменьшился на 3,4 %, по страхованию ответственности - 54,1 млн. сомов и уменьшился на 12,2 %. По обязательным видам страхования гражданской ответственности сумма страховых премий за 2011 год составила - 66,8 млн. сомов и увеличилась в 2,9 раза по сравнению с 2010 годом.</w:t>
      </w:r>
    </w:p>
    <w:p>
      <w:pPr>
        <w:spacing w:after="120"/>
        <w:jc w:val="both"/>
      </w:pPr>
      <w:r>
        <w:rPr>
          <w:rFonts w:ascii="Arial" w:cs="Arial" w:eastAsia="Arial" w:hAnsi="Arial"/>
          <w:sz w:val="24"/>
          <w:szCs w:val="24"/>
        </w:rPr>
        <w:t xml:space="preserve">Основную долю страховой премии за 2011 год составляет имущественное страхование, где на него приходится 73,4 % от общей суммы страховой премии, личное страхование - 9,6 %, страхование ответственности - 7,6 %, обязательное страхование гражданской ответственности - 9,4 %.</w:t>
      </w:r>
    </w:p>
    <w:p>
      <w:pPr>
        <w:spacing w:after="120"/>
        <w:jc w:val="both"/>
      </w:pPr>
      <w:r>
        <w:rPr>
          <w:rFonts w:ascii="Arial" w:cs="Arial" w:eastAsia="Arial" w:hAnsi="Arial"/>
          <w:sz w:val="24"/>
          <w:szCs w:val="24"/>
        </w:rPr>
        <w:t xml:space="preserve">За 2011 год объем страховых выплат в целом по республике составил 59,5 млн. сомов и по сравнению с 2010 годом увеличился на 193,1 %, в том числе, соответственно, по имущественному страхованию составил - 43,6 млн. сомов и вырос в 2,7 раза, по личному страхованию - 13,8 млн. сомов (на 103,0 %), по страхованию ответственности - 2,1 млн. сомов и на 40,0 %. По обязательному страхованию за 2011 год страховые выплаты не производились.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 Приватизация и управление государственной собственностью</w:t>
      </w:r>
    </w:p>
    <w:p>
      <w:pPr>
        <w:spacing w:after="120"/>
        <w:jc w:val="both"/>
      </w:pPr>
      <w:r>
        <w:rPr>
          <w:rFonts w:ascii="Arial" w:cs="Arial" w:eastAsia="Arial" w:hAnsi="Arial"/>
          <w:sz w:val="24"/>
          <w:szCs w:val="24"/>
        </w:rPr>
        <w:t xml:space="preserve">Приватизация объектов государственной собственности проводится в соответствии с </w:t>
      </w:r>
      <w:r>
        <w:rPr>
          <w:rFonts w:ascii="Arial" w:cs="Arial" w:eastAsia="Arial" w:hAnsi="Arial"/>
          <w:sz w:val="24"/>
          <w:szCs w:val="24"/>
        </w:rPr>
        <w:t xml:space="preserve">Программой</w:t>
      </w:r>
      <w:r>
        <w:rPr>
          <w:rFonts w:ascii="Arial" w:cs="Arial" w:eastAsia="Arial" w:hAnsi="Arial"/>
          <w:sz w:val="24"/>
          <w:szCs w:val="24"/>
        </w:rPr>
        <w:t xml:space="preserve"> приватизации государственного имущества в Кыргызской Республике на 2008-2012 годы,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17 сентября 2008 года № 518.</w:t>
      </w:r>
    </w:p>
    <w:p>
      <w:pPr>
        <w:spacing w:after="120"/>
        <w:jc w:val="both"/>
      </w:pPr>
      <w:r>
        <w:rPr>
          <w:rFonts w:ascii="Arial" w:cs="Arial" w:eastAsia="Arial" w:hAnsi="Arial"/>
          <w:sz w:val="24"/>
          <w:szCs w:val="24"/>
        </w:rPr>
        <w:t xml:space="preserve">24 июня 2011 года вступил в силу </w:t>
      </w:r>
      <w:hyperlink w:history="1" r:id="rIdhjy2hechnvsruhzaqtmn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ual49nb79qrot8llwvb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приватизации государственной собственности в Кыргызской Республике»» от 23 июня 2011 года № 54. Данным Законом изменен порядок утверждения Программы приватизации государственного имущества. Ранее, Программа утверждалась Правительством Кыргызской Республики, в настоящее время действует норма, устанавливающая, что Программа утверждается Жогорку Кенешем Кыргызской Республики.</w:t>
      </w:r>
    </w:p>
    <w:p>
      <w:pPr>
        <w:spacing w:after="120"/>
        <w:jc w:val="both"/>
      </w:pPr>
      <w:r>
        <w:rPr>
          <w:rFonts w:ascii="Arial" w:cs="Arial" w:eastAsia="Arial" w:hAnsi="Arial"/>
          <w:sz w:val="24"/>
          <w:szCs w:val="24"/>
        </w:rPr>
        <w:t xml:space="preserve">В соответствии с указанным Законом, учитывая необходимость возобновления процесса приватизации и обеспечения своевременного и полного поступления в бюджет заложенных в Законе Кыргызской Республики «О республиканском бюджете на 2011 год и прогнозе на 2012-2013 годы» денежных средств от приватизации государственного имущества, Фондом по управлению государственным имуществом проведена работа по формированию Программы приватизации государственного имущества на 2012-2014 годы.</w:t>
      </w:r>
    </w:p>
    <w:p>
      <w:pPr>
        <w:spacing w:after="120"/>
        <w:jc w:val="both"/>
      </w:pPr>
      <w:r>
        <w:rPr>
          <w:rFonts w:ascii="Arial" w:cs="Arial" w:eastAsia="Arial" w:hAnsi="Arial"/>
          <w:sz w:val="24"/>
          <w:szCs w:val="24"/>
        </w:rPr>
        <w:t xml:space="preserve">В 2011 году было реализовано 10 имущественных комплексов. Кроме того, в соответствии с </w:t>
      </w:r>
      <w:hyperlink w:history="1" r:id="rId_vgroz4k_soj7s803i-t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участии в создании совместного кыргызско-российского предприятия в области авиатопливообеспечения в аэропортах Кыргызской Республики» от 15 февраля 2011 года № 48, имущество Топливно-заправочного комплекса, закрепленного на условиях хозяйственного ведения за ГП «ТЗК «Манас», внесено в качестве вклада в уставный капитал ОсОО «Газпромнефть-Аэро Кыргызстан» в сумме 367,0 млн. сомов.</w:t>
      </w:r>
    </w:p>
    <w:p>
      <w:pPr>
        <w:spacing w:after="120"/>
        <w:jc w:val="both"/>
      </w:pPr>
      <w:r>
        <w:rPr>
          <w:rFonts w:ascii="Arial" w:cs="Arial" w:eastAsia="Arial" w:hAnsi="Arial"/>
          <w:sz w:val="24"/>
          <w:szCs w:val="24"/>
        </w:rPr>
        <w:t xml:space="preserve">Поступление средств от приватизации, дивидендов, арендной платы составило 3378,9 млн. сомов, в т.ч.:</w:t>
      </w:r>
    </w:p>
    <w:p>
      <w:pPr>
        <w:tabs>
          <w:tab w:val="right" w:pos="10178"/>
        </w:tabs>
        <w:spacing w:after="120"/>
      </w:pPr>
      <w:r>
        <w:rPr>
          <w:rFonts w:ascii="Arial" w:cs="Arial" w:eastAsia="Arial" w:hAnsi="Arial"/>
          <w:sz w:val="24"/>
          <w:szCs w:val="24"/>
        </w:rPr>
        <w:t xml:space="preserve">- от приватизации госсобственности</w:t>
      </w:r>
      <w:r>
        <w:rPr>
          <w:rFonts w:ascii="Arial" w:cs="Arial" w:eastAsia="Arial" w:hAnsi="Arial"/>
          <w:sz w:val="24"/>
          <w:szCs w:val="24"/>
        </w:rPr>
        <w:t xml:space="preserve">	</w:t>
      </w:r>
      <w:r>
        <w:rPr>
          <w:rFonts w:ascii="Arial" w:cs="Arial" w:eastAsia="Arial" w:hAnsi="Arial"/>
          <w:sz w:val="24"/>
          <w:szCs w:val="24"/>
        </w:rPr>
        <w:t xml:space="preserve">млн. сомов;</w:t>
      </w:r>
    </w:p>
    <w:p>
      <w:pPr>
        <w:tabs>
          <w:tab w:val="right" w:pos="10178"/>
        </w:tabs>
        <w:spacing w:after="120"/>
      </w:pPr>
      <w:r>
        <w:rPr>
          <w:rFonts w:ascii="Arial" w:cs="Arial" w:eastAsia="Arial" w:hAnsi="Arial"/>
          <w:sz w:val="24"/>
          <w:szCs w:val="24"/>
        </w:rPr>
        <w:t xml:space="preserve">- дивидендов</w:t>
      </w:r>
      <w:r>
        <w:rPr>
          <w:rFonts w:ascii="Arial" w:cs="Arial" w:eastAsia="Arial" w:hAnsi="Arial"/>
          <w:sz w:val="24"/>
          <w:szCs w:val="24"/>
        </w:rPr>
        <w:t xml:space="preserve">	</w:t>
      </w:r>
      <w:r>
        <w:rPr>
          <w:rFonts w:ascii="Arial" w:cs="Arial" w:eastAsia="Arial" w:hAnsi="Arial"/>
          <w:sz w:val="24"/>
          <w:szCs w:val="24"/>
        </w:rPr>
        <w:t xml:space="preserve">млн. сомов;</w:t>
      </w:r>
    </w:p>
    <w:p>
      <w:pPr>
        <w:tabs>
          <w:tab w:val="right" w:pos="10178"/>
        </w:tabs>
        <w:spacing w:after="120"/>
      </w:pPr>
      <w:r>
        <w:rPr>
          <w:rFonts w:ascii="Arial" w:cs="Arial" w:eastAsia="Arial" w:hAnsi="Arial"/>
          <w:sz w:val="24"/>
          <w:szCs w:val="24"/>
        </w:rPr>
        <w:t xml:space="preserve">- от сдачи в аренду государственного имущества</w:t>
      </w:r>
      <w:r>
        <w:rPr>
          <w:rFonts w:ascii="Arial" w:cs="Arial" w:eastAsia="Arial" w:hAnsi="Arial"/>
          <w:sz w:val="24"/>
          <w:szCs w:val="24"/>
        </w:rPr>
        <w:t xml:space="preserve">	</w:t>
      </w:r>
      <w:r>
        <w:rPr>
          <w:rFonts w:ascii="Arial" w:cs="Arial" w:eastAsia="Arial" w:hAnsi="Arial"/>
          <w:sz w:val="24"/>
          <w:szCs w:val="24"/>
        </w:rPr>
        <w:t xml:space="preserve">млн. сомов;</w:t>
      </w:r>
    </w:p>
    <w:p>
      <w:pPr>
        <w:tabs>
          <w:tab w:val="right" w:pos="10178"/>
        </w:tabs>
        <w:spacing w:after="120"/>
      </w:pPr>
      <w:r>
        <w:rPr>
          <w:rFonts w:ascii="Arial" w:cs="Arial" w:eastAsia="Arial" w:hAnsi="Arial"/>
          <w:sz w:val="24"/>
          <w:szCs w:val="24"/>
        </w:rPr>
        <w:t xml:space="preserve">- от прибыли госпредприятий не менее 50 %</w:t>
      </w:r>
      <w:r>
        <w:rPr>
          <w:rFonts w:ascii="Arial" w:cs="Arial" w:eastAsia="Arial" w:hAnsi="Arial"/>
          <w:sz w:val="24"/>
          <w:szCs w:val="24"/>
        </w:rPr>
        <w:t xml:space="preserve">	</w:t>
      </w:r>
      <w:r>
        <w:rPr>
          <w:rFonts w:ascii="Arial" w:cs="Arial" w:eastAsia="Arial" w:hAnsi="Arial"/>
          <w:sz w:val="24"/>
          <w:szCs w:val="24"/>
        </w:rPr>
        <w:t xml:space="preserve">млн. сомов.</w:t>
      </w:r>
    </w:p>
    <w:p>
      <w:pPr>
        <w:spacing w:after="120"/>
        <w:jc w:val="both"/>
      </w:pPr>
      <w:r>
        <w:rPr>
          <w:rFonts w:ascii="Arial" w:cs="Arial" w:eastAsia="Arial" w:hAnsi="Arial"/>
          <w:sz w:val="24"/>
          <w:szCs w:val="24"/>
        </w:rPr>
        <w:t xml:space="preserve">С целью ликвидации, преобразования убыточных государственных предприятий в акционерные общества, повышения эффективности их управления и внесения предложений в Комиссию по оптимизации системы государственного управления, принято </w:t>
      </w:r>
      <w:r>
        <w:rPr>
          <w:rFonts w:ascii="Arial" w:cs="Arial" w:eastAsia="Arial" w:hAnsi="Arial"/>
          <w:sz w:val="24"/>
          <w:szCs w:val="24"/>
        </w:rPr>
        <w:t xml:space="preserve">распоряжение</w:t>
      </w:r>
      <w:r>
        <w:rPr>
          <w:rFonts w:ascii="Arial" w:cs="Arial" w:eastAsia="Arial" w:hAnsi="Arial"/>
          <w:sz w:val="24"/>
          <w:szCs w:val="24"/>
        </w:rPr>
        <w:t xml:space="preserve"> Правительства Кыргызской Республики от 6 сентября 2011 года № 392-р, которым утверждаются Перечни госпредприятий, подлежащих ликвидации и подлежащих передаче в муниципальную собственность.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Работа с национализированными объектами</w:t>
      </w:r>
    </w:p>
    <w:p>
      <w:pPr>
        <w:spacing w:after="120"/>
        <w:jc w:val="both"/>
      </w:pPr>
      <w:r>
        <w:rPr>
          <w:rFonts w:ascii="Arial" w:cs="Arial" w:eastAsia="Arial" w:hAnsi="Arial"/>
          <w:sz w:val="24"/>
          <w:szCs w:val="24"/>
        </w:rPr>
        <w:t xml:space="preserve">Одна из важных задач Правительства Кыргызской Республики по управлению государственным имуществом в 2011 году - принятие Программы по дальнейшему использованию национализированных объектов,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Жогорку Кенеша Кыргызской Республики «Об утверждении </w:t>
      </w:r>
      <w:r>
        <w:rPr>
          <w:rFonts w:ascii="Arial" w:cs="Arial" w:eastAsia="Arial" w:hAnsi="Arial"/>
          <w:sz w:val="24"/>
          <w:szCs w:val="24"/>
        </w:rPr>
        <w:t xml:space="preserve">Программы</w:t>
      </w:r>
      <w:r>
        <w:rPr>
          <w:rFonts w:ascii="Arial" w:cs="Arial" w:eastAsia="Arial" w:hAnsi="Arial"/>
          <w:sz w:val="24"/>
          <w:szCs w:val="24"/>
        </w:rPr>
        <w:t xml:space="preserve"> по эффективному управлению и распоряжению национализированными объектами» от 8 июля 2011 года № 941-V, согласно которой приватизации подлежат 22 объекта.</w:t>
      </w:r>
    </w:p>
    <w:p>
      <w:pPr>
        <w:spacing w:after="120"/>
        <w:jc w:val="both"/>
      </w:pPr>
      <w:r>
        <w:rPr>
          <w:rFonts w:ascii="Arial" w:cs="Arial" w:eastAsia="Arial" w:hAnsi="Arial"/>
          <w:sz w:val="24"/>
          <w:szCs w:val="24"/>
        </w:rPr>
        <w:t xml:space="preserve">Согласно Программе, основная цель приватизации национализированных объектов - получение государством максимального дохода в возможно короткие сроки в целях пополнения государственного бюджета за счет продажи национализированных объектов.</w:t>
      </w:r>
    </w:p>
    <w:p>
      <w:pPr>
        <w:spacing w:after="120"/>
        <w:jc w:val="both"/>
      </w:pPr>
      <w:r>
        <w:rPr>
          <w:rFonts w:ascii="Arial" w:cs="Arial" w:eastAsia="Arial" w:hAnsi="Arial"/>
          <w:sz w:val="24"/>
          <w:szCs w:val="24"/>
        </w:rPr>
        <w:t xml:space="preserve">Все мероприятия по приватизации объектов проводились в условиях максимальной прозрачности и подотчетности гражданскому обществу, в рамках законодательства Кыргызской Республики. На всех заседаниях комиссии присутствовали представители СМИ.</w:t>
      </w:r>
    </w:p>
    <w:p>
      <w:pPr>
        <w:spacing w:after="120"/>
        <w:jc w:val="both"/>
      </w:pPr>
      <w:r>
        <w:rPr>
          <w:rFonts w:ascii="Arial" w:cs="Arial" w:eastAsia="Arial" w:hAnsi="Arial"/>
          <w:sz w:val="24"/>
          <w:szCs w:val="24"/>
        </w:rPr>
        <w:t xml:space="preserve">На аукцион выставлены 11 национализированных объектов, из них на сегодняшний день реализовано 5 объектов на общую сумму 176 264 989 сомов:</w:t>
      </w:r>
    </w:p>
    <w:p>
      <w:pPr>
        <w:spacing w:after="120"/>
        <w:jc w:val="both"/>
      </w:pPr>
      <w:r>
        <w:rPr>
          <w:rFonts w:ascii="Arial" w:cs="Arial" w:eastAsia="Arial" w:hAnsi="Arial"/>
          <w:sz w:val="24"/>
          <w:szCs w:val="24"/>
        </w:rPr>
        <w:t xml:space="preserve">- Коттедж № 56, расположенный на территории ЦО «Каприз» в с.Бактуу-Долоноту Иссык-Кульской области;</w:t>
      </w:r>
    </w:p>
    <w:p>
      <w:pPr>
        <w:spacing w:after="120"/>
        <w:jc w:val="both"/>
      </w:pPr>
      <w:r>
        <w:rPr>
          <w:rFonts w:ascii="Arial" w:cs="Arial" w:eastAsia="Arial" w:hAnsi="Arial"/>
          <w:sz w:val="24"/>
          <w:szCs w:val="24"/>
        </w:rPr>
        <w:t xml:space="preserve">- Яхта «Bavaria 38 Cruiser»;</w:t>
      </w:r>
    </w:p>
    <w:p>
      <w:pPr>
        <w:spacing w:after="120"/>
        <w:jc w:val="both"/>
      </w:pPr>
      <w:r>
        <w:rPr>
          <w:rFonts w:ascii="Arial" w:cs="Arial" w:eastAsia="Arial" w:hAnsi="Arial"/>
          <w:sz w:val="24"/>
          <w:szCs w:val="24"/>
        </w:rPr>
        <w:t xml:space="preserve">- 35 % акций ОАО «Азия Агроресурс»;</w:t>
      </w:r>
    </w:p>
    <w:p>
      <w:pPr>
        <w:spacing w:after="120"/>
        <w:jc w:val="both"/>
      </w:pPr>
      <w:r>
        <w:rPr>
          <w:rFonts w:ascii="Arial" w:cs="Arial" w:eastAsia="Arial" w:hAnsi="Arial"/>
          <w:sz w:val="24"/>
          <w:szCs w:val="24"/>
        </w:rPr>
        <w:t xml:space="preserve">- 33 % акций ОАО «Дитис»;</w:t>
      </w:r>
    </w:p>
    <w:p>
      <w:pPr>
        <w:spacing w:after="120"/>
        <w:jc w:val="both"/>
      </w:pPr>
      <w:r>
        <w:rPr>
          <w:rFonts w:ascii="Arial" w:cs="Arial" w:eastAsia="Arial" w:hAnsi="Arial"/>
          <w:sz w:val="24"/>
          <w:szCs w:val="24"/>
        </w:rPr>
        <w:t xml:space="preserve">- 100 % доли ОсОО «Петрол Групп»;</w:t>
      </w:r>
    </w:p>
    <w:p>
      <w:pPr>
        <w:spacing w:after="120"/>
        <w:jc w:val="both"/>
      </w:pPr>
      <w:r>
        <w:rPr>
          <w:rFonts w:ascii="Arial" w:cs="Arial" w:eastAsia="Arial" w:hAnsi="Arial"/>
          <w:sz w:val="24"/>
          <w:szCs w:val="24"/>
        </w:rPr>
        <w:t xml:space="preserve">Процедура банкротства проходила на 2-х национализированных объектах, подлежащих приватизации: ОАО «Бишкекский ликеро-водочный завод», который продан за 66,6 млн. сомов, и ОАО «АзияУниверсалБанк».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Социальная сфера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Социальная защита</w:t>
      </w:r>
    </w:p>
    <w:p>
      <w:pPr>
        <w:spacing w:after="120"/>
        <w:jc w:val="both"/>
      </w:pPr>
      <w:r>
        <w:rPr>
          <w:rFonts w:ascii="Arial" w:cs="Arial" w:eastAsia="Arial" w:hAnsi="Arial"/>
          <w:sz w:val="24"/>
          <w:szCs w:val="24"/>
        </w:rPr>
        <w:t xml:space="preserve">В области социальной защиты населения проводится целенаправленная работа по повышению уровня жизни населения и улучшению положения социально уязвимых граждан.</w:t>
      </w:r>
    </w:p>
    <w:p>
      <w:pPr>
        <w:spacing w:after="120"/>
        <w:jc w:val="both"/>
      </w:pPr>
      <w:r>
        <w:rPr>
          <w:rFonts w:ascii="Arial" w:cs="Arial" w:eastAsia="Arial" w:hAnsi="Arial"/>
          <w:sz w:val="24"/>
          <w:szCs w:val="24"/>
        </w:rPr>
        <w:t xml:space="preserve">Среднемесячная номинальная заработная плата одного работника за январь - ноябрь 2011 года (без учета малых предприятий) составила 8908 сомов, увеличившись на 29,5 % в сравнении с прошлым годом. Ее реальный размер, исчисленный с учетом индекса потребительских цен, возрос на 6,9 %, по сравнению с аналогичным периодом прошлого года. Исходя из официального курса валют НБКР, среднемесячная заработная плата в текущий период составляет 193,3 доллара США1.</w:t>
      </w:r>
    </w:p>
    <w:p>
      <w:pPr>
        <w:spacing w:after="120"/>
        <w:jc w:val="both"/>
      </w:pPr>
      <w:r>
        <w:rPr>
          <w:rFonts w:ascii="Arial" w:cs="Arial" w:eastAsia="Arial" w:hAnsi="Arial"/>
          <w:sz w:val="24"/>
          <w:szCs w:val="24"/>
        </w:rPr>
        <w:t xml:space="preserve">_______________________________</w:t>
      </w:r>
    </w:p>
    <w:p>
      <w:pPr>
        <w:spacing w:after="120"/>
        <w:jc w:val="both"/>
      </w:pPr>
      <w:r>
        <w:rPr>
          <w:rFonts w:ascii="Arial" w:cs="Arial" w:eastAsia="Arial" w:hAnsi="Arial"/>
          <w:sz w:val="24"/>
          <w:szCs w:val="24"/>
        </w:rPr>
        <w:t xml:space="preserve">1 Экспресс-информация НСК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Размер прожиточного минимума за 2011 год составил 4390,02 сома, и возрос на 20,2 % по сравнению с соответствующим периодом предыдущего года. Такой значительный рост объясняется тем, что в структуре прожиточного минимума продовольственные товары, по-прежнему, занимают большую долю - 65 %, на основные товары из которых (хлебобулочные, молочные, яйца, сахар) цена повысилась более чем на 30 %.</w:t>
      </w:r>
    </w:p>
    <w:p>
      <w:pPr>
        <w:spacing w:after="120"/>
        <w:jc w:val="both"/>
      </w:pPr>
      <w:r>
        <w:rPr>
          <w:rFonts w:ascii="Arial" w:cs="Arial" w:eastAsia="Arial" w:hAnsi="Arial"/>
          <w:sz w:val="24"/>
          <w:szCs w:val="24"/>
        </w:rPr>
        <w:t xml:space="preserve">Государственные пособия. С 1 июля 2011 года увеличены размеры гарантированного минимального дохода (ГМД) с 310 до 370 сомов (рост составляет 19,4 %) и ежемесячных социальных пособий на всех детей с ограниченными возможностями здоровья - до 3,0 тыс. сомов.</w:t>
      </w:r>
    </w:p>
    <w:p>
      <w:pPr>
        <w:spacing w:after="120"/>
        <w:jc w:val="both"/>
      </w:pPr>
      <w:r>
        <w:rPr>
          <w:rFonts w:ascii="Arial" w:cs="Arial" w:eastAsia="Arial" w:hAnsi="Arial"/>
          <w:sz w:val="24"/>
          <w:szCs w:val="24"/>
        </w:rPr>
        <w:t xml:space="preserve">Средняя численность получателей государственных пособий, по состоянию на 1 января 2012 года, составила 440,8 тыс. человек, их них получатели ежемесячных пособий малообеспеченным семьям, имеющим детей (ЕПМС), - 371,8 тыс. чел.</w:t>
      </w:r>
    </w:p>
    <w:p>
      <w:pPr>
        <w:spacing w:after="120"/>
        <w:jc w:val="both"/>
      </w:pPr>
      <w:r>
        <w:rPr>
          <w:rFonts w:ascii="Arial" w:cs="Arial" w:eastAsia="Arial" w:hAnsi="Arial"/>
          <w:sz w:val="24"/>
          <w:szCs w:val="24"/>
        </w:rPr>
        <w:t xml:space="preserve">В целом по республике на 1 января 2012 года средние размеры ЕПМС и ЕСП составляют соответственно 304,9 и 2112,8 сома. Рост этих показателей по сравнению с прошлым годом составил соответственно 30,7 % и 40,5 %.</w:t>
      </w:r>
    </w:p>
    <w:p>
      <w:pPr>
        <w:spacing w:after="120"/>
        <w:jc w:val="both"/>
      </w:pPr>
      <w:r>
        <w:rPr>
          <w:rFonts w:ascii="Arial" w:cs="Arial" w:eastAsia="Arial" w:hAnsi="Arial"/>
          <w:sz w:val="24"/>
          <w:szCs w:val="24"/>
        </w:rPr>
        <w:t xml:space="preserve">Предоставление социальных гарантий и компенсаций. По состоянию на 1 января 2012 года, численность получателей ежемесячных денежных компенсаций взамен льгот составила 54,7 тыс. чел., что на 2,2 тыс. чел. больше 2010 года (рост 4,1 %). В том числе: ветераны Великой Отечественной войны - 17,0 тыс. чел. (рост 30 % к соответствующему периоду прошлого года); инвалиды по зрению и слуху - 23,0 тыс. чел. (41,0 %); воины-интернационалисты и СПВ - 8,3 тыс. чел. (15,0 %); реабилитированные граждане - 3,7 тыс. чел. (7,0 %); пострадавшие при аварии на ЧАЭС - 2,1 тыс. чел. (4,0 %); почетные доноры - 1,7 тыс. чел. (3,0 %).</w:t>
      </w:r>
    </w:p>
    <w:p>
      <w:pPr>
        <w:spacing w:after="120"/>
        <w:jc w:val="both"/>
      </w:pPr>
      <w:r>
        <w:rPr>
          <w:rFonts w:ascii="Arial" w:cs="Arial" w:eastAsia="Arial" w:hAnsi="Arial"/>
          <w:sz w:val="24"/>
          <w:szCs w:val="24"/>
        </w:rPr>
        <w:t xml:space="preserve">Социальное обеспечение работающих. Общая численность получателей пособий на 1 января 2012 года составила 20,5 тыс. чел. Сумма начисленных пособий на 1 января 2012 года составила 122,6 млн. сомов и по сравнению с аналогичным периодом 2010 года увеличилась на 9,8 млн. сомов (рост 8,6 %).</w:t>
      </w:r>
    </w:p>
    <w:p>
      <w:pPr>
        <w:spacing w:after="120"/>
        <w:jc w:val="both"/>
      </w:pPr>
      <w:r>
        <w:rPr>
          <w:rFonts w:ascii="Arial" w:cs="Arial" w:eastAsia="Arial" w:hAnsi="Arial"/>
          <w:sz w:val="24"/>
          <w:szCs w:val="24"/>
        </w:rPr>
        <w:t xml:space="preserve">Социальное обслуживание. В системе Министерства социального развития Кыргызской Республики функционируют 15 домов-интернатов, 14 из которых финансируются из средств республиканского бюджета, а также Бишкекский дом-интернат для престарелых - из средств местного бюджета. В данное время в домах-интернатах содержатся 2290 подопечных, в том числе 821 - престарелые и лица с ограниченными возможностями здоровья, с психоневрологическим диагнозом - 1066 взрослых и 403 ребенка.</w:t>
      </w:r>
    </w:p>
    <w:p>
      <w:pPr>
        <w:spacing w:after="120"/>
        <w:jc w:val="both"/>
      </w:pPr>
      <w:r>
        <w:rPr>
          <w:rFonts w:ascii="Arial" w:cs="Arial" w:eastAsia="Arial" w:hAnsi="Arial"/>
          <w:sz w:val="24"/>
          <w:szCs w:val="24"/>
        </w:rPr>
        <w:t xml:space="preserve">Таким образом, в сфере социальной защиты населения упорядочены выплаты и увеличены размеры пособий на детей. На постоянной основе исключаются из числа получателей пособия более обеспеченные семьи, и увеличиваются размеры пособий для детей в результате ежегодного повышения размера гарантированного минимального дохода (ГМД).</w:t>
      </w:r>
    </w:p>
    <w:p>
      <w:pPr>
        <w:spacing w:after="120"/>
        <w:jc w:val="both"/>
      </w:pPr>
      <w:r>
        <w:rPr>
          <w:rFonts w:ascii="Arial" w:cs="Arial" w:eastAsia="Arial" w:hAnsi="Arial"/>
          <w:sz w:val="24"/>
          <w:szCs w:val="24"/>
        </w:rPr>
        <w:t xml:space="preserve">Социальное обслуживание пенсионеров. Общее количество пенсионеров в республике, по состоянию на 1 января 2012 года, составило 544,7 тыс. чел. Всего за 2011 год на выплату пенсий и пособий направлено 20437,0 млн. сомов. По сравнению с аналогичным периодом прошлого года потребность увеличилась на 6164,7 млн. сомов.</w:t>
      </w:r>
    </w:p>
    <w:p>
      <w:pPr>
        <w:spacing w:after="120"/>
        <w:jc w:val="both"/>
      </w:pPr>
      <w:r>
        <w:rPr>
          <w:rFonts w:ascii="Arial" w:cs="Arial" w:eastAsia="Arial" w:hAnsi="Arial"/>
          <w:sz w:val="24"/>
          <w:szCs w:val="24"/>
        </w:rPr>
        <w:t xml:space="preserve">Средний размер пенсии с 1 октября 2011 года составил 3796 сомов1 (96 % от прожиточного минимума пенсионера), что больше на 996 сомов, чем в прошлом году, или рост составляет 17,5 %.</w:t>
      </w:r>
    </w:p>
    <w:p>
      <w:pPr>
        <w:spacing w:after="120"/>
        <w:jc w:val="both"/>
      </w:pPr>
      <w:r>
        <w:rPr>
          <w:rFonts w:ascii="Arial" w:cs="Arial" w:eastAsia="Arial" w:hAnsi="Arial"/>
          <w:sz w:val="24"/>
          <w:szCs w:val="24"/>
        </w:rPr>
        <w:t xml:space="preserve">_______________________</w:t>
      </w:r>
    </w:p>
    <w:p>
      <w:pPr>
        <w:spacing w:after="120"/>
        <w:jc w:val="both"/>
      </w:pPr>
      <w:r>
        <w:rPr>
          <w:rFonts w:ascii="Arial" w:cs="Arial" w:eastAsia="Arial" w:hAnsi="Arial"/>
          <w:sz w:val="24"/>
          <w:szCs w:val="24"/>
        </w:rPr>
        <w:t xml:space="preserve">1 По данным СФ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Двухэтапное повышение пенсий в 2011 году позволило значительно сократить число пенсионеров, получающих пенсии ниже прожиточного минимума пенсионера. Если в прошлом году ниже прожиточного минимума получали 497,4 тыс. чел. (93,8 % от общего количества пенсионеров), то с 1 октября 2011 года - 361,6 тыс. чел. (67,3 %), или сократилось на 135,8 тыс. чел. (26,5 %). Удельный вес пенсионеров, получающих пенсию свыше прожиточного минимума пенсионера, увеличился почти в пять раз и составил 32,7 % от их общего количества или 175,8 тыс. чел.</w:t>
      </w:r>
    </w:p>
    <w:p>
      <w:pPr>
        <w:spacing w:after="120"/>
        <w:jc w:val="both"/>
      </w:pPr>
      <w:r>
        <w:rPr>
          <w:rFonts w:ascii="Arial" w:cs="Arial" w:eastAsia="Arial" w:hAnsi="Arial"/>
          <w:sz w:val="24"/>
          <w:szCs w:val="24"/>
        </w:rPr>
        <w:t xml:space="preserve">В целях улучшения жизни пенсионеров на среднесрочный период 2012-2014 годов, планируется повышение среднего размера пенсии по Кыргызской</w:t>
      </w:r>
    </w:p>
    <w:p>
      <w:pPr>
        <w:spacing w:after="120"/>
        <w:jc w:val="both"/>
      </w:pPr>
      <w:r>
        <w:rPr>
          <w:rFonts w:ascii="Arial" w:cs="Arial" w:eastAsia="Arial" w:hAnsi="Arial"/>
          <w:sz w:val="24"/>
          <w:szCs w:val="24"/>
        </w:rPr>
        <w:t xml:space="preserve">Текст соответствует оригиналу</w:t>
      </w:r>
    </w:p>
    <w:p>
      <w:pPr>
        <w:spacing w:after="120"/>
        <w:jc w:val="both"/>
      </w:pPr>
      <w:r>
        <w:rPr>
          <w:rFonts w:ascii="Arial" w:cs="Arial" w:eastAsia="Arial" w:hAnsi="Arial"/>
          <w:sz w:val="24"/>
          <w:szCs w:val="24"/>
        </w:rPr>
        <w:t xml:space="preserve">естественного прироста населения составил 20,6 на 1000 населения (2010 г. - 20,2, % изменения - (+ 1,9 %).</w:t>
      </w:r>
    </w:p>
    <w:p>
      <w:pPr>
        <w:spacing w:after="120"/>
        <w:jc w:val="both"/>
      </w:pPr>
      <w:r>
        <w:rPr>
          <w:rFonts w:ascii="Arial" w:cs="Arial" w:eastAsia="Arial" w:hAnsi="Arial"/>
          <w:sz w:val="24"/>
          <w:szCs w:val="24"/>
        </w:rPr>
        <w:t xml:space="preserve">По итогам 2011 года отмечалось незначительное снижение показателя общей смертности на 1000 населения, который, по предварительным данным, составил 6,5 (2010 г. - 6,6, изменения - (- 1,5 %) за счет снижения количества смертей от отдельных состояний, возникающих в перинатальном периоде, болезней органов дыхания и мочеполовой системы.</w:t>
      </w:r>
    </w:p>
    <w:p>
      <w:pPr>
        <w:spacing w:after="120"/>
        <w:jc w:val="both"/>
      </w:pPr>
      <w:r>
        <w:rPr>
          <w:rFonts w:ascii="Arial" w:cs="Arial" w:eastAsia="Arial" w:hAnsi="Arial"/>
          <w:sz w:val="24"/>
          <w:szCs w:val="24"/>
        </w:rPr>
        <w:t xml:space="preserve">Показатель младенческой смертности на 1000 родившихся живыми за 2011 год составил 20,7 (2010 г. - 22,8, изменения - (- 9,2 %). Уменьшение за счет снижения ранней неонатальной смертности и внедрения программ, направленных на улучшение здоровья детей и беременных женщин, качества медицинских услуг в родильных домах.</w:t>
      </w:r>
    </w:p>
    <w:p>
      <w:pPr>
        <w:spacing w:after="120"/>
        <w:jc w:val="both"/>
      </w:pPr>
      <w:r>
        <w:rPr>
          <w:rFonts w:ascii="Arial" w:cs="Arial" w:eastAsia="Arial" w:hAnsi="Arial"/>
          <w:sz w:val="24"/>
          <w:szCs w:val="24"/>
        </w:rPr>
        <w:t xml:space="preserve">Коэффициент детской смертности за 12 месяцев 2011 года, по предварительным данным, составил 22,8 (2010 г. - 26,5; изменения - (-11,6 %). Уменьшение - как за счет снижения смерти детей до 1 года жизни, так и снижения смертности в возрасте 1-4 лет.</w:t>
      </w:r>
    </w:p>
    <w:p>
      <w:pPr>
        <w:spacing w:after="120"/>
        <w:jc w:val="both"/>
      </w:pPr>
      <w:r>
        <w:rPr>
          <w:rFonts w:ascii="Arial" w:cs="Arial" w:eastAsia="Arial" w:hAnsi="Arial"/>
          <w:sz w:val="24"/>
          <w:szCs w:val="24"/>
        </w:rPr>
        <w:t xml:space="preserve">Показатель материнской смертности по итогам 12 месяцев 2011 года, по предварительным данным, составил 49,3 на 100000 родившихся живыми (2010 год - 50,6, изменения - (- 2,6 %).</w:t>
      </w:r>
    </w:p>
    <w:p>
      <w:pPr>
        <w:spacing w:after="120"/>
        <w:jc w:val="both"/>
      </w:pPr>
      <w:r>
        <w:rPr>
          <w:rFonts w:ascii="Arial" w:cs="Arial" w:eastAsia="Arial" w:hAnsi="Arial"/>
          <w:sz w:val="24"/>
          <w:szCs w:val="24"/>
        </w:rPr>
        <w:t xml:space="preserve">В целях качественного и эффективного предоставления медицинских услуг предлагается внедрить добровольное медицинское страхование и установить принципы государственного социального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Образование</w:t>
      </w:r>
    </w:p>
    <w:p>
      <w:pPr>
        <w:spacing w:after="120"/>
        <w:jc w:val="both"/>
      </w:pPr>
      <w:r>
        <w:rPr>
          <w:rFonts w:ascii="Arial" w:cs="Arial" w:eastAsia="Arial" w:hAnsi="Arial"/>
          <w:sz w:val="24"/>
          <w:szCs w:val="24"/>
        </w:rPr>
        <w:t xml:space="preserve">По состоянию на 1 января 2012 года, в республике функционируют: 737 дошкольных учреждений, которые посещают 79,8 тыс. детей; 2024 школы с 1015,1 тыс. учащимися; 122 средних профессиональных учебных заведения с численностью 64,3 тыс. студентов и 52 высших учебных заведения с контингентом 230,3 тыс. студентов. Численность студентов высших профессиональных учебных заведений сократилась по сравнению с аналогичным периодом прошлого года на 3,3 тыс. чел.</w:t>
      </w:r>
    </w:p>
    <w:p>
      <w:pPr>
        <w:spacing w:after="120"/>
        <w:jc w:val="both"/>
      </w:pPr>
      <w:r>
        <w:rPr>
          <w:rFonts w:ascii="Arial" w:cs="Arial" w:eastAsia="Arial" w:hAnsi="Arial"/>
          <w:sz w:val="24"/>
          <w:szCs w:val="24"/>
        </w:rPr>
        <w:t xml:space="preserve">С целью формирования плана приема студентов на 2011-2012 учебный год на основе государственных образовательных грантов в вузах и на бюджетные места в средние профессиональные учебные заведения произведен сбор заявок из министерств, ведомств и государственных администраций областей о потребности в специалистах с высшим и средним профессиональным образованием. На этом основании общая потребность в специалистах по республике составила более 9,0 тыс. специалистов. Наибольшая потребность в кадрах заявлена в отраслях здравоохранения (3022), образовании (2641), сельского хозяйства (1051).</w:t>
      </w:r>
    </w:p>
    <w:p>
      <w:pPr>
        <w:spacing w:after="120"/>
        <w:jc w:val="both"/>
      </w:pPr>
      <w:r>
        <w:rPr>
          <w:rFonts w:ascii="Arial" w:cs="Arial" w:eastAsia="Arial" w:hAnsi="Arial"/>
          <w:sz w:val="24"/>
          <w:szCs w:val="24"/>
        </w:rPr>
        <w:t xml:space="preserve">По сравнению с 2010 годом, в 2011 году увеличился объем бюджетных ассигнований, выделенных для образовательных учреждений, на сумму 1081,4 млн. сомов или на 53,3 процента. Указанные дополнительные средства направлены на: повышение заработной платы - 855,4 млн. сомов, издание учебников - 66,0 млн. сомов, капитальный ремонт учебных зданий - 103,0 млн. сомов, приобретение оборудования - 57,0 млн. сомов.</w:t>
      </w:r>
    </w:p>
    <w:p>
      <w:pPr>
        <w:spacing w:after="120"/>
        <w:jc w:val="both"/>
      </w:pPr>
      <w:r>
        <w:rPr>
          <w:rFonts w:ascii="Arial" w:cs="Arial" w:eastAsia="Arial" w:hAnsi="Arial"/>
          <w:sz w:val="24"/>
          <w:szCs w:val="24"/>
        </w:rPr>
        <w:t xml:space="preserve">В целом, на поддержку образовательных организаций на приобретение прочих услуг направлено 233,8 млн. сомов (в т.ч. на издание учебников - 75 млн. сомов, реализацию программы «Депозит молодого учителя» - 54,0 млн. сомов), на капитальный ремонт - 165,7 млн. сомов, на приобретение оборудования - 68,6 млн. сомов.</w:t>
      </w:r>
    </w:p>
    <w:p>
      <w:pPr>
        <w:spacing w:after="120"/>
        <w:jc w:val="both"/>
      </w:pPr>
      <w:r>
        <w:rPr>
          <w:rFonts w:ascii="Arial" w:cs="Arial" w:eastAsia="Arial" w:hAnsi="Arial"/>
          <w:sz w:val="24"/>
          <w:szCs w:val="24"/>
        </w:rPr>
        <w:t xml:space="preserve">Одним из стратегических вопросов в отчетном периоде был вопрос повышения заработной платы педагогическим работникам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дальнейших мерах по совершенствованию условий оплаты труда некоторых работников бюджетной сферы» от 16 декабря 2010 года № 323), и с 1 мая 2011 года осуществлен переход на новые условия оплаты труда и повышение заработной платы работников образования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введении новых условий оплаты труда работников образовательных организаций» от 19 января 2011 года № 18).</w:t>
      </w:r>
    </w:p>
    <w:p>
      <w:pPr>
        <w:spacing w:after="120"/>
        <w:jc w:val="both"/>
      </w:pPr>
      <w:r>
        <w:rPr>
          <w:rFonts w:ascii="Arial" w:cs="Arial" w:eastAsia="Arial" w:hAnsi="Arial"/>
          <w:sz w:val="24"/>
          <w:szCs w:val="24"/>
        </w:rPr>
        <w:t xml:space="preserve">Кроме этого, с 1 сентября 2011 года введены новые условия оплаты труда младшего и технического обслуживающего персонала, занятого в социальной сфере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«Об утверждении должностных окладов технического и младшего обслуживающего персонала, занятого в социальной сфере» от 23 августа 2011 года № 489).</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hcsftomqltexgibfi53h">
      <w:r>
        <w:rPr>
          <w:rFonts w:ascii="Arial" w:cs="Arial" w:eastAsia="Arial" w:hAnsi="Arial"/>
          <w:color w:val="132D3F"/>
          <w:sz w:val="16"/>
          <w:szCs w:val="16"/>
          <w:u w:val="single"/>
        </w:rPr>
        <w:t xml:space="preserve">dalil.kg/document/92950</w:t>
      </w:r>
    </w:hyperlink>
  </w:p>
  <w:p>
    <w:pPr>
      <w:spacing w:after="0" w:before="40"/>
      <w:jc w:val="center"/>
    </w:pPr>
    <w:hyperlink w:history="1" r:id="rIddszoxrwuqjmthk-kkdcc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z12r5k_arolvnp-anl8e" Type="http://schemas.openxmlformats.org/officeDocument/2006/relationships/hyperlink" Target="https://dalil.kg/document/158975" TargetMode="External"/><Relationship Id="rIdse8pabjq0desxjyb4pqmy" Type="http://schemas.openxmlformats.org/officeDocument/2006/relationships/hyperlink" Target="https://dalil.kg/document/92950#p1" TargetMode="External"/><Relationship Id="rIdqafdcwuoogsnbckno09fq" Type="http://schemas.openxmlformats.org/officeDocument/2006/relationships/hyperlink" Target="https://dalil.kg/document/203252" TargetMode="External"/><Relationship Id="rId5ixvf3v7mq_sbqkkaknuz" Type="http://schemas.openxmlformats.org/officeDocument/2006/relationships/hyperlink" Target="https://dalil.kg/document/95195" TargetMode="External"/><Relationship Id="rIdnghriwi6hkegqa1ioqkft" Type="http://schemas.openxmlformats.org/officeDocument/2006/relationships/hyperlink" Target="https://dalil.kg/document/202913" TargetMode="External"/><Relationship Id="rIdhvwbfbsqysygukhxescdw" Type="http://schemas.openxmlformats.org/officeDocument/2006/relationships/hyperlink" Target="https://dalil.kg/document/203401" TargetMode="External"/><Relationship Id="rIdpvo1rithe9qdu1d3-tewa" Type="http://schemas.openxmlformats.org/officeDocument/2006/relationships/hyperlink" Target="https://dalil.kg/document/95276" TargetMode="External"/><Relationship Id="rId3doea-jmqt89oqkemo_bv" Type="http://schemas.openxmlformats.org/officeDocument/2006/relationships/hyperlink" Target="https://dalil.kg/document/203607" TargetMode="External"/><Relationship Id="rIdphkr7qeew8no8fsfakhfs" Type="http://schemas.openxmlformats.org/officeDocument/2006/relationships/hyperlink" Target="https://dalil.kg/document/203249" TargetMode="External"/><Relationship Id="rIdyqtetk6r-gvd8uxrw6hap" Type="http://schemas.openxmlformats.org/officeDocument/2006/relationships/hyperlink" Target="https://dalil.kg/document/202445" TargetMode="External"/><Relationship Id="rIdhbwf8ebry1vlo_0jbsm70" Type="http://schemas.openxmlformats.org/officeDocument/2006/relationships/hyperlink" Target="https://dalil.kg/document/203271" TargetMode="External"/><Relationship Id="rIdruc9w_lajewgxhvr7_2wi" Type="http://schemas.openxmlformats.org/officeDocument/2006/relationships/hyperlink" Target="https://dalil.kg/document/1871" TargetMode="External"/><Relationship Id="rIdyvsscthj8djkdoivjuanp" Type="http://schemas.openxmlformats.org/officeDocument/2006/relationships/hyperlink" Target="https://dalil.kg/document/203277" TargetMode="External"/><Relationship Id="rIdo4odcatf-np1qjw20lhxh" Type="http://schemas.openxmlformats.org/officeDocument/2006/relationships/hyperlink" Target="https://dalil.kg/document/1816" TargetMode="External"/><Relationship Id="rIdjm1irr8l5sk3r8esaaq2o" Type="http://schemas.openxmlformats.org/officeDocument/2006/relationships/hyperlink" Target="https://dalil.kg/document/741" TargetMode="External"/><Relationship Id="rIdq2zt8lfdqawvh7lccadhf" Type="http://schemas.openxmlformats.org/officeDocument/2006/relationships/hyperlink" Target="https://dalil.kg/document/202445" TargetMode="External"/><Relationship Id="rIdbelju1ihwju5skgetthqe" Type="http://schemas.openxmlformats.org/officeDocument/2006/relationships/hyperlink" Target="https://dalil.kg/document/202445" TargetMode="External"/><Relationship Id="rId-hpvzjk_mdfh1jlofxshe" Type="http://schemas.openxmlformats.org/officeDocument/2006/relationships/hyperlink" Target="https://dalil.kg/document/203363" TargetMode="External"/><Relationship Id="rIdthdsksfhr1yjxtwby6dxr" Type="http://schemas.openxmlformats.org/officeDocument/2006/relationships/hyperlink" Target="https://dalil.kg/document/203249" TargetMode="External"/><Relationship Id="rId9zoti1jk-m5hs22kzumyh" Type="http://schemas.openxmlformats.org/officeDocument/2006/relationships/hyperlink" Target="https://dalil.kg/document/202445" TargetMode="External"/><Relationship Id="rIdi4ikdhuumlfzzbsisd9dc" Type="http://schemas.openxmlformats.org/officeDocument/2006/relationships/hyperlink" Target="https://dalil.kg/document/1587" TargetMode="External"/><Relationship Id="rIduuwuyezorbaqxftt-m84j" Type="http://schemas.openxmlformats.org/officeDocument/2006/relationships/hyperlink" Target="https://dalil.kg/document/92473" TargetMode="External"/><Relationship Id="rId7arfltubgdptxdwvh92fq" Type="http://schemas.openxmlformats.org/officeDocument/2006/relationships/hyperlink" Target="https://dalil.kg/document/91075" TargetMode="External"/><Relationship Id="rIdnzjdyy9taeag4vtonnalq" Type="http://schemas.openxmlformats.org/officeDocument/2006/relationships/hyperlink" Target="https://dalil.kg/document/91076" TargetMode="External"/><Relationship Id="rId7xwbmxmwmilfozxf6mhnt" Type="http://schemas.openxmlformats.org/officeDocument/2006/relationships/hyperlink" Target="https://dalil.kg/document/92480" TargetMode="External"/><Relationship Id="rIdrnv82fvmx5o1txybxwt_t" Type="http://schemas.openxmlformats.org/officeDocument/2006/relationships/hyperlink" Target="https://dalil.kg/document/59743" TargetMode="External"/><Relationship Id="rIdyoptxdr9h3xupbwau-gtu" Type="http://schemas.openxmlformats.org/officeDocument/2006/relationships/hyperlink" Target="https://dalil.kg/document/92481" TargetMode="External"/><Relationship Id="rId9_c8et2sxsw6rawak9nyl" Type="http://schemas.openxmlformats.org/officeDocument/2006/relationships/hyperlink" Target="https://dalil.kg/document/94087" TargetMode="External"/><Relationship Id="rIdcnvspeec3yvcnxkwlxssm" Type="http://schemas.openxmlformats.org/officeDocument/2006/relationships/hyperlink" Target="https://dalil.kg/document/95007" TargetMode="External"/><Relationship Id="rIdju7koyq1u_ioieudxelg5" Type="http://schemas.openxmlformats.org/officeDocument/2006/relationships/hyperlink" Target="https://dalil.kg/document/92630" TargetMode="External"/><Relationship Id="rIdzstvnbf-oiyzyx7salaq6" Type="http://schemas.openxmlformats.org/officeDocument/2006/relationships/hyperlink" Target="https://dalil.kg/document/95165" TargetMode="External"/><Relationship Id="rIdha7vz3kuh93qcfadhrbky" Type="http://schemas.openxmlformats.org/officeDocument/2006/relationships/hyperlink" Target="https://dalil.kg/document/95168" TargetMode="External"/><Relationship Id="rIdi2dth-wpowkhmugbexqua" Type="http://schemas.openxmlformats.org/officeDocument/2006/relationships/hyperlink" Target="https://dalil.kg/document/59643" TargetMode="External"/><Relationship Id="rIdowxqbbza30_p3ew0ed2s_" Type="http://schemas.openxmlformats.org/officeDocument/2006/relationships/hyperlink" Target="https://dalil.kg/document/202445" TargetMode="External"/><Relationship Id="rIduc2ip05lsqgfqpvu2bplf" Type="http://schemas.openxmlformats.org/officeDocument/2006/relationships/hyperlink" Target="https://dalil.kg/document/92822" TargetMode="External"/><Relationship Id="rIdncm7emu48gi9nmyxzkoz4" Type="http://schemas.openxmlformats.org/officeDocument/2006/relationships/hyperlink" Target="https://dalil.kg/document/95195" TargetMode="External"/><Relationship Id="rIdpwk7xwlpfyobkydeqlpht" Type="http://schemas.openxmlformats.org/officeDocument/2006/relationships/hyperlink" Target="https://dalil.kg/document/95315" TargetMode="External"/><Relationship Id="rIdxmje6y1j_lhcjcfz4cggr" Type="http://schemas.openxmlformats.org/officeDocument/2006/relationships/hyperlink" Target="https://dalil.kg/document/202445" TargetMode="External"/><Relationship Id="rIdmtcgml8wtcdmkes5luaxd" Type="http://schemas.openxmlformats.org/officeDocument/2006/relationships/hyperlink" Target="https://dalil.kg/document/202591" TargetMode="External"/><Relationship Id="rIdh4gpcpszloikkwujnhjde" Type="http://schemas.openxmlformats.org/officeDocument/2006/relationships/hyperlink" Target="https://dalil.kg/document/202445" TargetMode="External"/><Relationship Id="rIdrqaj2nb5zktrmcnzdhwlx" Type="http://schemas.openxmlformats.org/officeDocument/2006/relationships/hyperlink" Target="https://dalil.kg/document/95320" TargetMode="External"/><Relationship Id="rIdajnebusiomwprmffp9n3o" Type="http://schemas.openxmlformats.org/officeDocument/2006/relationships/hyperlink" Target="https://dalil.kg/document/92903" TargetMode="External"/><Relationship Id="rIduzjx9sipjvfvztp0r3-xn" Type="http://schemas.openxmlformats.org/officeDocument/2006/relationships/hyperlink" Target="https://dalil.kg/document/716" TargetMode="External"/><Relationship Id="rIdamihnwa5j39g1esjpofam" Type="http://schemas.openxmlformats.org/officeDocument/2006/relationships/hyperlink" Target="https://dalil.kg/document/203478" TargetMode="External"/><Relationship Id="rIdudqcrg2fy9zww0gjj_yxn" Type="http://schemas.openxmlformats.org/officeDocument/2006/relationships/hyperlink" Target="https://dalil.kg/document/901" TargetMode="External"/><Relationship Id="rId11xkfxpcekdzs1r4fp4st" Type="http://schemas.openxmlformats.org/officeDocument/2006/relationships/hyperlink" Target="https://dalil.kg/document/203480" TargetMode="External"/><Relationship Id="rIdy-zgnyekwvllp7qk7hkyw" Type="http://schemas.openxmlformats.org/officeDocument/2006/relationships/hyperlink" Target="https://dalil.kg/document/6" TargetMode="External"/><Relationship Id="rId6cesz5d70a6pajhf7x4wm" Type="http://schemas.openxmlformats.org/officeDocument/2006/relationships/hyperlink" Target="https://dalil.kg/document/203504" TargetMode="External"/><Relationship Id="rIdli4zcumq2bgbd1sizx_ch" Type="http://schemas.openxmlformats.org/officeDocument/2006/relationships/hyperlink" Target="https://dalil.kg/document/203361" TargetMode="External"/><Relationship Id="rIdmtjr24nynmi5_zvc4ig_i" Type="http://schemas.openxmlformats.org/officeDocument/2006/relationships/hyperlink" Target="https://dalil.kg/document/202105" TargetMode="External"/><Relationship Id="rIdmjjo3zcg4wabihkifvqep" Type="http://schemas.openxmlformats.org/officeDocument/2006/relationships/hyperlink" Target="https://dalil.kg/document/92599" TargetMode="External"/><Relationship Id="rIdkrygdqofhxhkk9grt53z4" Type="http://schemas.openxmlformats.org/officeDocument/2006/relationships/hyperlink" Target="https://dalil.kg/document/1453" TargetMode="External"/><Relationship Id="rIdtrgk0-k6z-mtqid-ga98_" Type="http://schemas.openxmlformats.org/officeDocument/2006/relationships/hyperlink" Target="https://dalil.kg/document/202183" TargetMode="External"/><Relationship Id="rId8yehl33dxhesgh4orrjbn" Type="http://schemas.openxmlformats.org/officeDocument/2006/relationships/hyperlink" Target="https://dalil.kg/document/92242" TargetMode="External"/><Relationship Id="rIdx2vewtg8lye9s72x92fhr" Type="http://schemas.openxmlformats.org/officeDocument/2006/relationships/hyperlink" Target="https://dalil.kg/document/95343" TargetMode="External"/><Relationship Id="rIdpc48p5hdvfiht1syc9qob" Type="http://schemas.openxmlformats.org/officeDocument/2006/relationships/hyperlink" Target="https://dalil.kg/document/203278" TargetMode="External"/><Relationship Id="rIduiqf6rdctkpadzu61-uxv" Type="http://schemas.openxmlformats.org/officeDocument/2006/relationships/hyperlink" Target="https://dalil.kg/document/203301" TargetMode="External"/><Relationship Id="rIdkmfhi9buxe3vxy35zggef" Type="http://schemas.openxmlformats.org/officeDocument/2006/relationships/hyperlink" Target="https://dalil.kg/document/92533" TargetMode="External"/><Relationship Id="rIdwzq95mibc6sntnpmwq3ba" Type="http://schemas.openxmlformats.org/officeDocument/2006/relationships/hyperlink" Target="https://dalil.kg/document/92535" TargetMode="External"/><Relationship Id="rIdnyat6obcz9yoslxsf-vfi" Type="http://schemas.openxmlformats.org/officeDocument/2006/relationships/hyperlink" Target="https://dalil.kg/document/629" TargetMode="External"/><Relationship Id="rIdtcg5uviny5ah7pc4tizad" Type="http://schemas.openxmlformats.org/officeDocument/2006/relationships/hyperlink" Target="https://dalil.kg/document/95010" TargetMode="External"/><Relationship Id="rIdioatl1cuxywi3m9fzwavc" Type="http://schemas.openxmlformats.org/officeDocument/2006/relationships/hyperlink" Target="https://dalil.kg/document/95022" TargetMode="External"/><Relationship Id="rIdqzvqxb4wkkwfzisupvb9j" Type="http://schemas.openxmlformats.org/officeDocument/2006/relationships/hyperlink" Target="https://dalil.kg/document/223" TargetMode="External"/><Relationship Id="rIda1df7gtju1vglg6zfdfu8" Type="http://schemas.openxmlformats.org/officeDocument/2006/relationships/hyperlink" Target="https://dalil.kg/document/95083" TargetMode="External"/><Relationship Id="rIdytmqdgq7ppzgzt7uhmnwo" Type="http://schemas.openxmlformats.org/officeDocument/2006/relationships/hyperlink" Target="https://dalil.kg/document/95084" TargetMode="External"/><Relationship Id="rIdkowyfcnxcr4ktyho2szos" Type="http://schemas.openxmlformats.org/officeDocument/2006/relationships/hyperlink" Target="https://dalil.kg/document/95326" TargetMode="External"/><Relationship Id="rIdoy_zlc2vi3htuzsfs4j1d" Type="http://schemas.openxmlformats.org/officeDocument/2006/relationships/hyperlink" Target="https://dalil.kg/document/92749" TargetMode="External"/><Relationship Id="rId1igldsce3wpb4qalbkxq7" Type="http://schemas.openxmlformats.org/officeDocument/2006/relationships/hyperlink" Target="https://dalil.kg/document/95221" TargetMode="External"/><Relationship Id="rIdxodn9tj-ei54br0gjnlfj" Type="http://schemas.openxmlformats.org/officeDocument/2006/relationships/hyperlink" Target="https://dalil.kg/document/93388" TargetMode="External"/><Relationship Id="rIdjdx3e32wjee7blncg0zok" Type="http://schemas.openxmlformats.org/officeDocument/2006/relationships/hyperlink" Target="https://dalil.kg/document/95311" TargetMode="External"/><Relationship Id="rIdcyktvfqmi89kmfs83ktxn" Type="http://schemas.openxmlformats.org/officeDocument/2006/relationships/hyperlink" Target="https://dalil.kg/document/90402" TargetMode="External"/><Relationship Id="rIdkxgowfmg0idpl-ahfsxfg" Type="http://schemas.openxmlformats.org/officeDocument/2006/relationships/hyperlink" Target="https://dalil.kg/document/95106" TargetMode="External"/><Relationship Id="rIdz14dsbnypng4r9mvrjr_o" Type="http://schemas.openxmlformats.org/officeDocument/2006/relationships/hyperlink" Target="https://dalil.kg/document/95255" TargetMode="External"/><Relationship Id="rId560wqisp1axiktpnbgg7a" Type="http://schemas.openxmlformats.org/officeDocument/2006/relationships/hyperlink" Target="https://dalil.kg/document/92779" TargetMode="External"/><Relationship Id="rIdq4_dgzcfwwchv4kckczos" Type="http://schemas.openxmlformats.org/officeDocument/2006/relationships/hyperlink" Target="https://dalil.kg/document/92789" TargetMode="External"/><Relationship Id="rIdhjy2hechnvsruhzaqtmnq" Type="http://schemas.openxmlformats.org/officeDocument/2006/relationships/hyperlink" Target="https://dalil.kg/document/202307" TargetMode="External"/><Relationship Id="rIdual49nb79qrot8llwvbs-" Type="http://schemas.openxmlformats.org/officeDocument/2006/relationships/hyperlink" Target="https://dalil.kg/document/978" TargetMode="External"/><Relationship Id="rId_vgroz4k_soj7s803i-te" Type="http://schemas.openxmlformats.org/officeDocument/2006/relationships/hyperlink" Target="https://dalil.kg/document/92467" TargetMode="External"/><Relationship Id="rId8" Type="http://schemas.openxmlformats.org/officeDocument/2006/relationships/image" Target="media/8de64316e95979c063c17bcd5380dc052a2594e9.png"/><Relationship Id="rId8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hcsftomqltexgibfi53h" Type="http://schemas.openxmlformats.org/officeDocument/2006/relationships/hyperlink" Target="https://dalil.kg/document/92950" TargetMode="External"/><Relationship Id="rIddszoxrwuqjmthk-kkdcc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2026-09-23T18:45:46.775Z</dcterms:created>
  <dcterms:modified xsi:type="dcterms:W3CDTF">2026-09-23T18:45:46.775Z</dcterms:modified>
</cp:coreProperties>
</file>

<file path=docProps/custom.xml><?xml version="1.0" encoding="utf-8"?>
<Properties xmlns="http://schemas.openxmlformats.org/officeDocument/2006/custom-properties" xmlns:vt="http://schemas.openxmlformats.org/officeDocument/2006/docPropsVTypes"/>
</file>