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kuxkwepljrmbudzztibn">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 </w:t>
      </w:r>
    </w:p>
    <w:p>
      <w:pPr>
        <w:spacing w:after="120"/>
        <w:jc w:val="center"/>
      </w:pPr>
      <w:r>
        <w:rPr>
          <w:rFonts w:ascii="Arial" w:cs="Arial" w:eastAsia="Arial" w:hAnsi="Arial"/>
          <w:i/>
          <w:iCs/>
          <w:sz w:val="24"/>
          <w:szCs w:val="24"/>
        </w:rPr>
        <w:t xml:space="preserve">от 8 декабря 2025 года № 787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chabyzf6lrkaglsmzwlj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467</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нормативных показателях достаточности собственных средств, устанавливаемых для профессиональных участников рынка ценных бумаг</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9sk6nckzd712ejqz-gnzp">
        <w:r>
          <w:rPr>
            <w:rFonts w:ascii="Arial" w:cs="Arial" w:eastAsia="Arial" w:hAnsi="Arial"/>
            <w:i/>
            <w:iCs/>
            <w:color w:val="1D4ED8"/>
            <w:sz w:val="24"/>
            <w:szCs w:val="24"/>
            <w:u w:val="single"/>
          </w:rPr>
          <w:t xml:space="preserve">10 июня 2013 года № 334</w:t>
        </w:r>
      </w:hyperlink>
      <w:r>
        <w:rPr>
          <w:rFonts w:ascii="Arial" w:cs="Arial" w:eastAsia="Arial" w:hAnsi="Arial"/>
          <w:i/>
          <w:iCs/>
          <w:sz w:val="24"/>
          <w:szCs w:val="24"/>
        </w:rPr>
        <w:t xml:space="preserve">, </w:t>
      </w:r>
      <w:hyperlink w:history="1" r:id="rIdjrctb8xsgexesct55nvzn">
        <w:r>
          <w:rPr>
            <w:rFonts w:ascii="Arial" w:cs="Arial" w:eastAsia="Arial" w:hAnsi="Arial"/>
            <w:i/>
            <w:iCs/>
            <w:color w:val="1D4ED8"/>
            <w:sz w:val="24"/>
            <w:szCs w:val="24"/>
            <w:u w:val="single"/>
          </w:rPr>
          <w:t xml:space="preserve">22 августа 2014 года № 478</w:t>
        </w:r>
      </w:hyperlink>
      <w:r>
        <w:rPr>
          <w:rFonts w:ascii="Arial" w:cs="Arial" w:eastAsia="Arial" w:hAnsi="Arial"/>
          <w:i/>
          <w:iCs/>
          <w:sz w:val="24"/>
          <w:szCs w:val="24"/>
        </w:rPr>
        <w:t xml:space="preserve">, </w:t>
      </w:r>
      <w:hyperlink w:history="1" r:id="rIdf9ifldjxkph323lkarozl">
        <w:r>
          <w:rPr>
            <w:rFonts w:ascii="Arial" w:cs="Arial" w:eastAsia="Arial" w:hAnsi="Arial"/>
            <w:i/>
            <w:iCs/>
            <w:color w:val="1D4ED8"/>
            <w:sz w:val="24"/>
            <w:szCs w:val="24"/>
            <w:u w:val="single"/>
          </w:rPr>
          <w:t xml:space="preserve">26 августа 2014 года № 485</w:t>
        </w:r>
      </w:hyperlink>
      <w:r>
        <w:rPr>
          <w:rFonts w:ascii="Arial" w:cs="Arial" w:eastAsia="Arial" w:hAnsi="Arial"/>
          <w:i/>
          <w:iCs/>
          <w:sz w:val="24"/>
          <w:szCs w:val="24"/>
        </w:rPr>
        <w:t xml:space="preserve">, </w:t>
      </w:r>
      <w:r>
        <w:rPr>
          <w:rFonts w:ascii="Arial" w:cs="Arial" w:eastAsia="Arial" w:hAnsi="Arial"/>
          <w:sz w:val="24"/>
          <w:szCs w:val="24"/>
        </w:rPr>
        <w:t xml:space="preserve">Кабинета Министров КР от </w:t>
      </w:r>
      <w:hyperlink w:history="1" r:id="rIdxkxgnla2lbgkkkxkhabpe">
        <w:r>
          <w:rPr>
            <w:rFonts w:ascii="Arial" w:cs="Arial" w:eastAsia="Arial" w:hAnsi="Arial"/>
            <w:i/>
            <w:iCs/>
            <w:color w:val="1D4ED8"/>
            <w:sz w:val="24"/>
            <w:szCs w:val="24"/>
            <w:u w:val="single"/>
          </w:rPr>
          <w:t xml:space="preserve">13 января 2023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Нормативные показатели достаточности собственных средств</w:t>
      </w:r>
    </w:p>
    <w:p>
      <w:pPr>
        <w:spacing w:after="240" w:before="200"/>
        <w:jc w:val="center"/>
      </w:pPr>
      <w:r>
        <w:rPr>
          <w:rFonts w:ascii="Arial" w:cs="Arial" w:eastAsia="Arial" w:hAnsi="Arial"/>
          <w:b/>
          <w:bCs/>
          <w:sz w:val="32"/>
          <w:szCs w:val="32"/>
        </w:rPr>
        <w:t xml:space="preserve">1. Общие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разработано в соответствии с </w:t>
      </w:r>
      <w:hyperlink w:history="1" r:id="rIdqi_jg9q3gcydz0pb2mrn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и устанавливает обязательные к соблюдению профессиональными участниками рынка ценных бумаг нормативы достаточности собственных средств.</w:t>
      </w:r>
    </w:p>
    <w:p>
      <w:pPr>
        <w:spacing w:after="120"/>
        <w:ind w:firstLine="397"/>
        <w:jc w:val="both"/>
      </w:pPr>
      <w:r>
        <w:rPr>
          <w:rFonts w:ascii="Arial" w:cs="Arial" w:eastAsia="Arial" w:hAnsi="Arial"/>
          <w:sz w:val="24"/>
          <w:szCs w:val="24"/>
        </w:rPr>
        <w:t xml:space="preserve">2. Соблюдение нормативов достаточности собственных средств необходимо в целях:</w:t>
      </w:r>
    </w:p>
    <w:p>
      <w:pPr>
        <w:spacing w:after="120"/>
        <w:ind w:firstLine="397"/>
        <w:jc w:val="both"/>
      </w:pPr>
      <w:r>
        <w:rPr>
          <w:rFonts w:ascii="Arial" w:cs="Arial" w:eastAsia="Arial" w:hAnsi="Arial"/>
          <w:sz w:val="24"/>
          <w:szCs w:val="24"/>
        </w:rPr>
        <w:t xml:space="preserve">- обеспечения базы для прибыльного и устойчивого роста;</w:t>
      </w:r>
    </w:p>
    <w:p>
      <w:pPr>
        <w:spacing w:after="120"/>
        <w:ind w:firstLine="397"/>
        <w:jc w:val="both"/>
      </w:pPr>
      <w:r>
        <w:rPr>
          <w:rFonts w:ascii="Arial" w:cs="Arial" w:eastAsia="Arial" w:hAnsi="Arial"/>
          <w:sz w:val="24"/>
          <w:szCs w:val="24"/>
        </w:rPr>
        <w:t xml:space="preserve">- ограничения риска по операциям с ценными бумагами;</w:t>
      </w:r>
    </w:p>
    <w:p>
      <w:pPr>
        <w:spacing w:after="120"/>
        <w:ind w:firstLine="397"/>
        <w:jc w:val="both"/>
      </w:pPr>
      <w:r>
        <w:rPr>
          <w:rFonts w:ascii="Arial" w:cs="Arial" w:eastAsia="Arial" w:hAnsi="Arial"/>
          <w:sz w:val="24"/>
          <w:szCs w:val="24"/>
        </w:rPr>
        <w:t xml:space="preserve">- своевременного покрытия убытков и потенциальных потерь, связанных с деятельностью профессиональных участников;</w:t>
      </w:r>
    </w:p>
    <w:p>
      <w:pPr>
        <w:spacing w:after="120"/>
        <w:ind w:firstLine="397"/>
        <w:jc w:val="both"/>
      </w:pPr>
      <w:r>
        <w:rPr>
          <w:rFonts w:ascii="Arial" w:cs="Arial" w:eastAsia="Arial" w:hAnsi="Arial"/>
          <w:sz w:val="24"/>
          <w:szCs w:val="24"/>
        </w:rPr>
        <w:t xml:space="preserve">- повышения доверия к профессиональным участникам рынка ценных бумаг со стороны инвесторов.</w:t>
      </w:r>
    </w:p>
    <w:p>
      <w:pPr>
        <w:spacing w:after="120"/>
        <w:ind w:firstLine="397"/>
        <w:jc w:val="both"/>
      </w:pPr>
      <w:r>
        <w:rPr>
          <w:rFonts w:ascii="Arial" w:cs="Arial" w:eastAsia="Arial" w:hAnsi="Arial"/>
          <w:sz w:val="24"/>
          <w:szCs w:val="24"/>
        </w:rPr>
        <w:t xml:space="preserve">3. При оценке реальной достаточности собственных средств, кроме нормативных показателей, установленных настоящим Положением, уполномоченный орган по регулированию рынка ценных бумаг будет учитывать также другие показатели, к которым относятся:</w:t>
      </w:r>
    </w:p>
    <w:p>
      <w:pPr>
        <w:spacing w:after="120"/>
        <w:ind w:firstLine="397"/>
        <w:jc w:val="both"/>
      </w:pPr>
      <w:r>
        <w:rPr>
          <w:rFonts w:ascii="Arial" w:cs="Arial" w:eastAsia="Arial" w:hAnsi="Arial"/>
          <w:sz w:val="24"/>
          <w:szCs w:val="24"/>
        </w:rPr>
        <w:t xml:space="preserve">- качество управления;</w:t>
      </w:r>
    </w:p>
    <w:p>
      <w:pPr>
        <w:spacing w:after="120"/>
        <w:ind w:firstLine="397"/>
        <w:jc w:val="both"/>
      </w:pPr>
      <w:r>
        <w:rPr>
          <w:rFonts w:ascii="Arial" w:cs="Arial" w:eastAsia="Arial" w:hAnsi="Arial"/>
          <w:sz w:val="24"/>
          <w:szCs w:val="24"/>
        </w:rPr>
        <w:t xml:space="preserve">- соблюдение законодательства по ценным бумагам;</w:t>
      </w:r>
    </w:p>
    <w:p>
      <w:pPr>
        <w:spacing w:after="120"/>
        <w:ind w:firstLine="397"/>
        <w:jc w:val="both"/>
      </w:pPr>
      <w:r>
        <w:rPr>
          <w:rFonts w:ascii="Arial" w:cs="Arial" w:eastAsia="Arial" w:hAnsi="Arial"/>
          <w:sz w:val="24"/>
          <w:szCs w:val="24"/>
        </w:rPr>
        <w:t xml:space="preserve">- ликвидность;</w:t>
      </w:r>
    </w:p>
    <w:p>
      <w:pPr>
        <w:spacing w:after="120"/>
        <w:ind w:firstLine="397"/>
        <w:jc w:val="both"/>
      </w:pPr>
      <w:r>
        <w:rPr>
          <w:rFonts w:ascii="Arial" w:cs="Arial" w:eastAsia="Arial" w:hAnsi="Arial"/>
          <w:sz w:val="24"/>
          <w:szCs w:val="24"/>
        </w:rPr>
        <w:t xml:space="preserve">- общие экономические условия.</w:t>
      </w:r>
    </w:p>
    <w:p>
      <w:pPr>
        <w:spacing w:after="120"/>
        <w:ind w:firstLine="397"/>
        <w:jc w:val="both"/>
      </w:pPr>
      <w:r>
        <w:rPr>
          <w:rFonts w:ascii="Arial" w:cs="Arial" w:eastAsia="Arial" w:hAnsi="Arial"/>
          <w:sz w:val="24"/>
          <w:szCs w:val="24"/>
        </w:rPr>
        <w:t xml:space="preserve">4. Расчет нормативов достаточности собственных средств производится профессиональными участниками и ежеквартально представляется в уполномоченный государственный орган по рынку ценных бумаг на основании данных бухгалтерской отчетности, составленной по установленным нормам бухгалтерского учета.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Нормативные показатели достаточности собственных средств</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(Раздел в редакции постановления Правительства КР от </w:t>
      </w:r>
      <w:hyperlink w:history="1" r:id="rId4dkx8sfoldscnqdvywnos">
        <w:r>
          <w:rPr>
            <w:rFonts w:ascii="Arial" w:cs="Arial" w:eastAsia="Arial" w:hAnsi="Arial"/>
            <w:i/>
            <w:iCs/>
            <w:color w:val="1D4ED8"/>
            <w:sz w:val="24"/>
            <w:szCs w:val="24"/>
            <w:u w:val="single"/>
          </w:rPr>
          <w:t xml:space="preserve">10 июня 2013 года № 334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Для соответствующего вида профессиональной деятельности на рынке ценных бумаг, собственные средства профессионального участника рынка ценных бумаг должны быть не менее минимального размера уставного капитала, установленного пунктами 6 и 8 настоящего Положения.</w:t>
      </w:r>
    </w:p>
    <w:p>
      <w:pPr>
        <w:spacing w:after="120"/>
        <w:ind w:firstLine="397"/>
        <w:jc w:val="both"/>
      </w:pPr>
      <w:r>
        <w:rPr>
          <w:rFonts w:ascii="Arial" w:cs="Arial" w:eastAsia="Arial" w:hAnsi="Arial"/>
          <w:sz w:val="24"/>
          <w:szCs w:val="24"/>
        </w:rPr>
        <w:t xml:space="preserve">6. Минимальный размер уставного капитала профессионального участника рынка ценных бумаг должен быть не менее следующей величины:</w:t>
      </w:r>
    </w:p>
    <w:p>
      <w:pPr>
        <w:spacing w:after="120"/>
        <w:ind w:firstLine="397"/>
        <w:jc w:val="both"/>
      </w:pPr>
      <w:r>
        <w:rPr>
          <w:rFonts w:ascii="Arial" w:cs="Arial" w:eastAsia="Arial" w:hAnsi="Arial"/>
          <w:sz w:val="24"/>
          <w:szCs w:val="24"/>
        </w:rPr>
        <w:t xml:space="preserve">депозитарная деятельность - 200000 расчетных показателей,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деятельность по доверительному управлению инвестиционными активами - 50000 расчетных показателей;</w:t>
      </w:r>
    </w:p>
    <w:p>
      <w:pPr>
        <w:spacing w:after="120"/>
        <w:ind w:firstLine="397"/>
        <w:jc w:val="both"/>
      </w:pPr>
      <w:r>
        <w:rPr>
          <w:rFonts w:ascii="Arial" w:cs="Arial" w:eastAsia="Arial" w:hAnsi="Arial"/>
          <w:sz w:val="24"/>
          <w:szCs w:val="24"/>
        </w:rPr>
        <w:t xml:space="preserve">деятельность по доверительному управлению инвестиционными активами - 50000 расчетных показателей;</w:t>
      </w:r>
    </w:p>
    <w:p>
      <w:pPr>
        <w:spacing w:after="120"/>
        <w:ind w:firstLine="397"/>
        <w:jc w:val="both"/>
      </w:pPr>
      <w:r>
        <w:rPr>
          <w:rFonts w:ascii="Arial" w:cs="Arial" w:eastAsia="Arial" w:hAnsi="Arial"/>
          <w:sz w:val="24"/>
          <w:szCs w:val="24"/>
        </w:rPr>
        <w:t xml:space="preserve">дилерская деятельность - 15000 расчетных показателей;</w:t>
      </w:r>
    </w:p>
    <w:p>
      <w:pPr>
        <w:spacing w:after="120"/>
        <w:ind w:firstLine="397"/>
        <w:jc w:val="both"/>
      </w:pPr>
      <w:r>
        <w:rPr>
          <w:rFonts w:ascii="Arial" w:cs="Arial" w:eastAsia="Arial" w:hAnsi="Arial"/>
          <w:sz w:val="24"/>
          <w:szCs w:val="24"/>
        </w:rPr>
        <w:t xml:space="preserve">брокерская деятельность - 80000 расчетных показателей;</w:t>
      </w:r>
    </w:p>
    <w:p>
      <w:pPr>
        <w:spacing w:after="120"/>
        <w:ind w:firstLine="397"/>
        <w:jc w:val="both"/>
      </w:pPr>
      <w:r>
        <w:rPr>
          <w:rFonts w:ascii="Arial" w:cs="Arial" w:eastAsia="Arial" w:hAnsi="Arial"/>
          <w:sz w:val="24"/>
          <w:szCs w:val="24"/>
        </w:rPr>
        <w:t xml:space="preserve">деятельность по ведению реестра владельцев ценных бумаг - 20000 расчетных показателей;</w:t>
      </w:r>
    </w:p>
    <w:p>
      <w:pPr>
        <w:spacing w:after="120"/>
        <w:ind w:firstLine="397"/>
        <w:jc w:val="both"/>
      </w:pPr>
      <w:r>
        <w:rPr>
          <w:rFonts w:ascii="Arial" w:cs="Arial" w:eastAsia="Arial" w:hAnsi="Arial"/>
          <w:sz w:val="24"/>
          <w:szCs w:val="24"/>
        </w:rPr>
        <w:t xml:space="preserve">деятельность инвестиционного фонда - 10000 расчетных показателей.</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y5mq35w_gug2ds-x2wa3p">
        <w:r>
          <w:rPr>
            <w:rFonts w:ascii="Arial" w:cs="Arial" w:eastAsia="Arial" w:hAnsi="Arial"/>
            <w:i/>
            <w:iCs/>
            <w:color w:val="1D4ED8"/>
            <w:sz w:val="24"/>
            <w:szCs w:val="24"/>
            <w:u w:val="single"/>
          </w:rPr>
          <w:t xml:space="preserve">26 августа 2014 года № 485</w:t>
        </w:r>
      </w:hyperlink>
      <w:r>
        <w:rPr>
          <w:rFonts w:ascii="Arial" w:cs="Arial" w:eastAsia="Arial" w:hAnsi="Arial"/>
          <w:i/>
          <w:iCs/>
          <w:sz w:val="24"/>
          <w:szCs w:val="24"/>
        </w:rPr>
        <w:t xml:space="preserve">, </w:t>
      </w:r>
      <w:r>
        <w:rPr>
          <w:rFonts w:ascii="Arial" w:cs="Arial" w:eastAsia="Arial" w:hAnsi="Arial"/>
          <w:sz w:val="24"/>
          <w:szCs w:val="24"/>
        </w:rPr>
        <w:t xml:space="preserve">Кабинета Министров КР от </w:t>
      </w:r>
      <w:hyperlink w:history="1" r:id="rIddaprqcl-fr1du5pwmza-t">
        <w:r>
          <w:rPr>
            <w:rFonts w:ascii="Arial" w:cs="Arial" w:eastAsia="Arial" w:hAnsi="Arial"/>
            <w:i/>
            <w:iCs/>
            <w:color w:val="1D4ED8"/>
            <w:sz w:val="24"/>
            <w:szCs w:val="24"/>
            <w:u w:val="single"/>
          </w:rPr>
          <w:t xml:space="preserve">13 января 2023 года № 9)</w:t>
        </w:r>
      </w:hyperlink>
    </w:p>
    <w:p>
      <w:pPr>
        <w:spacing w:after="120"/>
        <w:ind w:firstLine="397"/>
        <w:jc w:val="both"/>
      </w:pPr>
      <w:r>
        <w:rPr>
          <w:rFonts w:ascii="Arial" w:cs="Arial" w:eastAsia="Arial" w:hAnsi="Arial"/>
          <w:sz w:val="24"/>
          <w:szCs w:val="24"/>
        </w:rPr>
        <w:t xml:space="preserve">7. Минимальный размер собственных средств управляющей компании накопительного пенсионного фонда составляет:</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Общая сумма активов, находящихся  │ Минимальный размер собственных│</w:t>
      </w:r>
    </w:p>
    <w:p>
      <w:pPr>
        <w:spacing w:after="120"/>
        <w:ind w:firstLine="397"/>
        <w:jc w:val="both"/>
      </w:pPr>
      <w:r>
        <w:rPr>
          <w:rFonts w:ascii="Arial" w:cs="Arial" w:eastAsia="Arial" w:hAnsi="Arial"/>
          <w:sz w:val="24"/>
          <w:szCs w:val="24"/>
        </w:rPr>
        <w:t xml:space="preserve">│      в доверительном управлении     │  средств управляющей компании │</w:t>
      </w:r>
    </w:p>
    <w:p>
      <w:pPr>
        <w:spacing w:after="120"/>
        <w:ind w:firstLine="397"/>
        <w:jc w:val="both"/>
      </w:pPr>
      <w:r>
        <w:rPr>
          <w:rFonts w:ascii="Arial" w:cs="Arial" w:eastAsia="Arial" w:hAnsi="Arial"/>
          <w:sz w:val="24"/>
          <w:szCs w:val="24"/>
        </w:rPr>
        <w:t xml:space="preserve">│        у управляющей компании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 100 млн. сомов включительно       │100000 расчетных показателей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│от 100 до 300 млн. сомов включительно│300000 расчетных показателей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│от 300 до 600 млн. сомов включительно│400000 расчетных показателей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│свыше 600 млн. сомов                 │500000 расчетных показателей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Общая сумма активов, находящаяся в доверительном управлении у управляющей компании, определяется как текущая рыночная стоимость активов, в которые инвестированы средства пенсионных накоплений, переданных ей в доверительное управление. Текущая рыночная стоимость активов определяется на основании рыночных котировок либо на основании заключений независимых оценщиков по сравнительному методу оценки активов на уровне цен (котировок) на рынке.</w:t>
      </w:r>
    </w:p>
    <w:p>
      <w:pPr>
        <w:spacing w:after="120"/>
        <w:ind w:firstLine="397"/>
        <w:jc w:val="both"/>
      </w:pPr>
      <w:r>
        <w:rPr>
          <w:rFonts w:ascii="Arial" w:cs="Arial" w:eastAsia="Arial" w:hAnsi="Arial"/>
          <w:sz w:val="24"/>
          <w:szCs w:val="24"/>
        </w:rPr>
        <w:t xml:space="preserve">Отчетной датой, по состоянию на которую определяется достаточность собственных средств управляющей компании относительно объема (стоимости) обслуживаемых ею активов, а также достаточность собственных средств управляющей компании относительно общей суммы находящихся у нее в доверительном управлении активов, является последний календарный день квартала.</w:t>
      </w:r>
    </w:p>
    <w:p>
      <w:pPr>
        <w:spacing w:after="120"/>
        <w:ind w:firstLine="397"/>
        <w:jc w:val="both"/>
      </w:pPr>
      <w:r>
        <w:rPr>
          <w:rFonts w:ascii="Arial" w:cs="Arial" w:eastAsia="Arial" w:hAnsi="Arial"/>
          <w:sz w:val="24"/>
          <w:szCs w:val="24"/>
        </w:rPr>
        <w:t xml:space="preserve">8. При осуществлении на условиях совмещения нескольких видов профессиональной деятельности по ценным бумагам минимальный размер уставного капитала профессионального участника рынка ценных бумаг определяется в соответствии с требованиями, предъявляемыми к тому из видов деятельности, в отношении которого установлен наибольший минимальный размер уставного капитала.</w:t>
      </w:r>
    </w:p>
    <w:p>
      <w:pPr>
        <w:spacing w:after="120"/>
        <w:ind w:firstLine="397"/>
        <w:jc w:val="both"/>
      </w:pPr>
      <w:r>
        <w:rPr>
          <w:rFonts w:ascii="Arial" w:cs="Arial" w:eastAsia="Arial" w:hAnsi="Arial"/>
          <w:sz w:val="24"/>
          <w:szCs w:val="24"/>
        </w:rPr>
        <w:t xml:space="preserve">9. Коэффициент текущей ликвидности установлен в целях обеспечения финансовой устойчивости, оценки наличия ликвидных активов у профессиональных участников рынка ценных бумаг.</w:t>
      </w:r>
    </w:p>
    <w:p>
      <w:pPr>
        <w:spacing w:after="120"/>
        <w:ind w:firstLine="397"/>
        <w:jc w:val="both"/>
      </w:pPr>
      <w:r>
        <w:rPr>
          <w:rFonts w:ascii="Arial" w:cs="Arial" w:eastAsia="Arial" w:hAnsi="Arial"/>
          <w:sz w:val="24"/>
          <w:szCs w:val="24"/>
        </w:rPr>
        <w:t xml:space="preserve">Коэффициент текущей ликвидности определяется отношением высоколиквидных активов к сумме текущих обязательств и выражается следующей формулой: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 ВА / От, где: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 - сумма высоколиквидных активов, в которую включаются:</w:t>
      </w:r>
    </w:p>
    <w:p>
      <w:pPr>
        <w:spacing w:after="120"/>
        <w:ind w:firstLine="397"/>
        <w:jc w:val="both"/>
      </w:pPr>
      <w:r>
        <w:rPr>
          <w:rFonts w:ascii="Arial" w:cs="Arial" w:eastAsia="Arial" w:hAnsi="Arial"/>
          <w:sz w:val="24"/>
          <w:szCs w:val="24"/>
        </w:rPr>
        <w:t xml:space="preserve">1) кассовая наличность;</w:t>
      </w:r>
    </w:p>
    <w:p>
      <w:pPr>
        <w:spacing w:after="120"/>
        <w:ind w:firstLine="397"/>
        <w:jc w:val="both"/>
      </w:pPr>
      <w:r>
        <w:rPr>
          <w:rFonts w:ascii="Arial" w:cs="Arial" w:eastAsia="Arial" w:hAnsi="Arial"/>
          <w:sz w:val="24"/>
          <w:szCs w:val="24"/>
        </w:rPr>
        <w:t xml:space="preserve">2) денежные средства на расчетных счетах в коммерческих банках;</w:t>
      </w:r>
    </w:p>
    <w:p>
      <w:pPr>
        <w:spacing w:after="120"/>
        <w:ind w:firstLine="397"/>
        <w:jc w:val="both"/>
      </w:pPr>
      <w:r>
        <w:rPr>
          <w:rFonts w:ascii="Arial" w:cs="Arial" w:eastAsia="Arial" w:hAnsi="Arial"/>
          <w:sz w:val="24"/>
          <w:szCs w:val="24"/>
        </w:rPr>
        <w:t xml:space="preserve">3) депозиты;</w:t>
      </w:r>
    </w:p>
    <w:p>
      <w:pPr>
        <w:spacing w:after="120"/>
        <w:ind w:firstLine="397"/>
        <w:jc w:val="both"/>
      </w:pPr>
      <w:r>
        <w:rPr>
          <w:rFonts w:ascii="Arial" w:cs="Arial" w:eastAsia="Arial" w:hAnsi="Arial"/>
          <w:sz w:val="24"/>
          <w:szCs w:val="24"/>
        </w:rPr>
        <w:t xml:space="preserve">4) государственные ценные бумаги;</w:t>
      </w:r>
    </w:p>
    <w:p>
      <w:pPr>
        <w:spacing w:after="120"/>
        <w:ind w:firstLine="397"/>
        <w:jc w:val="both"/>
      </w:pPr>
      <w:r>
        <w:rPr>
          <w:rFonts w:ascii="Arial" w:cs="Arial" w:eastAsia="Arial" w:hAnsi="Arial"/>
          <w:sz w:val="24"/>
          <w:szCs w:val="24"/>
        </w:rPr>
        <w:t xml:space="preserve">От - текущие обязательства, то есть краткосрочные обязательства, погашение которых предполагается профессиональным участником рынка ценных бумаг в рамках обычного операционного цикла предприятия либо подлежащие погашению в течение двенадцати месяцев после окончания отчетного периода.</w:t>
      </w:r>
    </w:p>
    <w:p>
      <w:pPr>
        <w:spacing w:after="120"/>
        <w:ind w:firstLine="397"/>
        <w:jc w:val="both"/>
      </w:pPr>
      <w:r>
        <w:rPr>
          <w:rFonts w:ascii="Arial" w:cs="Arial" w:eastAsia="Arial" w:hAnsi="Arial"/>
          <w:sz w:val="24"/>
          <w:szCs w:val="24"/>
        </w:rPr>
        <w:t xml:space="preserve">Коэффициент текущей ликвидности профессиональных участников рынка ценных бумаг не должен быть менее 0,5.</w:t>
      </w:r>
    </w:p>
    <w:p>
      <w:pPr>
        <w:spacing w:after="120"/>
        <w:ind w:firstLine="397"/>
        <w:jc w:val="both"/>
      </w:pPr>
      <w:r>
        <w:rPr>
          <w:rFonts w:ascii="Arial" w:cs="Arial" w:eastAsia="Arial" w:hAnsi="Arial"/>
          <w:sz w:val="24"/>
          <w:szCs w:val="24"/>
        </w:rPr>
        <w:t xml:space="preserve">10. Коэффициент достаточности собственных средств профессионального участника рынка ценных бумаг устанавливается в целях обеспечения финансовой устойчивости профессионального участника рынка ценных бумаг.</w:t>
      </w:r>
    </w:p>
    <w:p>
      <w:pPr>
        <w:spacing w:after="120"/>
        <w:ind w:firstLine="397"/>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рассчитывается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 = (ЛА - Ос) / МРУК, где: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ЛА - ликвидные активы;</w:t>
      </w:r>
    </w:p>
    <w:p>
      <w:pPr>
        <w:spacing w:after="120"/>
        <w:ind w:firstLine="397"/>
        <w:jc w:val="both"/>
      </w:pPr>
      <w:r>
        <w:rPr>
          <w:rFonts w:ascii="Arial" w:cs="Arial" w:eastAsia="Arial" w:hAnsi="Arial"/>
          <w:sz w:val="24"/>
          <w:szCs w:val="24"/>
        </w:rPr>
        <w:t xml:space="preserve">Ос - совокупные обязательства;</w:t>
      </w:r>
    </w:p>
    <w:p>
      <w:pPr>
        <w:spacing w:after="120"/>
        <w:ind w:firstLine="397"/>
        <w:jc w:val="both"/>
      </w:pPr>
      <w:r>
        <w:rPr>
          <w:rFonts w:ascii="Arial" w:cs="Arial" w:eastAsia="Arial" w:hAnsi="Arial"/>
          <w:sz w:val="24"/>
          <w:szCs w:val="24"/>
        </w:rPr>
        <w:t xml:space="preserve">МРУК - минимальный размер уставного капитала профессионального участника рынка ценных бумаг.</w:t>
      </w:r>
    </w:p>
    <w:p>
      <w:pPr>
        <w:spacing w:after="120"/>
        <w:ind w:firstLine="397"/>
        <w:jc w:val="both"/>
      </w:pPr>
      <w:r>
        <w:rPr>
          <w:rFonts w:ascii="Arial" w:cs="Arial" w:eastAsia="Arial" w:hAnsi="Arial"/>
          <w:sz w:val="24"/>
          <w:szCs w:val="24"/>
        </w:rPr>
        <w:t xml:space="preserve">Коэффициент достаточности собственных средств профессионального участника рынка ценных бумаг должен составлять не менее 1 (один).</w:t>
      </w:r>
    </w:p>
    <w:p>
      <w:pPr>
        <w:spacing w:after="120"/>
        <w:ind w:firstLine="397"/>
        <w:jc w:val="both"/>
      </w:pPr>
      <w:r>
        <w:rPr>
          <w:rFonts w:ascii="Arial" w:cs="Arial" w:eastAsia="Arial" w:hAnsi="Arial"/>
          <w:sz w:val="24"/>
          <w:szCs w:val="24"/>
        </w:rPr>
        <w:t xml:space="preserve">11. Для целей и в рамках настоящего Положения в качестве ликвидных активов (ЛА) профессионального участника рынка ценных бумаг признаются следующие активы:</w:t>
      </w:r>
    </w:p>
    <w:p>
      <w:pPr>
        <w:spacing w:after="120"/>
        <w:ind w:firstLine="397"/>
        <w:jc w:val="both"/>
      </w:pPr>
      <w:r>
        <w:rPr>
          <w:rFonts w:ascii="Arial" w:cs="Arial" w:eastAsia="Arial" w:hAnsi="Arial"/>
          <w:sz w:val="24"/>
          <w:szCs w:val="24"/>
        </w:rPr>
        <w:t xml:space="preserve">1) деньги, в том числе:</w:t>
      </w:r>
    </w:p>
    <w:p>
      <w:pPr>
        <w:spacing w:after="120"/>
        <w:ind w:firstLine="397"/>
        <w:jc w:val="both"/>
      </w:pPr>
      <w:r>
        <w:rPr>
          <w:rFonts w:ascii="Arial" w:cs="Arial" w:eastAsia="Arial" w:hAnsi="Arial"/>
          <w:sz w:val="24"/>
          <w:szCs w:val="24"/>
        </w:rPr>
        <w:t xml:space="preserve">деньги в кассе, не более десяти процентов от суммы активов по балансу профессионального участника рынка ценных бумаг;</w:t>
      </w:r>
    </w:p>
    <w:p>
      <w:pPr>
        <w:spacing w:after="120"/>
        <w:ind w:firstLine="397"/>
        <w:jc w:val="both"/>
      </w:pPr>
      <w:r>
        <w:rPr>
          <w:rFonts w:ascii="Arial" w:cs="Arial" w:eastAsia="Arial" w:hAnsi="Arial"/>
          <w:sz w:val="24"/>
          <w:szCs w:val="24"/>
        </w:rPr>
        <w:t xml:space="preserve">деньги на текущих счетах в коммерческих банках Кыргызской Республики;</w:t>
      </w:r>
    </w:p>
    <w:p>
      <w:pPr>
        <w:spacing w:after="120"/>
        <w:ind w:firstLine="397"/>
        <w:jc w:val="both"/>
      </w:pPr>
      <w:r>
        <w:rPr>
          <w:rFonts w:ascii="Arial" w:cs="Arial" w:eastAsia="Arial" w:hAnsi="Arial"/>
          <w:sz w:val="24"/>
          <w:szCs w:val="24"/>
        </w:rPr>
        <w:t xml:space="preserve">деньги на счетах в депозитарии ценных бумаг;</w:t>
      </w:r>
    </w:p>
    <w:p>
      <w:pPr>
        <w:spacing w:after="120"/>
        <w:ind w:firstLine="397"/>
        <w:jc w:val="both"/>
      </w:pPr>
      <w:r>
        <w:rPr>
          <w:rFonts w:ascii="Arial" w:cs="Arial" w:eastAsia="Arial" w:hAnsi="Arial"/>
          <w:sz w:val="24"/>
          <w:szCs w:val="24"/>
        </w:rPr>
        <w:t xml:space="preserve">деньги на текущих счетах в банках-нерезидентах, которые имеют долгосрочный и/или краткосрочный индивидуальный рейтинг не ниже категории "BBB-" по международной шкале агентства "Standard &amp; Poor's" или рейтинг аналогичного уровня рейтинговых агентств "Moody's Investors Service" либо "Fitch Ratings";</w:t>
      </w:r>
    </w:p>
    <w:p>
      <w:pPr>
        <w:spacing w:after="120"/>
        <w:ind w:firstLine="397"/>
        <w:jc w:val="both"/>
      </w:pPr>
      <w:r>
        <w:rPr>
          <w:rFonts w:ascii="Arial" w:cs="Arial" w:eastAsia="Arial" w:hAnsi="Arial"/>
          <w:sz w:val="24"/>
          <w:szCs w:val="24"/>
        </w:rPr>
        <w:t xml:space="preserve">2) государственные ценные бумаги Кыргызской Республики (включая эмитированные в соответствии с законодательством других государств), с учетом сумм основного долга и начисленного вознаграждения;</w:t>
      </w:r>
    </w:p>
    <w:p>
      <w:pPr>
        <w:spacing w:after="120"/>
        <w:ind w:firstLine="397"/>
        <w:jc w:val="both"/>
      </w:pPr>
      <w:r>
        <w:rPr>
          <w:rFonts w:ascii="Arial" w:cs="Arial" w:eastAsia="Arial" w:hAnsi="Arial"/>
          <w:sz w:val="24"/>
          <w:szCs w:val="24"/>
        </w:rPr>
        <w:t xml:space="preserve">3) ценные бумаги юридических лиц, включенные в официальный список фондовой биржи, по наивысшей или следующей за наивысшей категориям, цена (стоимость) которых определена на основании признанных рыночных котировок или заключений независимых оценщиков имущества;</w:t>
      </w:r>
    </w:p>
    <w:p>
      <w:pPr>
        <w:spacing w:after="120"/>
        <w:ind w:firstLine="397"/>
        <w:jc w:val="both"/>
      </w:pPr>
      <w:r>
        <w:rPr>
          <w:rFonts w:ascii="Arial" w:cs="Arial" w:eastAsia="Arial" w:hAnsi="Arial"/>
          <w:sz w:val="24"/>
          <w:szCs w:val="24"/>
        </w:rPr>
        <w:t xml:space="preserve">4) аффинированные драгоценные металлы и металлические депозиты;</w:t>
      </w:r>
    </w:p>
    <w:p>
      <w:pPr>
        <w:spacing w:after="120"/>
        <w:ind w:firstLine="397"/>
        <w:jc w:val="both"/>
      </w:pPr>
      <w:r>
        <w:rPr>
          <w:rFonts w:ascii="Arial" w:cs="Arial" w:eastAsia="Arial" w:hAnsi="Arial"/>
          <w:sz w:val="24"/>
          <w:szCs w:val="24"/>
        </w:rPr>
        <w:t xml:space="preserve">5) акции лицензированных организатора торгов с ценными бумагами и депозитария, цена (стоимость) которых определена на основании признанных рыночных котировок или заключений независимых оценщиков имущества;</w:t>
      </w:r>
    </w:p>
    <w:p>
      <w:pPr>
        <w:spacing w:after="120"/>
        <w:ind w:firstLine="397"/>
        <w:jc w:val="both"/>
      </w:pPr>
      <w:r>
        <w:rPr>
          <w:rFonts w:ascii="Arial" w:cs="Arial" w:eastAsia="Arial" w:hAnsi="Arial"/>
          <w:sz w:val="24"/>
          <w:szCs w:val="24"/>
        </w:rPr>
        <w:t xml:space="preserve">6) дебиторская задолженность;</w:t>
      </w:r>
    </w:p>
    <w:p>
      <w:pPr>
        <w:spacing w:after="120"/>
        <w:ind w:firstLine="397"/>
        <w:jc w:val="both"/>
      </w:pPr>
      <w:r>
        <w:rPr>
          <w:rFonts w:ascii="Arial" w:cs="Arial" w:eastAsia="Arial" w:hAnsi="Arial"/>
          <w:sz w:val="24"/>
          <w:szCs w:val="24"/>
        </w:rPr>
        <w:t xml:space="preserve">7) недвижимое имущество и транспортные средства, принятые организацией по правилам бухгалтерского учета как основные средства, в оценке по данным бухгалтерского учета (за вычетом начисленной амортизации), при условии наличия отчета оценщика на дату не ранее одного года до расчетной даты об оценке объекта по сравнительному методу оценки объекта на уровне цен (котировок) на рынке.</w:t>
      </w:r>
    </w:p>
    <w:p>
      <w:pPr>
        <w:spacing w:after="120"/>
        <w:ind w:firstLine="397"/>
        <w:jc w:val="both"/>
      </w:pPr>
      <w:r>
        <w:rPr>
          <w:rFonts w:ascii="Arial" w:cs="Arial" w:eastAsia="Arial" w:hAnsi="Arial"/>
          <w:sz w:val="24"/>
          <w:szCs w:val="24"/>
        </w:rPr>
        <w:t xml:space="preserve">Транспортные средства могут быть включены в расчет размера ликвидных активов, если они не переданы организацией в аренду или безвозмездное пользование.</w:t>
      </w:r>
    </w:p>
    <w:p>
      <w:pPr>
        <w:spacing w:after="120"/>
        <w:ind w:firstLine="397"/>
        <w:jc w:val="both"/>
      </w:pPr>
      <w:r>
        <w:rPr>
          <w:rFonts w:ascii="Arial" w:cs="Arial" w:eastAsia="Arial" w:hAnsi="Arial"/>
          <w:sz w:val="24"/>
          <w:szCs w:val="24"/>
        </w:rPr>
        <w:t xml:space="preserve">11-1. Для целей и в рамках настоящего </w:t>
      </w:r>
      <w:hyperlink w:history="1" r:id="rIdivf1llnc1hdbvcspff8w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в качестве ликвидных активов профессиональных участников рынка ценных бумаг, осуществляющих деятельность по организации торговли ценными бумагами и депозитарную деятельность, могут быть признаны нематериальные активы в форме программного обеспечения, используемого в их основной деятельности, с учетом начисленной амортизации.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bnvtylh7pvtysd9f6usy5">
        <w:r>
          <w:rPr>
            <w:rFonts w:ascii="Arial" w:cs="Arial" w:eastAsia="Arial" w:hAnsi="Arial"/>
            <w:i/>
            <w:iCs/>
            <w:color w:val="1D4ED8"/>
            <w:sz w:val="24"/>
            <w:szCs w:val="24"/>
            <w:u w:val="single"/>
          </w:rPr>
          <w:t xml:space="preserve">22 августа 2014 года № 478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В составе финансовых вложений, принимаемых к расчету ликвидных активов профессионального участника рынка ценных бумаг, не учитываются:</w:t>
      </w:r>
    </w:p>
    <w:p>
      <w:pPr>
        <w:spacing w:after="120"/>
        <w:ind w:firstLine="397"/>
        <w:jc w:val="both"/>
      </w:pPr>
      <w:r>
        <w:rPr>
          <w:rFonts w:ascii="Arial" w:cs="Arial" w:eastAsia="Arial" w:hAnsi="Arial"/>
          <w:sz w:val="24"/>
          <w:szCs w:val="24"/>
        </w:rPr>
        <w:t xml:space="preserve">1) финансовые вложения в организации, которые по состоянию на расчетную дату ликвидированы или признаны несостоятельными (банкротами), либо в отношении которых введены процедуры банкротства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акции (доли) собственного выпуска, выкупленные профессиональным участником рынка ценных бумаг;</w:t>
      </w:r>
    </w:p>
    <w:p>
      <w:pPr>
        <w:spacing w:after="120"/>
        <w:ind w:firstLine="397"/>
        <w:jc w:val="both"/>
      </w:pPr>
      <w:r>
        <w:rPr>
          <w:rFonts w:ascii="Arial" w:cs="Arial" w:eastAsia="Arial" w:hAnsi="Arial"/>
          <w:sz w:val="24"/>
          <w:szCs w:val="24"/>
        </w:rPr>
        <w:t xml:space="preserve">3) акции (доли), выпущенные аффилированными лицами профессионального участника рынка ценных бумаг.</w:t>
      </w:r>
    </w:p>
    <w:p>
      <w:pPr>
        <w:spacing w:after="120"/>
        <w:ind w:firstLine="397"/>
        <w:jc w:val="both"/>
      </w:pPr>
      <w:r>
        <w:rPr>
          <w:rFonts w:ascii="Arial" w:cs="Arial" w:eastAsia="Arial" w:hAnsi="Arial"/>
          <w:sz w:val="24"/>
          <w:szCs w:val="24"/>
        </w:rPr>
        <w:t xml:space="preserve">13. В составе дебиторской задолженности, принимаемой к расчету ликвидных активов профессионального участника рынка ценных бумаг, не учитываются:</w:t>
      </w:r>
    </w:p>
    <w:p>
      <w:pPr>
        <w:spacing w:after="120"/>
        <w:ind w:firstLine="397"/>
        <w:jc w:val="both"/>
      </w:pPr>
      <w:r>
        <w:rPr>
          <w:rFonts w:ascii="Arial" w:cs="Arial" w:eastAsia="Arial" w:hAnsi="Arial"/>
          <w:sz w:val="24"/>
          <w:szCs w:val="24"/>
        </w:rPr>
        <w:t xml:space="preserve">1) задолженность лиц, ликвидированных или признанных несостоятельными (банкротами), либо в отношении которых введены процедуры банкротства в порядке, установленном законодательством Кыргызской Республики, по состоянию на расчетную дату;</w:t>
      </w:r>
    </w:p>
    <w:p>
      <w:pPr>
        <w:spacing w:after="120"/>
        <w:ind w:firstLine="397"/>
        <w:jc w:val="both"/>
      </w:pPr>
      <w:r>
        <w:rPr>
          <w:rFonts w:ascii="Arial" w:cs="Arial" w:eastAsia="Arial" w:hAnsi="Arial"/>
          <w:sz w:val="24"/>
          <w:szCs w:val="24"/>
        </w:rPr>
        <w:t xml:space="preserve">2) задолженность лиц, безвозмездно передавших профессиональному участнику рынка ценных бумаг имущество, в сумме, не превышающей стоимости безвозмездно переданного имущества, если с даты такой передачи прошло менее одного года, а также задолженность учредителей (акционеров, членов, участников) по вкладам в уставный (складочный) капитал или по вкладам в имущество организации;</w:t>
      </w:r>
    </w:p>
    <w:p>
      <w:pPr>
        <w:spacing w:after="120"/>
        <w:ind w:firstLine="397"/>
        <w:jc w:val="both"/>
      </w:pPr>
      <w:r>
        <w:rPr>
          <w:rFonts w:ascii="Arial" w:cs="Arial" w:eastAsia="Arial" w:hAnsi="Arial"/>
          <w:sz w:val="24"/>
          <w:szCs w:val="24"/>
        </w:rPr>
        <w:t xml:space="preserve">3) просроченная или пролонгированная задолженность;</w:t>
      </w:r>
    </w:p>
    <w:p>
      <w:pPr>
        <w:spacing w:after="120"/>
        <w:ind w:firstLine="397"/>
        <w:jc w:val="both"/>
      </w:pPr>
      <w:r>
        <w:rPr>
          <w:rFonts w:ascii="Arial" w:cs="Arial" w:eastAsia="Arial" w:hAnsi="Arial"/>
          <w:sz w:val="24"/>
          <w:szCs w:val="24"/>
        </w:rPr>
        <w:t xml:space="preserve">4) дебиторская задолженность, если срок исполнения обязательств не определен или определен моментом востребования;</w:t>
      </w:r>
    </w:p>
    <w:p>
      <w:pPr>
        <w:spacing w:after="120"/>
        <w:ind w:firstLine="397"/>
        <w:jc w:val="both"/>
      </w:pPr>
      <w:r>
        <w:rPr>
          <w:rFonts w:ascii="Arial" w:cs="Arial" w:eastAsia="Arial" w:hAnsi="Arial"/>
          <w:sz w:val="24"/>
          <w:szCs w:val="24"/>
        </w:rPr>
        <w:t xml:space="preserve">5) задолженность акционеров, участников, аффилированных лиц и сотрудников профессионального участника рынка ценных бумаг;</w:t>
      </w:r>
    </w:p>
    <w:p>
      <w:pPr>
        <w:spacing w:after="120"/>
        <w:ind w:firstLine="397"/>
        <w:jc w:val="both"/>
      </w:pPr>
      <w:r>
        <w:rPr>
          <w:rFonts w:ascii="Arial" w:cs="Arial" w:eastAsia="Arial" w:hAnsi="Arial"/>
          <w:sz w:val="24"/>
          <w:szCs w:val="24"/>
        </w:rPr>
        <w:t xml:space="preserve">6) дебиторская задолженность, возникшая в результате соглашения об отступном или новации.</w:t>
      </w:r>
    </w:p>
    <w:p>
      <w:pPr>
        <w:spacing w:after="120"/>
        <w:ind w:firstLine="397"/>
        <w:jc w:val="both"/>
      </w:pPr>
      <w:r>
        <w:rPr>
          <w:rFonts w:ascii="Arial" w:cs="Arial" w:eastAsia="Arial" w:hAnsi="Arial"/>
          <w:sz w:val="24"/>
          <w:szCs w:val="24"/>
        </w:rPr>
        <w:t xml:space="preserve">14. Профессиональные участники рынка ценных бумаг должны поддерживать размер совокупных обязательств на уровне, не превышающем пятикратного размера собственных средств.</w:t>
      </w:r>
    </w:p>
    <w:p>
      <w:pPr>
        <w:spacing w:after="120"/>
        <w:ind w:firstLine="397"/>
        <w:jc w:val="both"/>
      </w:pPr>
      <w:r>
        <w:rPr>
          <w:rFonts w:ascii="Arial" w:cs="Arial" w:eastAsia="Arial" w:hAnsi="Arial"/>
          <w:sz w:val="24"/>
          <w:szCs w:val="24"/>
        </w:rPr>
        <w:t xml:space="preserve">В совокупные обязательства входят:</w:t>
      </w:r>
    </w:p>
    <w:p>
      <w:pPr>
        <w:spacing w:after="120"/>
        <w:ind w:firstLine="397"/>
        <w:jc w:val="both"/>
      </w:pPr>
      <w:r>
        <w:rPr>
          <w:rFonts w:ascii="Arial" w:cs="Arial" w:eastAsia="Arial" w:hAnsi="Arial"/>
          <w:sz w:val="24"/>
          <w:szCs w:val="24"/>
        </w:rPr>
        <w:t xml:space="preserve">- кредиты банков;</w:t>
      </w:r>
    </w:p>
    <w:p>
      <w:pPr>
        <w:spacing w:after="120"/>
        <w:ind w:firstLine="397"/>
        <w:jc w:val="both"/>
      </w:pPr>
      <w:r>
        <w:rPr>
          <w:rFonts w:ascii="Arial" w:cs="Arial" w:eastAsia="Arial" w:hAnsi="Arial"/>
          <w:sz w:val="24"/>
          <w:szCs w:val="24"/>
        </w:rPr>
        <w:t xml:space="preserve">- привлеченные займы;</w:t>
      </w:r>
    </w:p>
    <w:p>
      <w:pPr>
        <w:spacing w:after="120"/>
        <w:ind w:firstLine="397"/>
        <w:jc w:val="both"/>
      </w:pPr>
      <w:r>
        <w:rPr>
          <w:rFonts w:ascii="Arial" w:cs="Arial" w:eastAsia="Arial" w:hAnsi="Arial"/>
          <w:sz w:val="24"/>
          <w:szCs w:val="24"/>
        </w:rPr>
        <w:t xml:space="preserve">- расчеты с бюджетом;</w:t>
      </w:r>
    </w:p>
    <w:p>
      <w:pPr>
        <w:spacing w:after="120"/>
        <w:ind w:firstLine="397"/>
        <w:jc w:val="both"/>
      </w:pPr>
      <w:r>
        <w:rPr>
          <w:rFonts w:ascii="Arial" w:cs="Arial" w:eastAsia="Arial" w:hAnsi="Arial"/>
          <w:sz w:val="24"/>
          <w:szCs w:val="24"/>
        </w:rPr>
        <w:t xml:space="preserve">- расчеты по социальному страхованию;</w:t>
      </w:r>
    </w:p>
    <w:p>
      <w:pPr>
        <w:spacing w:after="120"/>
        <w:ind w:firstLine="397"/>
        <w:jc w:val="both"/>
      </w:pPr>
      <w:r>
        <w:rPr>
          <w:rFonts w:ascii="Arial" w:cs="Arial" w:eastAsia="Arial" w:hAnsi="Arial"/>
          <w:sz w:val="24"/>
          <w:szCs w:val="24"/>
        </w:rPr>
        <w:t xml:space="preserve">- расчеты по оплате труда;</w:t>
      </w:r>
    </w:p>
    <w:p>
      <w:pPr>
        <w:spacing w:after="120"/>
        <w:ind w:firstLine="397"/>
        <w:jc w:val="both"/>
      </w:pPr>
      <w:r>
        <w:rPr>
          <w:rFonts w:ascii="Arial" w:cs="Arial" w:eastAsia="Arial" w:hAnsi="Arial"/>
          <w:sz w:val="24"/>
          <w:szCs w:val="24"/>
        </w:rPr>
        <w:t xml:space="preserve">- авансы, полученные от покупателей и заказчиков;</w:t>
      </w:r>
    </w:p>
    <w:p>
      <w:pPr>
        <w:spacing w:after="120"/>
        <w:ind w:firstLine="397"/>
        <w:jc w:val="both"/>
      </w:pPr>
      <w:r>
        <w:rPr>
          <w:rFonts w:ascii="Arial" w:cs="Arial" w:eastAsia="Arial" w:hAnsi="Arial"/>
          <w:sz w:val="24"/>
          <w:szCs w:val="24"/>
        </w:rPr>
        <w:t xml:space="preserve">- расчеты по дивидендам;</w:t>
      </w:r>
    </w:p>
    <w:p>
      <w:pPr>
        <w:spacing w:after="120"/>
        <w:ind w:firstLine="397"/>
        <w:jc w:val="both"/>
      </w:pPr>
      <w:r>
        <w:rPr>
          <w:rFonts w:ascii="Arial" w:cs="Arial" w:eastAsia="Arial" w:hAnsi="Arial"/>
          <w:sz w:val="24"/>
          <w:szCs w:val="24"/>
        </w:rPr>
        <w:t xml:space="preserve">- прочая кредиторская задолженность.</w:t>
      </w:r>
    </w:p>
    <w:p>
      <w:pPr>
        <w:spacing w:after="120"/>
        <w:ind w:firstLine="397"/>
        <w:jc w:val="both"/>
      </w:pPr>
      <w:r>
        <w:rPr>
          <w:rFonts w:ascii="Arial" w:cs="Arial" w:eastAsia="Arial" w:hAnsi="Arial"/>
          <w:sz w:val="24"/>
          <w:szCs w:val="24"/>
        </w:rPr>
        <w:t xml:space="preserve">15. Профессиональные участники рынка ценных бумаг должны сформировать резервный фонд, величина которого должна составлять не менее 5 процентов от совокупной дебиторской задолженности.</w:t>
      </w:r>
    </w:p>
    <w:p>
      <w:pPr>
        <w:spacing w:after="120"/>
        <w:ind w:firstLine="397"/>
        <w:jc w:val="both"/>
      </w:pPr>
      <w:r>
        <w:rPr>
          <w:rFonts w:ascii="Arial" w:cs="Arial" w:eastAsia="Arial" w:hAnsi="Arial"/>
          <w:sz w:val="24"/>
          <w:szCs w:val="24"/>
        </w:rPr>
        <w:t xml:space="preserve">16. Требования пунктов 14-15 настоящего Положения не распространяются в отношении профессиональных участников рынка ценных бумаг, являющихся коммерческими банками.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kuxkwepljrmbudzztibn" Type="http://schemas.openxmlformats.org/officeDocument/2006/relationships/hyperlink" Target="http://kodeks.duckdns.org/document/230036277" TargetMode="External"/><Relationship Id="rIdchabyzf6lrkaglsmzwlj7" Type="http://schemas.openxmlformats.org/officeDocument/2006/relationships/hyperlink" Target="http://kodeks.duckdns.org/document/92770" TargetMode="External"/><Relationship Id="rId9sk6nckzd712ejqz-gnzp" Type="http://schemas.openxmlformats.org/officeDocument/2006/relationships/hyperlink" Target="http://kodeks.duckdns.org/document/94476" TargetMode="External"/><Relationship Id="rIdjrctb8xsgexesct55nvzn" Type="http://schemas.openxmlformats.org/officeDocument/2006/relationships/hyperlink" Target="http://kodeks.duckdns.org/document/96773" TargetMode="External"/><Relationship Id="rIdf9ifldjxkph323lkarozl" Type="http://schemas.openxmlformats.org/officeDocument/2006/relationships/hyperlink" Target="http://kodeks.duckdns.org/document/96941" TargetMode="External"/><Relationship Id="rIdxkxgnla2lbgkkkxkhabpe" Type="http://schemas.openxmlformats.org/officeDocument/2006/relationships/hyperlink" Target="http://kodeks.duckdns.org/document/159830" TargetMode="External"/><Relationship Id="rIdqi_jg9q3gcydz0pb2mrnl" Type="http://schemas.openxmlformats.org/officeDocument/2006/relationships/hyperlink" Target="http://kodeks.duckdns.org/document/202677" TargetMode="External"/><Relationship Id="rId4dkx8sfoldscnqdvywnos" Type="http://schemas.openxmlformats.org/officeDocument/2006/relationships/hyperlink" Target="http://kodeks.duckdns.org/document/94476" TargetMode="External"/><Relationship Id="rIdy5mq35w_gug2ds-x2wa3p" Type="http://schemas.openxmlformats.org/officeDocument/2006/relationships/hyperlink" Target="http://kodeks.duckdns.org/document/96941" TargetMode="External"/><Relationship Id="rIddaprqcl-fr1du5pwmza-t" Type="http://schemas.openxmlformats.org/officeDocument/2006/relationships/hyperlink" Target="http://kodeks.duckdns.org/document/159830" TargetMode="External"/><Relationship Id="rIdivf1llnc1hdbvcspff8wi" Type="http://schemas.openxmlformats.org/officeDocument/2006/relationships/hyperlink" Target="http://kodeks.duckdns.org/document/93100" TargetMode="External"/><Relationship Id="rIdbnvtylh7pvtysd9f6usy5" Type="http://schemas.openxmlformats.org/officeDocument/2006/relationships/hyperlink" Target="http://kodeks.duckdns.org/document/96773"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2026-09-23T07:05:55.732Z</dcterms:created>
  <dcterms:modified xsi:type="dcterms:W3CDTF">2026-09-23T07:05:55.732Z</dcterms:modified>
</cp:coreProperties>
</file>

<file path=docProps/custom.xml><?xml version="1.0" encoding="utf-8"?>
<Properties xmlns="http://schemas.openxmlformats.org/officeDocument/2006/custom-properties" xmlns:vt="http://schemas.openxmlformats.org/officeDocument/2006/docPropsVTypes"/>
</file>