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w:t>
      </w:r>
    </w:p>
    <w:p>
      <w:pPr>
        <w:spacing w:after="120"/>
        <w:jc w:val="both"/>
      </w:pPr>
      <w:r>
        <w:rPr>
          <w:rFonts w:ascii="Arial" w:cs="Arial" w:eastAsia="Arial" w:hAnsi="Arial"/>
          <w:sz w:val="24"/>
          <w:szCs w:val="24"/>
        </w:rPr>
        <w:t xml:space="preserve">в соответствии с </w:t>
      </w:r>
      <w:hyperlink w:history="1" r:id="rIdp19aljvijvxwxcosx6gg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both"/>
      </w:pPr>
      <w:r>
        <w:rPr>
          <w:rFonts w:ascii="Arial" w:cs="Arial" w:eastAsia="Arial" w:hAnsi="Arial"/>
          <w:sz w:val="24"/>
          <w:szCs w:val="24"/>
        </w:rPr>
        <w:t xml:space="preserve">от 1 февраля 2014 года № 62</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left"/>
      </w:pPr>
      <w:r>
        <w:rPr>
          <w:rFonts w:ascii="Arial" w:cs="Arial" w:eastAsia="Arial" w:hAnsi="Arial"/>
          <w:sz w:val="24"/>
          <w:szCs w:val="24"/>
        </w:rPr>
        <w:t xml:space="preserve">от 25 июня 2012 года № 438  </w:t>
      </w:r>
    </w:p>
    <w:p>
      <w:pPr>
        <w:spacing w:after="480" w:before="200"/>
        <w:jc w:val="center"/>
      </w:pPr>
      <w:r>
        <w:rPr>
          <w:rFonts w:ascii="Arial" w:cs="Arial" w:eastAsia="Arial" w:hAnsi="Arial"/>
          <w:b/>
          <w:bCs/>
          <w:sz w:val="28"/>
          <w:szCs w:val="28"/>
        </w:rPr>
        <w:t xml:space="preserve">Об итогах социально-экономического развития КР за январь - март 2012 года</w:t>
      </w:r>
    </w:p>
    <w:p>
      <w:pPr>
        <w:spacing w:after="120"/>
        <w:jc w:val="both"/>
      </w:pPr>
      <w:r>
        <w:rPr>
          <w:rFonts w:ascii="Arial" w:cs="Arial" w:eastAsia="Arial" w:hAnsi="Arial"/>
          <w:sz w:val="24"/>
          <w:szCs w:val="24"/>
        </w:rPr>
        <w:t xml:space="preserve">В целях создания базовых условий для устойчивого экономического развития страны в среднесрочной перспективе и определения перспективных направлений деятельности органов государственной власти по реализации задач, поставленных на 2012 год,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w:t>
      </w:r>
      <w:hyperlink w:history="1" r:id="rIdun39kmsnaiopuyzdntfi7">
        <w:r>
          <w:rPr>
            <w:rFonts w:ascii="Arial" w:cs="Arial" w:eastAsia="Arial" w:hAnsi="Arial"/>
            <w:color w:val="1D4ED8"/>
            <w:sz w:val="24"/>
            <w:szCs w:val="24"/>
            <w:u w:val="single"/>
          </w:rPr>
          <w:t xml:space="preserve">информацию</w:t>
        </w:r>
      </w:hyperlink>
      <w:r>
        <w:rPr>
          <w:rFonts w:ascii="Arial" w:cs="Arial" w:eastAsia="Arial" w:hAnsi="Arial"/>
          <w:sz w:val="24"/>
          <w:szCs w:val="24"/>
        </w:rPr>
        <w:t xml:space="preserve"> об итогах социально-экономического развития Кыргызской Республики за январь - март 2012 года (прилагается).</w:t>
      </w:r>
    </w:p>
    <w:p>
      <w:pPr>
        <w:spacing w:after="120"/>
        <w:jc w:val="both"/>
      </w:pPr>
      <w:r>
        <w:rPr>
          <w:rFonts w:ascii="Arial" w:cs="Arial" w:eastAsia="Arial" w:hAnsi="Arial"/>
          <w:sz w:val="24"/>
          <w:szCs w:val="24"/>
        </w:rPr>
        <w:t xml:space="preserve">2. Министерству энергетики и промышленности Кыргызской Республики, Министерству сельского хозяйства и мелиорации Кыргызской Республики, Министерству транспорта и коммуникаций Кыргызской Республики, Министерству культуры и туризма Кыргызской Республики, Государственному агентству по геологии и минеральным ресурсам при Правительстве Кыргызской Республики, Государственному агентству по строительству и региональному развитию при Правительстве Кыргызской Республики, Государственному агентству связи при Правительстве Кыргызской Республики, Фонду по управлению государственным имуществом при Правительстве Кыргызской Республики, местным государственным администрациям и мэриям городов Бишкек и Ош:</w:t>
      </w:r>
    </w:p>
    <w:p>
      <w:pPr>
        <w:spacing w:after="120"/>
        <w:jc w:val="both"/>
      </w:pPr>
      <w:r>
        <w:rPr>
          <w:rFonts w:ascii="Arial" w:cs="Arial" w:eastAsia="Arial" w:hAnsi="Arial"/>
          <w:sz w:val="24"/>
          <w:szCs w:val="24"/>
        </w:rPr>
        <w:t xml:space="preserve">- принять безотлагательные меры по восполнению снижения производства по итогам I квартала 2012 года, изыскать дополнительные резервы отраслей для экономического роста путем принятия мер по введению в эксплуатацию месторождений, запуска имеющихся простаивающих и не полностью загруженных предприятий, своевременному проведению полевых работ в сельском хозяйстве, наращиванию объемов строительства и сферы услуг;</w:t>
      </w:r>
    </w:p>
    <w:p>
      <w:pPr>
        <w:spacing w:after="120"/>
        <w:jc w:val="both"/>
      </w:pPr>
      <w:r>
        <w:rPr>
          <w:rFonts w:ascii="Arial" w:cs="Arial" w:eastAsia="Arial" w:hAnsi="Arial"/>
          <w:sz w:val="24"/>
          <w:szCs w:val="24"/>
        </w:rPr>
        <w:t xml:space="preserve">- представить в Министерство экономики и антимонопольной политики Кыргызской Республики в недельный срок оперативный план компенсационных мер в связи со снижением экономического роста, с четким указанием сроков и расчетных данных (ожидаемых объемов за счет мер) для мониторинга.</w:t>
      </w:r>
    </w:p>
    <w:p>
      <w:pPr>
        <w:spacing w:after="120"/>
        <w:jc w:val="both"/>
      </w:pPr>
      <w:r>
        <w:rPr>
          <w:rFonts w:ascii="Arial" w:cs="Arial" w:eastAsia="Arial" w:hAnsi="Arial"/>
          <w:sz w:val="24"/>
          <w:szCs w:val="24"/>
        </w:rPr>
        <w:t xml:space="preserve">3. Министерству финансов Кыргызской Республики,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 Социальному фонду Кыргызской Республики принять меры по исполнению доходной части государственного бюджета для полного и своевременного финансирования социальных гарантий государства.</w:t>
      </w:r>
    </w:p>
    <w:p>
      <w:pPr>
        <w:spacing w:after="120"/>
        <w:jc w:val="both"/>
      </w:pPr>
      <w:r>
        <w:rPr>
          <w:rFonts w:ascii="Arial" w:cs="Arial" w:eastAsia="Arial" w:hAnsi="Arial"/>
          <w:sz w:val="24"/>
          <w:szCs w:val="24"/>
        </w:rPr>
        <w:t xml:space="preserve">4. Министерству экономики и антимонопольной политики Кыргызской Республики, Министерству финансов Кыргызской Республики совместно с Национальным банком Кыргызской Республики проводить согласованную, единую денежно-кредитную и бюджетно-налоговую политику, направленную на снижение уровня инфляции.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w:t>
      </w:r>
    </w:p>
    <w:p>
      <w:pPr>
        <w:spacing w:after="120"/>
        <w:jc w:val="both"/>
      </w:pPr>
      <w:r>
        <w:rPr>
          <w:rFonts w:ascii="Arial" w:cs="Arial" w:eastAsia="Arial" w:hAnsi="Arial"/>
          <w:sz w:val="24"/>
          <w:szCs w:val="24"/>
        </w:rPr>
        <w:t xml:space="preserve">об итогах социально-экономического развития</w:t>
      </w:r>
    </w:p>
    <w:p>
      <w:pPr>
        <w:spacing w:after="120"/>
        <w:jc w:val="both"/>
      </w:pPr>
      <w:r>
        <w:rPr>
          <w:rFonts w:ascii="Arial" w:cs="Arial" w:eastAsia="Arial" w:hAnsi="Arial"/>
          <w:sz w:val="24"/>
          <w:szCs w:val="24"/>
        </w:rPr>
        <w:t xml:space="preserve">Кыргызской Республики за январь-март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макроэкономические параметры</w:t>
      </w:r>
    </w:p>
    <w:p>
      <w:pPr>
        <w:spacing w:after="120"/>
        <w:jc w:val="both"/>
      </w:pPr>
      <w:r>
        <w:rPr>
          <w:rFonts w:ascii="Arial" w:cs="Arial" w:eastAsia="Arial" w:hAnsi="Arial"/>
          <w:sz w:val="24"/>
          <w:szCs w:val="24"/>
        </w:rPr>
        <w:t xml:space="preserve">1.1. Объем валового внутреннего продукта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Итоги социально-экономического развития Кыргызской Республики за I квартал 2012 года показали уязвимость экономики страны от деятельности одного крупного предприятия, высокая зависимость от которого порождает риск неисполнения доходной части государственного бюджета при снижении объемов его производства, которая в свою очередь оказывает негативное влияние на полное и своевременное финансирование социальных гарантий государства.</w:t>
      </w:r>
    </w:p>
    <w:p>
      <w:pPr>
        <w:spacing w:after="120"/>
        <w:jc w:val="both"/>
      </w:pPr>
      <w:r>
        <w:rPr>
          <w:rFonts w:ascii="Arial" w:cs="Arial" w:eastAsia="Arial" w:hAnsi="Arial"/>
          <w:sz w:val="24"/>
          <w:szCs w:val="24"/>
        </w:rPr>
        <w:t xml:space="preserve">В 1 квартале 2012 года экономический рост замедлился за счет резкого падения объемов производства на предприятиях месторождения "Кумтор", против прогнозируемых значений роста, где добыча значительно снизилась, составив 45,4% по сравнению с соответствующим периодом 2011 года. По итогам за январь-март 2012 года объем валового внутреннего продукта (ВВП), по предварительной оценке НСК, сложился в сумме 50,8 млрд. сомов, где спад объема ВВП составил 6,8% (93,2%), против реального роста на 0,6% в январе-марте 2011 года. Без учета предприятий по разработке месторождения "Кумтор" рост реального ВВП составил 104,5%, в то время как за соответствующий период 2011 года аналогичный показатель составлял 102,1%. Дефлятор ВВП сложился на уровне 14,3%.</w:t>
      </w:r>
    </w:p>
    <w:p>
      <w:pPr>
        <w:spacing w:after="120"/>
        <w:jc w:val="both"/>
      </w:pPr>
      <w:r>
        <w:rPr>
          <w:rFonts w:ascii="Arial" w:cs="Arial" w:eastAsia="Arial" w:hAnsi="Arial"/>
          <w:sz w:val="24"/>
          <w:szCs w:val="24"/>
        </w:rPr>
        <w:t xml:space="preserve">Объем ВВП в расчете на душу населения составил 9,6 тыс. сомов и по сравнению с соответствующим периодом 2011 года сократился на 8,1%.</w:t>
      </w:r>
    </w:p>
    <w:p>
      <w:pPr>
        <w:spacing w:after="120"/>
        <w:jc w:val="both"/>
      </w:pPr>
      <w:r>
        <w:rPr>
          <w:rFonts w:ascii="Arial" w:cs="Arial" w:eastAsia="Arial" w:hAnsi="Arial"/>
          <w:sz w:val="24"/>
          <w:szCs w:val="24"/>
        </w:rPr>
        <w:t xml:space="preserve">Основной причиной снижения объемов ВВП стало усиление движения льда и пустой породы в юго-восточной части карьера на месторождении "Кумтор", что привело к задержке запланированного доступа к участку с высоким содержанием золота - зоне SB. Поэтому, по-прежнему влияние "Кумтора" на развитие промышленного производства велико, удельный вес которого в промышленности продолжает оставаться высоким, составив 37,5%.</w:t>
      </w:r>
    </w:p>
    <w:p>
      <w:pPr>
        <w:spacing w:after="120"/>
        <w:jc w:val="both"/>
      </w:pPr>
      <w:r>
        <w:rPr>
          <w:rFonts w:ascii="Arial" w:cs="Arial" w:eastAsia="Arial" w:hAnsi="Arial"/>
          <w:sz w:val="24"/>
          <w:szCs w:val="24"/>
        </w:rPr>
        <w:t xml:space="preserve">Как показали итоги трех месяцев, избыточная зависимость экономики от "Кумтора" ставит под вопрос экономическую безопасность страны. В такой ситуации абсолютно необходимой представляется целенаправленная государственная политика диверсификации и модернизации экономики в целях повышения конкурентоспособности экономики, обеспечения устойчивого экономического роста страны и отдельных регионов, и повышение благосостояния граждан.</w:t>
      </w:r>
    </w:p>
    <w:p>
      <w:pPr>
        <w:spacing w:after="120"/>
        <w:jc w:val="both"/>
      </w:pPr>
      <w:r>
        <w:rPr>
          <w:rFonts w:ascii="Arial" w:cs="Arial" w:eastAsia="Arial" w:hAnsi="Arial"/>
          <w:sz w:val="24"/>
          <w:szCs w:val="24"/>
        </w:rPr>
        <w:t xml:space="preserve">Крайне важно в сложившейся ситуации, благодаря диверсификации экономики, снизить доминирующую долю "Кумтора" в структуре ВВП.</w:t>
      </w:r>
    </w:p>
    <w:p>
      <w:pPr>
        <w:spacing w:after="120"/>
        <w:jc w:val="both"/>
      </w:pPr>
      <w:r>
        <w:rPr>
          <w:rFonts w:ascii="Arial" w:cs="Arial" w:eastAsia="Arial" w:hAnsi="Arial"/>
          <w:sz w:val="24"/>
          <w:szCs w:val="24"/>
        </w:rPr>
        <w:t xml:space="preserve">Рост физического объема производства продукции достигнут во всех секторах экономики, за исключением обрабатывающей промышленности, где снижение темпов экономического роста обусловлено существенным сокращением производства в металлургическом секторе.</w:t>
      </w:r>
    </w:p>
    <w:p>
      <w:pPr>
        <w:spacing w:after="120"/>
        <w:jc w:val="both"/>
      </w:pPr>
      <w:r>
        <w:rPr>
          <w:rFonts w:ascii="Arial" w:cs="Arial" w:eastAsia="Arial" w:hAnsi="Arial"/>
          <w:sz w:val="24"/>
          <w:szCs w:val="24"/>
        </w:rPr>
        <w:t xml:space="preserve">Отрицательный вклад промышленности в ВВП оценивается в (-) 8,6 процентных пункта. Положительный вклад сферы услуг, которая занимает более 50% в объеме ВВП, оценивается в 2,1 процентных пункта. Суммарный положительный вклад в ВВП сельского хозяйства и строительства составляет 0,45 процентных пункта, где столь низкий показатель вклада данных секторов охарактеризован сезонной составляющей (см. табл.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Структура и темпы роста по секторам, формирующим ВВП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 Январь-март │      Январь-март 2012 года         │</w:t>
      </w:r>
    </w:p>
    <w:p>
      <w:pPr>
        <w:spacing w:after="120"/>
        <w:jc w:val="center"/>
      </w:pPr>
      <w:r>
        <w:rPr>
          <w:rFonts w:ascii="Arial" w:cs="Arial" w:eastAsia="Arial" w:hAnsi="Arial"/>
          <w:sz w:val="24"/>
          <w:szCs w:val="24"/>
        </w:rPr>
        <w:t xml:space="preserve">│                  │  2011 года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Факт. │в % к│ Факт. │в % к│Прогноз│ Откл. │ Доля │</w:t>
      </w:r>
    </w:p>
    <w:p>
      <w:pPr>
        <w:spacing w:after="120"/>
        <w:jc w:val="center"/>
      </w:pPr>
      <w:r>
        <w:rPr>
          <w:rFonts w:ascii="Arial" w:cs="Arial" w:eastAsia="Arial" w:hAnsi="Arial"/>
          <w:sz w:val="24"/>
          <w:szCs w:val="24"/>
        </w:rPr>
        <w:t xml:space="preserve">│                  │       │ ВВП │       │ ВВП │       │ (+/-) │вклада│</w:t>
      </w:r>
    </w:p>
    <w:p>
      <w:pPr>
        <w:spacing w:after="120"/>
        <w:jc w:val="center"/>
      </w:pPr>
      <w:r>
        <w:rPr>
          <w:rFonts w:ascii="Arial" w:cs="Arial" w:eastAsia="Arial" w:hAnsi="Arial"/>
          <w:sz w:val="24"/>
          <w:szCs w:val="24"/>
        </w:rPr>
        <w:t xml:space="preserve">│                  │       │     │       │     │       │       │в рост│</w:t>
      </w:r>
    </w:p>
    <w:p>
      <w:pPr>
        <w:spacing w:after="120"/>
        <w:jc w:val="center"/>
      </w:pPr>
      <w:r>
        <w:rPr>
          <w:rFonts w:ascii="Arial" w:cs="Arial" w:eastAsia="Arial" w:hAnsi="Arial"/>
          <w:sz w:val="24"/>
          <w:szCs w:val="24"/>
        </w:rPr>
        <w:t xml:space="preserve">│                  │       │     │       │     │       │       │ ВВП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│ВВП, млн. сомов   │47660,0│100  │50751,6│100  │48799,5│ 1952,1│ -6,8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100,6│     │   93,2│     │   93,3│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 4041,0│  8,5│ 5800,4│ 11,4│ 4927,7│ -872,7│  0,09│</w:t>
      </w:r>
    </w:p>
    <w:p>
      <w:pPr>
        <w:spacing w:after="120"/>
        <w:jc w:val="center"/>
      </w:pPr>
      <w:r>
        <w:rPr>
          <w:rFonts w:ascii="Arial" w:cs="Arial" w:eastAsia="Arial" w:hAnsi="Arial"/>
          <w:sz w:val="24"/>
          <w:szCs w:val="24"/>
        </w:rPr>
        <w:t xml:space="preserve">│хозяйство,        │       │     │       │     │       │       │      │</w:t>
      </w:r>
    </w:p>
    <w:p>
      <w:pPr>
        <w:spacing w:after="120"/>
        <w:jc w:val="center"/>
      </w:pPr>
      <w:r>
        <w:rPr>
          <w:rFonts w:ascii="Arial" w:cs="Arial" w:eastAsia="Arial" w:hAnsi="Arial"/>
          <w:sz w:val="24"/>
          <w:szCs w:val="24"/>
        </w:rPr>
        <w:t xml:space="preserve">│млн. сомов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100,4│     │  101,0│     │  101,1│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│Промышленность,   │13898,2│ 29,2│ 9983,4│ 19,7│10943,4│ -960  │ -8,59│</w:t>
      </w:r>
    </w:p>
    <w:p>
      <w:pPr>
        <w:spacing w:after="120"/>
        <w:jc w:val="center"/>
      </w:pPr>
      <w:r>
        <w:rPr>
          <w:rFonts w:ascii="Arial" w:cs="Arial" w:eastAsia="Arial" w:hAnsi="Arial"/>
          <w:sz w:val="24"/>
          <w:szCs w:val="24"/>
        </w:rPr>
        <w:t xml:space="preserve">│млн. сомов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102,4│     │   70,6│     │   68,8│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│Строительство,    │ 1461,1│  3,1│ 1741,1│  3,4│ 1869,0│ -127,9│  0,37│</w:t>
      </w:r>
    </w:p>
    <w:p>
      <w:pPr>
        <w:spacing w:after="120"/>
        <w:jc w:val="center"/>
      </w:pPr>
      <w:r>
        <w:rPr>
          <w:rFonts w:ascii="Arial" w:cs="Arial" w:eastAsia="Arial" w:hAnsi="Arial"/>
          <w:sz w:val="24"/>
          <w:szCs w:val="24"/>
        </w:rPr>
        <w:t xml:space="preserve">│млн. сомов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79,3│     │  112,0│     │  120,2│   -8,2│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│Услуги, млн. сомов│22631,5│ 47,5│25632,5│ 50,5│26634,9│-1002,4│  2,14│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101,2│     │  104,5│     │  105,3│   -0,8│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│Чистые налоги на  │ 5628,2│ 11,8│ 7594,2│ 15,0│ 6030,5│ 1563,7│ -0,80│</w:t>
      </w:r>
    </w:p>
    <w:p>
      <w:pPr>
        <w:spacing w:after="120"/>
        <w:jc w:val="center"/>
      </w:pPr>
      <w:r>
        <w:rPr>
          <w:rFonts w:ascii="Arial" w:cs="Arial" w:eastAsia="Arial" w:hAnsi="Arial"/>
          <w:sz w:val="24"/>
          <w:szCs w:val="24"/>
        </w:rPr>
        <w:t xml:space="preserve">│продукты,         │       │     │       │     │       │       │      │</w:t>
      </w:r>
    </w:p>
    <w:p>
      <w:pPr>
        <w:spacing w:after="120"/>
        <w:jc w:val="center"/>
      </w:pPr>
      <w:r>
        <w:rPr>
          <w:rFonts w:ascii="Arial" w:cs="Arial" w:eastAsia="Arial" w:hAnsi="Arial"/>
          <w:sz w:val="24"/>
          <w:szCs w:val="24"/>
        </w:rPr>
        <w:t xml:space="preserve">│млн. сомов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структуре номинального ВВП доля отраслей, производящих товары, снизилась на 6,2% и составила 34,5%. При этом, доля сельского хозяйства увеличилась на 2,9% и составила 11,4%, строительства, соответственно, на 0,3% и 3,4%, а доля промышленности, напротив, уменьшилась на 9,5% и составила 19,7%.</w:t>
      </w:r>
    </w:p>
    <w:p>
      <w:pPr>
        <w:spacing w:after="120"/>
        <w:jc w:val="both"/>
      </w:pPr>
      <w:r>
        <w:rPr>
          <w:rFonts w:ascii="Arial" w:cs="Arial" w:eastAsia="Arial" w:hAnsi="Arial"/>
          <w:sz w:val="24"/>
          <w:szCs w:val="24"/>
        </w:rPr>
        <w:t xml:space="preserve">Доля отраслей, оказывающих услуги, возросла на 3% и составила 50,5%. При этом, доля торговли, ремонта автомобилей, бытовых изделий и предметов личного пользования повысилась на 0,4% и составила 16,7%, транспорта и связи - на 0,7% и составила 10,7%.</w:t>
      </w:r>
    </w:p>
    <w:p>
      <w:pPr>
        <w:spacing w:after="120"/>
        <w:jc w:val="both"/>
      </w:pPr>
      <w:r>
        <w:rPr>
          <w:rFonts w:ascii="Arial" w:cs="Arial" w:eastAsia="Arial" w:hAnsi="Arial"/>
          <w:sz w:val="24"/>
          <w:szCs w:val="24"/>
        </w:rPr>
        <w:t xml:space="preserve">Следует отметить, что фактически сложившийся реальный рост ВВП за январь-март 2012 года не достиг прогнозируемого уровня на 0,1 п.п.</w:t>
      </w:r>
    </w:p>
    <w:p>
      <w:pPr>
        <w:spacing w:after="120"/>
        <w:jc w:val="both"/>
      </w:pPr>
      <w:r>
        <w:rPr>
          <w:rFonts w:ascii="Arial" w:cs="Arial" w:eastAsia="Arial" w:hAnsi="Arial"/>
          <w:sz w:val="24"/>
          <w:szCs w:val="24"/>
        </w:rPr>
        <w:t xml:space="preserve">К числу основных факторов, на фоне которых складывались основные макроэкономические показатели в отчетном периоде, следует отнести следующие:</w:t>
      </w:r>
    </w:p>
    <w:p>
      <w:pPr>
        <w:spacing w:after="120"/>
        <w:jc w:val="both"/>
      </w:pPr>
      <w:r>
        <w:rPr>
          <w:rFonts w:ascii="Arial" w:cs="Arial" w:eastAsia="Arial" w:hAnsi="Arial"/>
          <w:sz w:val="24"/>
          <w:szCs w:val="24"/>
        </w:rPr>
        <w:t xml:space="preserve">Внешние:</w:t>
      </w:r>
    </w:p>
    <w:p>
      <w:pPr>
        <w:spacing w:after="120"/>
        <w:jc w:val="both"/>
      </w:pPr>
      <w:r>
        <w:rPr>
          <w:rFonts w:ascii="Arial" w:cs="Arial" w:eastAsia="Arial" w:hAnsi="Arial"/>
          <w:sz w:val="24"/>
          <w:szCs w:val="24"/>
        </w:rPr>
        <w:t xml:space="preserve">Благоприятные факторы:</w:t>
      </w:r>
    </w:p>
    <w:p>
      <w:pPr>
        <w:spacing w:after="120"/>
        <w:jc w:val="both"/>
      </w:pPr>
      <w:r>
        <w:rPr>
          <w:rFonts w:ascii="Arial" w:cs="Arial" w:eastAsia="Arial" w:hAnsi="Arial"/>
          <w:sz w:val="24"/>
          <w:szCs w:val="24"/>
        </w:rPr>
        <w:t xml:space="preserve">- устойчивый экономический рост в странах - основных торговых партнерах Кыргызской Республики (Россия - 4,1%; Казахстан - 4,6%; Узбекистан - 7,5%, Китай - 8,1%);</w:t>
      </w:r>
    </w:p>
    <w:p>
      <w:pPr>
        <w:spacing w:after="120"/>
        <w:jc w:val="both"/>
      </w:pPr>
      <w:r>
        <w:rPr>
          <w:rFonts w:ascii="Arial" w:cs="Arial" w:eastAsia="Arial" w:hAnsi="Arial"/>
          <w:sz w:val="24"/>
          <w:szCs w:val="24"/>
        </w:rPr>
        <w:t xml:space="preserve">- рост цен на золото с 1598 до 1662,5 долл.США за тройскую унцию (январь-март 2012 г.), рост по сравнению с аналогичным периодом 2011 года на 22%;</w:t>
      </w:r>
    </w:p>
    <w:p>
      <w:pPr>
        <w:spacing w:after="120"/>
        <w:jc w:val="both"/>
      </w:pPr>
      <w:r>
        <w:rPr>
          <w:rFonts w:ascii="Arial" w:cs="Arial" w:eastAsia="Arial" w:hAnsi="Arial"/>
          <w:sz w:val="24"/>
          <w:szCs w:val="24"/>
        </w:rPr>
        <w:t xml:space="preserve">- стабилизация долгового рынка стран Евросоюза, что повлекло за собой рост спроса на отечественную продукцию (рост экспорта в страны Дальнего зарубежья без учета золота по предварительным данным на 14%, а именно Германия - в 2,5 раза, Болгария - в 1,3 раза, Франция - в 5 раз);</w:t>
      </w:r>
    </w:p>
    <w:p>
      <w:pPr>
        <w:spacing w:after="120"/>
        <w:jc w:val="both"/>
      </w:pPr>
      <w:r>
        <w:rPr>
          <w:rFonts w:ascii="Arial" w:cs="Arial" w:eastAsia="Arial" w:hAnsi="Arial"/>
          <w:sz w:val="24"/>
          <w:szCs w:val="24"/>
        </w:rPr>
        <w:t xml:space="preserve">- отмена таможенных пошлин на импортируемые сахар, растительное масло, рис, муку и высокое производство масличных культур в странах торговых партнерах;</w:t>
      </w:r>
    </w:p>
    <w:p>
      <w:pPr>
        <w:spacing w:after="120"/>
        <w:jc w:val="both"/>
      </w:pPr>
      <w:r>
        <w:rPr>
          <w:rFonts w:ascii="Arial" w:cs="Arial" w:eastAsia="Arial" w:hAnsi="Arial"/>
          <w:sz w:val="24"/>
          <w:szCs w:val="24"/>
        </w:rPr>
        <w:t xml:space="preserve">- умеренные показатели инфляции в странах - основных торговых партнерах (Казахстан - 1,1%, Россия - 1,5%, Китай - 3,6%, Еврозона 2,7%).</w:t>
      </w:r>
    </w:p>
    <w:p>
      <w:pPr>
        <w:spacing w:after="120"/>
        <w:jc w:val="both"/>
      </w:pPr>
      <w:r>
        <w:rPr>
          <w:rFonts w:ascii="Arial" w:cs="Arial" w:eastAsia="Arial" w:hAnsi="Arial"/>
          <w:sz w:val="24"/>
          <w:szCs w:val="24"/>
        </w:rPr>
        <w:t xml:space="preserve">Неблагоприятные факторы:</w:t>
      </w:r>
    </w:p>
    <w:p>
      <w:pPr>
        <w:spacing w:after="120"/>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w:t>
      </w:r>
    </w:p>
    <w:p>
      <w:pPr>
        <w:spacing w:after="120"/>
        <w:jc w:val="both"/>
      </w:pPr>
      <w:r>
        <w:rPr>
          <w:rFonts w:ascii="Arial" w:cs="Arial" w:eastAsia="Arial" w:hAnsi="Arial"/>
          <w:sz w:val="24"/>
          <w:szCs w:val="24"/>
        </w:rPr>
        <w:t xml:space="preserve">- рост цен на нефть с 107,1 долл.США за баррель до 122,8 долл.США (по сравнению с аналогичным периодом 2011 года составляет около 12,2%).</w:t>
      </w:r>
    </w:p>
    <w:p>
      <w:pPr>
        <w:spacing w:after="120"/>
        <w:jc w:val="both"/>
      </w:pPr>
      <w:r>
        <w:rPr>
          <w:rFonts w:ascii="Arial" w:cs="Arial" w:eastAsia="Arial" w:hAnsi="Arial"/>
          <w:sz w:val="24"/>
          <w:szCs w:val="24"/>
        </w:rPr>
        <w:t xml:space="preserve">Внутренние:</w:t>
      </w:r>
    </w:p>
    <w:p>
      <w:pPr>
        <w:spacing w:after="120"/>
        <w:jc w:val="both"/>
      </w:pPr>
      <w:r>
        <w:rPr>
          <w:rFonts w:ascii="Arial" w:cs="Arial" w:eastAsia="Arial" w:hAnsi="Arial"/>
          <w:sz w:val="24"/>
          <w:szCs w:val="24"/>
        </w:rPr>
        <w:t xml:space="preserve">Благоприятные факторы:</w:t>
      </w:r>
    </w:p>
    <w:p>
      <w:pPr>
        <w:spacing w:after="120"/>
        <w:jc w:val="both"/>
      </w:pPr>
      <w:r>
        <w:rPr>
          <w:rFonts w:ascii="Arial" w:cs="Arial" w:eastAsia="Arial" w:hAnsi="Arial"/>
          <w:sz w:val="24"/>
          <w:szCs w:val="24"/>
        </w:rPr>
        <w:t xml:space="preserve">- низкий уровень инфляции, что обусловило реальный рост доходов населения (ИПЦ - 100,6% к декабрю предыдущего года);</w:t>
      </w:r>
    </w:p>
    <w:p>
      <w:pPr>
        <w:spacing w:after="120"/>
        <w:jc w:val="both"/>
      </w:pPr>
      <w:r>
        <w:rPr>
          <w:rFonts w:ascii="Arial" w:cs="Arial" w:eastAsia="Arial" w:hAnsi="Arial"/>
          <w:sz w:val="24"/>
          <w:szCs w:val="24"/>
        </w:rPr>
        <w:t xml:space="preserve">- рост потребительского спроса на товары и услуги (реальный рост среднемесячной заработной платы на 35,0%; рост потребительских кредитов на 47%);</w:t>
      </w:r>
    </w:p>
    <w:p>
      <w:pPr>
        <w:spacing w:after="120"/>
        <w:jc w:val="both"/>
      </w:pPr>
      <w:r>
        <w:rPr>
          <w:rFonts w:ascii="Arial" w:cs="Arial" w:eastAsia="Arial" w:hAnsi="Arial"/>
          <w:sz w:val="24"/>
          <w:szCs w:val="24"/>
        </w:rPr>
        <w:t xml:space="preserve">- рост кредитов в экономику на 5%, реализация программы "Доступные кредиты фермерам - 2";</w:t>
      </w:r>
    </w:p>
    <w:p>
      <w:pPr>
        <w:spacing w:after="120"/>
        <w:jc w:val="both"/>
      </w:pPr>
      <w:r>
        <w:rPr>
          <w:rFonts w:ascii="Arial" w:cs="Arial" w:eastAsia="Arial" w:hAnsi="Arial"/>
          <w:sz w:val="24"/>
          <w:szCs w:val="24"/>
        </w:rPr>
        <w:t xml:space="preserve">- стабильный уровень цен на энергоносители, кроме цен на газ;</w:t>
      </w:r>
    </w:p>
    <w:p>
      <w:pPr>
        <w:spacing w:after="120"/>
        <w:jc w:val="both"/>
      </w:pPr>
      <w:r>
        <w:rPr>
          <w:rFonts w:ascii="Arial" w:cs="Arial" w:eastAsia="Arial" w:hAnsi="Arial"/>
          <w:sz w:val="24"/>
          <w:szCs w:val="24"/>
        </w:rPr>
        <w:t xml:space="preserve">- налоговые преференции для субъектов предпринимательства (например, поэтапное снижение ставок налога с продаж для плательщиков НДС и предоставление преференций для промышленных предприятий, осуществляющих деятельность в дотационных и преференциальных регионах, а также предоставление налоговых льгот в отношении средств, вкладываемых предпринимателями в развитие частных дошкольных учреждений, образовательных учреждений, учреждений здравоохранения; освобождение от уплаты таможенных сборов при ввозе оборудования, используемого в текстильной, швейной и мебельной отрасли хозяйствующими субъектами, непосредственно для собственных производственных целей и т.д.);</w:t>
      </w:r>
    </w:p>
    <w:p>
      <w:pPr>
        <w:spacing w:after="120"/>
        <w:jc w:val="both"/>
      </w:pPr>
      <w:r>
        <w:rPr>
          <w:rFonts w:ascii="Arial" w:cs="Arial" w:eastAsia="Arial" w:hAnsi="Arial"/>
          <w:sz w:val="24"/>
          <w:szCs w:val="24"/>
        </w:rPr>
        <w:t xml:space="preserve">- упрощение условий ведения бизнеса через сокращение проверок, количества лицензий и других мер государственного регулирования в целях снижения коррупции и теневой экономики;</w:t>
      </w:r>
    </w:p>
    <w:p>
      <w:pPr>
        <w:spacing w:after="120"/>
        <w:jc w:val="both"/>
      </w:pPr>
      <w:r>
        <w:rPr>
          <w:rFonts w:ascii="Arial" w:cs="Arial" w:eastAsia="Arial" w:hAnsi="Arial"/>
          <w:sz w:val="24"/>
          <w:szCs w:val="24"/>
        </w:rPr>
        <w:t xml:space="preserve">- предоставление в лизинг сельхозтехники и выделение ГСМ за счет государственного материального резерва.</w:t>
      </w:r>
    </w:p>
    <w:p>
      <w:pPr>
        <w:spacing w:after="120"/>
        <w:jc w:val="both"/>
      </w:pPr>
      <w:r>
        <w:rPr>
          <w:rFonts w:ascii="Arial" w:cs="Arial" w:eastAsia="Arial" w:hAnsi="Arial"/>
          <w:sz w:val="24"/>
          <w:szCs w:val="24"/>
        </w:rPr>
        <w:t xml:space="preserve">Неблагоприятные факторы:</w:t>
      </w:r>
    </w:p>
    <w:p>
      <w:pPr>
        <w:spacing w:after="120"/>
        <w:jc w:val="both"/>
      </w:pPr>
      <w:r>
        <w:rPr>
          <w:rFonts w:ascii="Arial" w:cs="Arial" w:eastAsia="Arial" w:hAnsi="Arial"/>
          <w:sz w:val="24"/>
          <w:szCs w:val="24"/>
        </w:rPr>
        <w:t xml:space="preserve">- природно-климатические условия, которые оказали негативное воздействие на развитие агропромышленного комплекса (отставание весенне-полевых работ на 15-20 дней, падеж скота), промышленного производства (в металлургической промышленности снижен почти в 2,6 раза из-за усиления движения льда и пустой породы в юго-восточной части карьера на месторождении "Кумтор");</w:t>
      </w:r>
    </w:p>
    <w:p>
      <w:pPr>
        <w:spacing w:after="120"/>
        <w:jc w:val="both"/>
      </w:pPr>
      <w:r>
        <w:rPr>
          <w:rFonts w:ascii="Arial" w:cs="Arial" w:eastAsia="Arial" w:hAnsi="Arial"/>
          <w:sz w:val="24"/>
          <w:szCs w:val="24"/>
        </w:rPr>
        <w:t xml:space="preserve">- высокие процентные ставки по кредитам для развития бизнеса (19,5% - средневзвешенная процентная ставка);</w:t>
      </w:r>
    </w:p>
    <w:p>
      <w:pPr>
        <w:spacing w:after="120"/>
        <w:jc w:val="both"/>
      </w:pPr>
      <w:r>
        <w:rPr>
          <w:rFonts w:ascii="Arial" w:cs="Arial" w:eastAsia="Arial" w:hAnsi="Arial"/>
          <w:sz w:val="24"/>
          <w:szCs w:val="24"/>
        </w:rPr>
        <w:t xml:space="preserve">- задержка финансирования Программы капитального строительства объектов за счет средств республиканского бюджета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Индекс потребительских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Индекс потребительских цен, характеризующий уровень инфляции за январь-март 2012 года (март 2012 года в % к декабрю 2011 года), составил 100,9%, тогда как за аналогичный период 2011 года составлял 106,4%. Среднегодовое значение инфляции составило 102,1% (январь-март 2012 г. к январю-марту 2011 г.), в 2011 году аналогичный показатель составил 120,3%.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│Наименование показателя│Ед. │Январь-│Январь-│Отк. от│Прогнозные│ Отк.│</w:t>
      </w:r>
    </w:p>
    <w:p>
      <w:pPr>
        <w:spacing w:after="120"/>
        <w:jc w:val="center"/>
      </w:pPr>
      <w:r>
        <w:rPr>
          <w:rFonts w:ascii="Arial" w:cs="Arial" w:eastAsia="Arial" w:hAnsi="Arial"/>
          <w:sz w:val="24"/>
          <w:szCs w:val="24"/>
        </w:rPr>
        <w:t xml:space="preserve">│                       │изм.│  март │  март │ факт. │показатели│ от  │</w:t>
      </w:r>
    </w:p>
    <w:p>
      <w:pPr>
        <w:spacing w:after="120"/>
        <w:jc w:val="center"/>
      </w:pPr>
      <w:r>
        <w:rPr>
          <w:rFonts w:ascii="Arial" w:cs="Arial" w:eastAsia="Arial" w:hAnsi="Arial"/>
          <w:sz w:val="24"/>
          <w:szCs w:val="24"/>
        </w:rPr>
        <w:t xml:space="preserve">│                       │    │2012 г.│2011 г.│ (+,-) │на квартал│факт.│</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потребительских │ %  │ 100,9 │ 106,4 │  5,5  │   103,6  │ -2,7│</w:t>
      </w:r>
    </w:p>
    <w:p>
      <w:pPr>
        <w:spacing w:after="120"/>
        <w:jc w:val="center"/>
      </w:pPr>
      <w:r>
        <w:rPr>
          <w:rFonts w:ascii="Arial" w:cs="Arial" w:eastAsia="Arial" w:hAnsi="Arial"/>
          <w:sz w:val="24"/>
          <w:szCs w:val="24"/>
        </w:rPr>
        <w:t xml:space="preserve">│цен (в % к декабрю     │    │       │       │       │          │     │</w:t>
      </w:r>
    </w:p>
    <w:p>
      <w:pPr>
        <w:spacing w:after="120"/>
        <w:jc w:val="center"/>
      </w:pPr>
      <w:r>
        <w:rPr>
          <w:rFonts w:ascii="Arial" w:cs="Arial" w:eastAsia="Arial" w:hAnsi="Arial"/>
          <w:sz w:val="24"/>
          <w:szCs w:val="24"/>
        </w:rPr>
        <w:t xml:space="preserve">│предыдущего года)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целом сложившийся уровень цен формировался под воздействием таких основных факторов как:</w:t>
      </w:r>
    </w:p>
    <w:p>
      <w:pPr>
        <w:spacing w:after="120"/>
        <w:jc w:val="both"/>
      </w:pPr>
      <w:r>
        <w:rPr>
          <w:rFonts w:ascii="Arial" w:cs="Arial" w:eastAsia="Arial" w:hAnsi="Arial"/>
          <w:sz w:val="24"/>
          <w:szCs w:val="24"/>
        </w:rPr>
        <w:t xml:space="preserve">- снижение цен на внутреннем рынке на основные продовольственные товары (хлебобулочные изделия и крупы, масло и жиры, сахар);</w:t>
      </w:r>
    </w:p>
    <w:p>
      <w:pPr>
        <w:spacing w:after="120"/>
        <w:jc w:val="both"/>
      </w:pPr>
      <w:r>
        <w:rPr>
          <w:rFonts w:ascii="Arial" w:cs="Arial" w:eastAsia="Arial" w:hAnsi="Arial"/>
          <w:sz w:val="24"/>
          <w:szCs w:val="24"/>
        </w:rPr>
        <w:t xml:space="preserve">- умеренный рост цен на непродовольственные товары и услуги на внутреннем рынке;</w:t>
      </w:r>
    </w:p>
    <w:p>
      <w:pPr>
        <w:spacing w:after="120"/>
        <w:jc w:val="both"/>
      </w:pPr>
      <w:r>
        <w:rPr>
          <w:rFonts w:ascii="Arial" w:cs="Arial" w:eastAsia="Arial" w:hAnsi="Arial"/>
          <w:sz w:val="24"/>
          <w:szCs w:val="24"/>
        </w:rPr>
        <w:t xml:space="preserve">- стабильные цены на мировых продовольственных рынках, импортозависимых для Кыргызской Республики (Россия, Казахстан), за счет хороших урожаев сельскохозяйственных культур;</w:t>
      </w:r>
    </w:p>
    <w:p>
      <w:pPr>
        <w:spacing w:after="120"/>
        <w:jc w:val="both"/>
      </w:pPr>
      <w:r>
        <w:rPr>
          <w:rFonts w:ascii="Arial" w:cs="Arial" w:eastAsia="Arial" w:hAnsi="Arial"/>
          <w:sz w:val="24"/>
          <w:szCs w:val="24"/>
        </w:rPr>
        <w:t xml:space="preserve">- умеренный рост цен на мировом рынке продовольственных товаров (по данным ФАО, мировые цены на продовольствие в марте 2012 года остались практически неизменными с февраля. Индекс в марте составил 216 пунктов, что на 1 пункт выше февральского показателя);</w:t>
      </w:r>
    </w:p>
    <w:p>
      <w:pPr>
        <w:spacing w:after="120"/>
        <w:jc w:val="both"/>
      </w:pPr>
      <w:r>
        <w:rPr>
          <w:rFonts w:ascii="Arial" w:cs="Arial" w:eastAsia="Arial" w:hAnsi="Arial"/>
          <w:sz w:val="24"/>
          <w:szCs w:val="24"/>
        </w:rPr>
        <w:t xml:space="preserve">- стабильный уровень цен на коммунальные услуги, кроме цен на газ;</w:t>
      </w:r>
    </w:p>
    <w:p>
      <w:pPr>
        <w:spacing w:after="120"/>
        <w:jc w:val="both"/>
      </w:pPr>
      <w:r>
        <w:rPr>
          <w:rFonts w:ascii="Arial" w:cs="Arial" w:eastAsia="Arial" w:hAnsi="Arial"/>
          <w:sz w:val="24"/>
          <w:szCs w:val="24"/>
        </w:rPr>
        <w:t xml:space="preserve">- снижение цен на внутреннем рынке на бензин и увеличение цен на дизельное топливо (причиной повышения оптовых и розничных цен реализации дизтоплива на рынке Кыргызской Республики является повышение отпускных цен заводами-изготовителей);</w:t>
      </w:r>
    </w:p>
    <w:p>
      <w:pPr>
        <w:spacing w:after="120"/>
        <w:jc w:val="both"/>
      </w:pPr>
      <w:r>
        <w:rPr>
          <w:rFonts w:ascii="Arial" w:cs="Arial" w:eastAsia="Arial" w:hAnsi="Arial"/>
          <w:sz w:val="24"/>
          <w:szCs w:val="24"/>
        </w:rPr>
        <w:t xml:space="preserve">- рост мировых цен на сырую нефть (Urals) по итогам марта до 117,2 долл.США за баррель, марки Brent - до 122,8 долл.США за баррель, что связано с событиями в Ливии и эмбарго на вывоз нефти из Ирана;</w:t>
      </w:r>
    </w:p>
    <w:p>
      <w:pPr>
        <w:spacing w:after="120"/>
        <w:jc w:val="both"/>
      </w:pPr>
      <w:r>
        <w:rPr>
          <w:rFonts w:ascii="Arial" w:cs="Arial" w:eastAsia="Arial" w:hAnsi="Arial"/>
          <w:sz w:val="24"/>
          <w:szCs w:val="24"/>
        </w:rPr>
        <w:t xml:space="preserve">- сезонные колебания на продовольственные товары (фрукты, овощи, мясная и молочная продукция);</w:t>
      </w:r>
    </w:p>
    <w:p>
      <w:pPr>
        <w:spacing w:after="120"/>
        <w:jc w:val="both"/>
      </w:pPr>
      <w:r>
        <w:rPr>
          <w:rFonts w:ascii="Arial" w:cs="Arial" w:eastAsia="Arial" w:hAnsi="Arial"/>
          <w:sz w:val="24"/>
          <w:szCs w:val="24"/>
        </w:rPr>
        <w:t xml:space="preserve">- умеренный рост инфляции в странах - основных торговых партнерах.</w:t>
      </w:r>
    </w:p>
    <w:p>
      <w:pPr>
        <w:spacing w:after="120"/>
        <w:jc w:val="both"/>
      </w:pPr>
      <w:r>
        <w:rPr>
          <w:rFonts w:ascii="Arial" w:cs="Arial" w:eastAsia="Arial" w:hAnsi="Arial"/>
          <w:sz w:val="24"/>
          <w:szCs w:val="24"/>
        </w:rPr>
        <w:t xml:space="preserve">Для справки: инфляция в странах - основных торговых партнерах сформировалась следующим образом (март 2012 года к декабрю 2011 г.): Казахстан - 1,1%, Россия - 1,5%, Китай - 3,6%, Еврозона - 2,7%).</w:t>
      </w:r>
    </w:p>
    <w:p>
      <w:pPr>
        <w:spacing w:after="120"/>
        <w:jc w:val="both"/>
      </w:pPr>
      <w:r>
        <w:rPr>
          <w:rFonts w:ascii="Arial" w:cs="Arial" w:eastAsia="Arial" w:hAnsi="Arial"/>
          <w:sz w:val="24"/>
          <w:szCs w:val="24"/>
        </w:rPr>
        <w:t xml:space="preserve">За январь-март 2012 года наблюдалось замедление цен на продовольственные товары (хлебобулочные изделия и крупы, масло и жиры, сахар). Немонетарные факторы являются ключевыми факторами, определившими динамику цен, - снижение цен на пищевые и безалкогольные напитки, которые занимают основную долю в общей потребительской корзине - 46,2%.</w:t>
      </w:r>
    </w:p>
    <w:p>
      <w:pPr>
        <w:spacing w:after="120"/>
        <w:jc w:val="both"/>
      </w:pPr>
      <w:r>
        <w:rPr>
          <w:rFonts w:ascii="Arial" w:cs="Arial" w:eastAsia="Arial" w:hAnsi="Arial"/>
          <w:sz w:val="24"/>
          <w:szCs w:val="24"/>
        </w:rPr>
        <w:t xml:space="preserve">Индекс цен на пищевые и безалкогольные напитки снизился на 0,6% (март 2012 г. к декабрю 2011 года), за аналогичный период в 2011 году данный показатель повысился на 12,2%. Влияние на формирование цен в данной группе товаров оказало снижение цен на пшеницу и продукты ее переработки. Так, цены на группу "хлебобулочные изделия и крупы" снизились на 3,8%, что произошло за счет снижения цен на муку первого сорта на - 9,2%, муку высшего сорта - на 3,5%, хлеб - на 1,9%, в связи с богатым урожаем в странах-производителях (Россия, где валовой сбор зерновых и зернобобовых культур в 2011 году составил более 93,8 млн. тонн; Казахстан, где в 2011 году был собран рекордный урожай - почти 27 млн. тонн зерна в чистом весе). Цены на масло и жиры снизились на 1,0%, сахар - на 0,2% за счет отмены таможенных пошлин на импортируемые сахар, растительное масло, рис и муку и высокого производства масличных культур в странах-торговых партнерах.</w:t>
      </w:r>
    </w:p>
    <w:p>
      <w:pPr>
        <w:spacing w:after="120"/>
        <w:jc w:val="both"/>
      </w:pPr>
      <w:r>
        <w:rPr>
          <w:rFonts w:ascii="Arial" w:cs="Arial" w:eastAsia="Arial" w:hAnsi="Arial"/>
          <w:sz w:val="24"/>
          <w:szCs w:val="24"/>
        </w:rPr>
        <w:t xml:space="preserve">При этом наблюдается повышение цен на плодоовощную продукцию на 3,2% (фрукты - на 1,6%, овощи - 3,9%), которое произошло под влиянием сезонных колебаний; мясо - на 0,3% и молочная продукция - на 1,1% за счет увеличения цен на корм животноводства и сезонного фактора.</w:t>
      </w:r>
    </w:p>
    <w:p>
      <w:pPr>
        <w:spacing w:after="120"/>
        <w:jc w:val="both"/>
      </w:pPr>
      <w:r>
        <w:rPr>
          <w:rFonts w:ascii="Arial" w:cs="Arial" w:eastAsia="Arial" w:hAnsi="Arial"/>
          <w:sz w:val="24"/>
          <w:szCs w:val="24"/>
        </w:rPr>
        <w:t xml:space="preserve">Индекс цен на алкогольные напитки и табачные изделия (удельный вес в потребительской корзине составляет 9,6%) повысился на 1,2%, в том числе алкогольные напитки - на 1,2%, табачные изделия - на 1,2%.</w:t>
      </w:r>
    </w:p>
    <w:p>
      <w:pPr>
        <w:spacing w:after="120"/>
        <w:jc w:val="both"/>
      </w:pPr>
      <w:r>
        <w:rPr>
          <w:rFonts w:ascii="Arial" w:cs="Arial" w:eastAsia="Arial" w:hAnsi="Arial"/>
          <w:sz w:val="24"/>
          <w:szCs w:val="24"/>
        </w:rPr>
        <w:t xml:space="preserve">Наблюдался умеренный рост цен на непродовольственные товары (удельный вес в потребительской корзине составляет 29,7%), которые повысились на 2,6% (в 2011 году повысились на 1,5%). В целом, рост цен на непродовольственные товары сложился, в основном, за счет удорожания группы "одежда и обувь" - на 4,2%, предметы домашнего обихода - на 2,7%.</w:t>
      </w:r>
    </w:p>
    <w:p>
      <w:pPr>
        <w:spacing w:after="120"/>
        <w:jc w:val="both"/>
      </w:pPr>
      <w:r>
        <w:rPr>
          <w:rFonts w:ascii="Arial" w:cs="Arial" w:eastAsia="Arial" w:hAnsi="Arial"/>
          <w:sz w:val="24"/>
          <w:szCs w:val="24"/>
        </w:rPr>
        <w:t xml:space="preserve">Цены на горюче-смазочные материалы за январь-март 2012 года (к декабрю 2011 года) снизились - на 2,4%, в том числе бензин на 2,7%, при этом дизельное топливо подорожало - на 1,4%, что обусловлено повышением отпускных цен заводами-изготовителями из-за дефицита летнего дизельного топлива на рынке России, образовавшегося в связи с возросшим спросом при осуществлении весенне-полевых работ, где для фермерских и крестьянских хозяйств РФ летнее дизельное топливо реализуется со значительной скидкой (около 30%), поэтому данные потери компенсируются за счет экспорта на внешние рынки, в том числе и Кыргызской Республики.</w:t>
      </w:r>
    </w:p>
    <w:p>
      <w:pPr>
        <w:spacing w:after="120"/>
        <w:jc w:val="both"/>
      </w:pPr>
      <w:r>
        <w:rPr>
          <w:rFonts w:ascii="Arial" w:cs="Arial" w:eastAsia="Arial" w:hAnsi="Arial"/>
          <w:sz w:val="24"/>
          <w:szCs w:val="24"/>
        </w:rPr>
        <w:t xml:space="preserve">За рассматриваемый период цены на услуги (удельный вес в потребительской корзине составляет - 14,5%) в целом возросли на 1,6%, за аналогичный период в 2011 году данный показатель составил 2,5%. Наибольший вклад в рост общего уровня цен данной группы внесло удорожание услуг ресторанов и гостиниц - на 5,5%, организация отдыха и культурных мероприятий - на 2,6%. Отмечался рост цен на амбулаторные услуги - на 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Действия Правительства и Национального банка Кыргызской Республики были направлены на сдерживание монетарных факторов инфляции посредством применения инструментов денежно-кредитной политики, где первоочередной задачей являлось формирование адекватных инфляционных ожиданий и восстановление доверия к банковской системе.</w:t>
      </w:r>
    </w:p>
    <w:p>
      <w:pPr>
        <w:spacing w:after="120"/>
        <w:jc w:val="both"/>
      </w:pPr>
      <w:r>
        <w:rPr>
          <w:rFonts w:ascii="Arial" w:cs="Arial" w:eastAsia="Arial" w:hAnsi="Arial"/>
          <w:sz w:val="24"/>
          <w:szCs w:val="24"/>
        </w:rPr>
        <w:t xml:space="preserve">По данным аналитического баланса НБКР, денежная база за январь-март 2012 года уменьшилась на 1,9% и на конец марта 2012 года составила 53,8 млрд. сомов (уменьшение денежной базы за аналогичный период 2011 года составляло 7,2%). Объем денег в обращении на конец I квартала 2012 года составил 48,3 млрд. сомов, сократившись с начала текущего года на 3,1% (за аналогичный период 2011 года объем денег в обращении сократился на 5,6%).</w:t>
      </w:r>
    </w:p>
    <w:p>
      <w:pPr>
        <w:spacing w:after="120"/>
        <w:jc w:val="both"/>
      </w:pPr>
      <w:r>
        <w:rPr>
          <w:rFonts w:ascii="Arial" w:cs="Arial" w:eastAsia="Arial" w:hAnsi="Arial"/>
          <w:sz w:val="24"/>
          <w:szCs w:val="24"/>
        </w:rPr>
        <w:t xml:space="preserve">По предварительным данным аналитического баланса банковской системы, денежный агрегат М2, включающий в себя наличные деньги вне банков и депозиты в национальной валюте, на конец марта 2012 года составил 62,6 млрд. сомов, увеличившись за рассматриваемый период на 0,7% (в январе-марте 2011 года денежный агрегат М2 сократился на 4,8%).</w:t>
      </w:r>
    </w:p>
    <w:p>
      <w:pPr>
        <w:spacing w:after="120"/>
        <w:jc w:val="both"/>
      </w:pPr>
      <w:r>
        <w:rPr>
          <w:rFonts w:ascii="Arial" w:cs="Arial" w:eastAsia="Arial" w:hAnsi="Arial"/>
          <w:sz w:val="24"/>
          <w:szCs w:val="24"/>
        </w:rPr>
        <w:t xml:space="preserve">Объем широкой денежной массы М2Х (М2 + депозиты в иностранной валюте) с начала 2012 года увеличился на 1,8%, составив на конец марта 81,0 млрд. сомов, (в сопоставимом периоде 2011 года наблюдалось сокращение М2Х на 3,7%). При этом, объем депозитов вырос(1) на 8,1%, до 34,9 млрд. сомов, а объем денег вне банков сократился на 2,5%, до 46,0 млрд. сомов (объем денег вне банков за январь-март 2011 года уменьшился на 5,9%, а объем депозитов - на 0,4%).</w:t>
      </w:r>
    </w:p>
    <w:p>
      <w:pPr>
        <w:spacing w:after="120"/>
        <w:jc w:val="both"/>
      </w:pPr>
      <w:r>
        <w:rPr>
          <w:rFonts w:ascii="Arial" w:cs="Arial" w:eastAsia="Arial" w:hAnsi="Arial"/>
          <w:sz w:val="24"/>
          <w:szCs w:val="24"/>
        </w:rPr>
        <w:t xml:space="preserve">Кредит в экономику на конец I квартала 2012 года составил 35,0 млрд. сомов, увеличившись за рассматриваемый период на 5,0% (в январе-марте 2011 года кредит в экономику вырос на 2,8%).</w:t>
      </w:r>
    </w:p>
    <w:p>
      <w:pPr>
        <w:spacing w:after="120"/>
        <w:jc w:val="both"/>
      </w:pPr>
      <w:r>
        <w:rPr>
          <w:rFonts w:ascii="Arial" w:cs="Arial" w:eastAsia="Arial" w:hAnsi="Arial"/>
          <w:sz w:val="24"/>
          <w:szCs w:val="24"/>
        </w:rPr>
        <w:t xml:space="preserve">По состоянию на 31 марта 2012 года, средневзвешенные процентные ставки по кредитам на конец периода составили 19,5% (в т.ч. в национальной валюте - 21,9%, в иностранной - 17,6%). В январе-марте 2012 года по вновь выданным кредитам средневзвешенные процентные ставки составили - 21,2% (в т.ч. в национальной валюте - 22,1%, в иностранной 20,5%).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денежно-кредитной политики на конец периода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Ед.  │Фактические│Показатели│Абсолютное│  Откл. │</w:t>
      </w:r>
    </w:p>
    <w:p>
      <w:pPr>
        <w:spacing w:after="120"/>
        <w:jc w:val="center"/>
      </w:pPr>
      <w:r>
        <w:rPr>
          <w:rFonts w:ascii="Arial" w:cs="Arial" w:eastAsia="Arial" w:hAnsi="Arial"/>
          <w:sz w:val="24"/>
          <w:szCs w:val="24"/>
        </w:rPr>
        <w:t xml:space="preserve">│    показателя    │измере-│показатели │   пред.  │изменение │от факт.│</w:t>
      </w:r>
    </w:p>
    <w:p>
      <w:pPr>
        <w:spacing w:after="120"/>
        <w:jc w:val="center"/>
      </w:pPr>
      <w:r>
        <w:rPr>
          <w:rFonts w:ascii="Arial" w:cs="Arial" w:eastAsia="Arial" w:hAnsi="Arial"/>
          <w:sz w:val="24"/>
          <w:szCs w:val="24"/>
        </w:rPr>
        <w:t xml:space="preserve">│                  │  ния  │   март    │  периода │          │  (+,-) │</w:t>
      </w:r>
    </w:p>
    <w:p>
      <w:pPr>
        <w:spacing w:after="120"/>
        <w:jc w:val="center"/>
      </w:pPr>
      <w:r>
        <w:rPr>
          <w:rFonts w:ascii="Arial" w:cs="Arial" w:eastAsia="Arial" w:hAnsi="Arial"/>
          <w:sz w:val="24"/>
          <w:szCs w:val="24"/>
        </w:rPr>
        <w:t xml:space="preserve">│                  │       │  2012 г.  │ дек. 2011│          │   в %  │</w:t>
      </w:r>
    </w:p>
    <w:p>
      <w:pPr>
        <w:spacing w:after="120"/>
        <w:jc w:val="center"/>
      </w:pPr>
      <w:r>
        <w:rPr>
          <w:rFonts w:ascii="Arial" w:cs="Arial" w:eastAsia="Arial" w:hAnsi="Arial"/>
          <w:sz w:val="24"/>
          <w:szCs w:val="24"/>
        </w:rPr>
        <w:t xml:space="preserve">│                  │       │           │    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│Денежная база     │млн.   │  53781,6  │  54803,2 │  -1021,6 │  -1,9  │</w:t>
      </w:r>
    </w:p>
    <w:p>
      <w:pPr>
        <w:spacing w:after="120"/>
        <w:jc w:val="center"/>
      </w:pPr>
      <w:r>
        <w:rPr>
          <w:rFonts w:ascii="Arial" w:cs="Arial" w:eastAsia="Arial" w:hAnsi="Arial"/>
          <w:sz w:val="24"/>
          <w:szCs w:val="24"/>
        </w:rPr>
        <w:t xml:space="preserve">│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│Деньги в обращении│млн.   │  48339,4  │  49866,9 │  -1527,6 │  -3,1  │</w:t>
      </w:r>
    </w:p>
    <w:p>
      <w:pPr>
        <w:spacing w:after="120"/>
        <w:jc w:val="center"/>
      </w:pPr>
      <w:r>
        <w:rPr>
          <w:rFonts w:ascii="Arial" w:cs="Arial" w:eastAsia="Arial" w:hAnsi="Arial"/>
          <w:sz w:val="24"/>
          <w:szCs w:val="24"/>
        </w:rPr>
        <w:t xml:space="preserve">│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│Деньги вне банков │млн.   │  46029,9  │  47219,6 │  -1189,7 │  -2,5  │</w:t>
      </w:r>
    </w:p>
    <w:p>
      <w:pPr>
        <w:spacing w:after="120"/>
        <w:jc w:val="center"/>
      </w:pPr>
      <w:r>
        <w:rPr>
          <w:rFonts w:ascii="Arial" w:cs="Arial" w:eastAsia="Arial" w:hAnsi="Arial"/>
          <w:sz w:val="24"/>
          <w:szCs w:val="24"/>
        </w:rPr>
        <w:t xml:space="preserve">│(МО)(*)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│Денежная масса    │млн.   │  62557,5  │  62125,3 │    432,2 │   0,7  │</w:t>
      </w:r>
    </w:p>
    <w:p>
      <w:pPr>
        <w:spacing w:after="120"/>
        <w:jc w:val="center"/>
      </w:pPr>
      <w:r>
        <w:rPr>
          <w:rFonts w:ascii="Arial" w:cs="Arial" w:eastAsia="Arial" w:hAnsi="Arial"/>
          <w:sz w:val="24"/>
          <w:szCs w:val="24"/>
        </w:rPr>
        <w:t xml:space="preserve">│(М2)(*)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│Денежная масса    │млн.   │  80950,0  │  79527,8 │   1422,2 │   1,8  │</w:t>
      </w:r>
    </w:p>
    <w:p>
      <w:pPr>
        <w:spacing w:after="120"/>
        <w:jc w:val="center"/>
      </w:pPr>
      <w:r>
        <w:rPr>
          <w:rFonts w:ascii="Arial" w:cs="Arial" w:eastAsia="Arial" w:hAnsi="Arial"/>
          <w:sz w:val="24"/>
          <w:szCs w:val="24"/>
        </w:rPr>
        <w:t xml:space="preserve">│(М2Х)(*)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│Депозиты,         │млн.   │  34920,2  │  32308,2 │   2612,0 │   8,1  │</w:t>
      </w:r>
    </w:p>
    <w:p>
      <w:pPr>
        <w:spacing w:after="120"/>
        <w:jc w:val="center"/>
      </w:pPr>
      <w:r>
        <w:rPr>
          <w:rFonts w:ascii="Arial" w:cs="Arial" w:eastAsia="Arial" w:hAnsi="Arial"/>
          <w:sz w:val="24"/>
          <w:szCs w:val="24"/>
        </w:rPr>
        <w:t xml:space="preserve">│включаемые в      │сомов  │           │          │          │        │</w:t>
      </w:r>
    </w:p>
    <w:p>
      <w:pPr>
        <w:spacing w:after="120"/>
        <w:jc w:val="center"/>
      </w:pPr>
      <w:r>
        <w:rPr>
          <w:rFonts w:ascii="Arial" w:cs="Arial" w:eastAsia="Arial" w:hAnsi="Arial"/>
          <w:sz w:val="24"/>
          <w:szCs w:val="24"/>
        </w:rPr>
        <w:t xml:space="preserve">│М2Х(*)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│Кредит в          │млн.   │  34998,8  │  33321,9 │   1676,9 │   5,0  │</w:t>
      </w:r>
    </w:p>
    <w:p>
      <w:pPr>
        <w:spacing w:after="120"/>
        <w:jc w:val="center"/>
      </w:pPr>
      <w:r>
        <w:rPr>
          <w:rFonts w:ascii="Arial" w:cs="Arial" w:eastAsia="Arial" w:hAnsi="Arial"/>
          <w:sz w:val="24"/>
          <w:szCs w:val="24"/>
        </w:rPr>
        <w:t xml:space="preserve">│экономику(*)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│Обменный курс     │сом/   │  46,8275  │  46,4847 │  0,3428  │   0,7  │</w:t>
      </w:r>
    </w:p>
    <w:p>
      <w:pPr>
        <w:spacing w:after="120"/>
        <w:jc w:val="center"/>
      </w:pPr>
      <w:r>
        <w:rPr>
          <w:rFonts w:ascii="Arial" w:cs="Arial" w:eastAsia="Arial" w:hAnsi="Arial"/>
          <w:sz w:val="24"/>
          <w:szCs w:val="24"/>
        </w:rPr>
        <w:t xml:space="preserve">│                  │долл.  │           │          │          │        │</w:t>
      </w:r>
    </w:p>
    <w:p>
      <w:pPr>
        <w:spacing w:after="120"/>
        <w:jc w:val="center"/>
      </w:pPr>
      <w:r>
        <w:rPr>
          <w:rFonts w:ascii="Arial" w:cs="Arial" w:eastAsia="Arial" w:hAnsi="Arial"/>
          <w:sz w:val="24"/>
          <w:szCs w:val="24"/>
        </w:rPr>
        <w:t xml:space="preserve">│                  │США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предварительные данные.</w:t>
      </w:r>
    </w:p>
    <w:p>
      <w:pPr>
        <w:spacing w:after="120"/>
        <w:jc w:val="both"/>
      </w:pPr>
      <w:r>
        <w:rPr>
          <w:rFonts w:ascii="Arial" w:cs="Arial" w:eastAsia="Arial" w:hAnsi="Arial"/>
          <w:sz w:val="24"/>
          <w:szCs w:val="24"/>
        </w:rPr>
        <w:t xml:space="preserve">Объем международных резервов по состоянию на 31 марта 2012 года, составил 1862,1 млрд. долл.США, увеличившись с начала 2012 года на 27,6 млн. долл.США или на 1,5%. За период с начала 2012 года на объем валовых международных резервов влияние оказали: валютные операции НБКР, проводимые на внутреннем рынке страны; доходы, полученные от управления международными резервами; изменение курсов валют, входящих в состав международных резервов; изменение цен на драгоценные металлы; операции по покупке золота на внутреннем рынке Кыргызстана; поступления валютных средств в пользу Правительства Кыргызской Республики от стран-доноров; выплаты по внешним обязательствам Кыргызской Республики.</w:t>
      </w:r>
    </w:p>
    <w:p>
      <w:pPr>
        <w:spacing w:after="120"/>
        <w:jc w:val="both"/>
      </w:pPr>
      <w:r>
        <w:rPr>
          <w:rFonts w:ascii="Arial" w:cs="Arial" w:eastAsia="Arial" w:hAnsi="Arial"/>
          <w:sz w:val="24"/>
          <w:szCs w:val="24"/>
        </w:rPr>
        <w:t xml:space="preserve">Обменный курс. За январь-март 2012 года объем покупок Национального банка Кыргызской Республики составил 4,8 млн. долл.США, а объем продажи - 35,1 млн. долл.США. Чистая продажа на межбанковском валютном рынке составила 30,3 млн. долл.США (в I квартале 2011 года объем чистой продажи иностранной валюты составлял 62,5 млн. долл.США).</w:t>
      </w:r>
    </w:p>
    <w:p>
      <w:pPr>
        <w:spacing w:after="120"/>
        <w:jc w:val="both"/>
      </w:pPr>
      <w:r>
        <w:rPr>
          <w:rFonts w:ascii="Arial" w:cs="Arial" w:eastAsia="Arial" w:hAnsi="Arial"/>
          <w:sz w:val="24"/>
          <w:szCs w:val="24"/>
        </w:rPr>
        <w:t xml:space="preserve">Официальный курс доллара США по отношению к кыргызскому сому с начала 2012 года повысился на 0,7% с 46,4847 сома за 1 доллар США в начале января до 46,8275 сома за 1 доллар США на конец марта 2012 года.</w:t>
      </w:r>
    </w:p>
    <w:p>
      <w:pPr>
        <w:spacing w:after="120"/>
        <w:jc w:val="both"/>
      </w:pPr>
      <w:r>
        <w:rPr>
          <w:rFonts w:ascii="Arial" w:cs="Arial" w:eastAsia="Arial" w:hAnsi="Arial"/>
          <w:sz w:val="24"/>
          <w:szCs w:val="24"/>
        </w:rPr>
        <w:t xml:space="preserve">Национальный банк Кыргызской Республики намерен придерживаться практики предотвращения резких колебаний обменного курса сома к доллару США и при необходимости участвовать на внутреннем валютном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банковской системы(2)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29 февраля 2012 года(3), на территории Кыргызской Республики действовало 22 коммерческих банка(4) (включая Бишкекский филиал Национального банка Пакистана) и 254 филиала коммерческих банков. В аналогичном периоде 2011 года осуществляли деятельность также 22 коммерческих банка.</w:t>
      </w:r>
    </w:p>
    <w:p>
      <w:pPr>
        <w:spacing w:after="120"/>
        <w:jc w:val="both"/>
      </w:pPr>
      <w:r>
        <w:rPr>
          <w:rFonts w:ascii="Arial" w:cs="Arial" w:eastAsia="Arial" w:hAnsi="Arial"/>
          <w:sz w:val="24"/>
          <w:szCs w:val="24"/>
        </w:rPr>
        <w:t xml:space="preserve">На 29 февраля 2012 года банковской системой в целом получена чистая прибыль в размере 308,1 млн. сомов (в 2011 году прибыль - 191,0 млн. сомов). Суммарные активы банковской системы увеличились с начала года на 3,4% и составили 69,0 млрд. сомов.</w:t>
      </w:r>
    </w:p>
    <w:p>
      <w:pPr>
        <w:spacing w:after="120"/>
        <w:jc w:val="both"/>
      </w:pPr>
      <w:r>
        <w:rPr>
          <w:rFonts w:ascii="Arial" w:cs="Arial" w:eastAsia="Arial" w:hAnsi="Arial"/>
          <w:sz w:val="24"/>
          <w:szCs w:val="24"/>
        </w:rPr>
        <w:t xml:space="preserve">Общая депозитная база(5) банковской системы в целом составила 41,63 млрд. сомов, увеличившись с начала года на 3,3%, в том числе:</w:t>
      </w:r>
    </w:p>
    <w:p>
      <w:pPr>
        <w:spacing w:after="120"/>
        <w:jc w:val="both"/>
      </w:pPr>
      <w:r>
        <w:rPr>
          <w:rFonts w:ascii="Arial" w:cs="Arial" w:eastAsia="Arial" w:hAnsi="Arial"/>
          <w:sz w:val="24"/>
          <w:szCs w:val="24"/>
        </w:rPr>
        <w:t xml:space="preserve">- депозиты предприятий и населения составили 33,44 млрд. сомов, прирост с начала года - на 4,0%;</w:t>
      </w:r>
    </w:p>
    <w:p>
      <w:pPr>
        <w:spacing w:after="120"/>
        <w:jc w:val="both"/>
      </w:pPr>
      <w:r>
        <w:rPr>
          <w:rFonts w:ascii="Arial" w:cs="Arial" w:eastAsia="Arial" w:hAnsi="Arial"/>
          <w:sz w:val="24"/>
          <w:szCs w:val="24"/>
        </w:rPr>
        <w:t xml:space="preserve">- депозиты банков и других ФКУ составили 3,51 млрд. сомов, прирост с начала года - на 4,0%;</w:t>
      </w:r>
    </w:p>
    <w:p>
      <w:pPr>
        <w:spacing w:after="120"/>
        <w:jc w:val="both"/>
      </w:pPr>
      <w:r>
        <w:rPr>
          <w:rFonts w:ascii="Arial" w:cs="Arial" w:eastAsia="Arial" w:hAnsi="Arial"/>
          <w:sz w:val="24"/>
          <w:szCs w:val="24"/>
        </w:rPr>
        <w:t xml:space="preserve">- депозиты органов власти составили 4,68 млрд. сомов, снизившись с начала года - на 1,7%.</w:t>
      </w:r>
    </w:p>
    <w:p>
      <w:pPr>
        <w:spacing w:after="120"/>
        <w:jc w:val="both"/>
      </w:pPr>
      <w:r>
        <w:rPr>
          <w:rFonts w:ascii="Arial" w:cs="Arial" w:eastAsia="Arial" w:hAnsi="Arial"/>
          <w:sz w:val="24"/>
          <w:szCs w:val="24"/>
        </w:rPr>
        <w:t xml:space="preserve">Общий объем депозитной базы(6) в кредитных союзах по сравнению с итогом 2010 г.(7), увеличился на 486,2 тыс. сомов или на 1,4% и на конец периода составил 35461,5 тыс. сомов (за 2010 год объем депозитов составил 34975,30 тыс. сомов).</w:t>
      </w:r>
    </w:p>
    <w:p>
      <w:pPr>
        <w:spacing w:after="120"/>
        <w:jc w:val="both"/>
      </w:pPr>
      <w:r>
        <w:rPr>
          <w:rFonts w:ascii="Arial" w:cs="Arial" w:eastAsia="Arial" w:hAnsi="Arial"/>
          <w:sz w:val="24"/>
          <w:szCs w:val="24"/>
        </w:rPr>
        <w:t xml:space="preserve">С начала года в целом по банковской системе отмечается прирост по депозитам юридических лиц - на 3,2%; физических лиц - на 4,7%, что отражает сохранение доверия к банковской системе в целом со стороны домохозяйств/населения страны.</w:t>
      </w:r>
    </w:p>
    <w:p>
      <w:pPr>
        <w:spacing w:after="120"/>
        <w:jc w:val="both"/>
      </w:pPr>
      <w:r>
        <w:rPr>
          <w:rFonts w:ascii="Arial" w:cs="Arial" w:eastAsia="Arial" w:hAnsi="Arial"/>
          <w:sz w:val="24"/>
          <w:szCs w:val="24"/>
        </w:rPr>
        <w:t xml:space="preserve">Уровень "долларизации" депозитов физических и юридических лиц банковской системы в целом, по состоянию на 29 февраля 2012 года, составил 53,6% (снижение с начала года на 0,6 процентных пункта).</w:t>
      </w:r>
    </w:p>
    <w:p>
      <w:pPr>
        <w:spacing w:after="120"/>
        <w:jc w:val="both"/>
      </w:pPr>
      <w:r>
        <w:rPr>
          <w:rFonts w:ascii="Arial" w:cs="Arial" w:eastAsia="Arial" w:hAnsi="Arial"/>
          <w:sz w:val="24"/>
          <w:szCs w:val="24"/>
        </w:rPr>
        <w:t xml:space="preserve">Объем кредитов клиентам (остатков задолженности по кредитам) банковской системы в целом, по состоянию на 29 февраля 2012 года, составил 31,42 млрд. сомов, увеличившись с начала года на 0,9% (на конец 2011 года - 31,14 млрд. сомов).</w:t>
      </w:r>
    </w:p>
    <w:p>
      <w:pPr>
        <w:spacing w:after="120"/>
        <w:jc w:val="both"/>
      </w:pPr>
      <w:r>
        <w:rPr>
          <w:rFonts w:ascii="Arial" w:cs="Arial" w:eastAsia="Arial" w:hAnsi="Arial"/>
          <w:sz w:val="24"/>
          <w:szCs w:val="24"/>
        </w:rPr>
        <w:t xml:space="preserve">В кредитном портфеле банковской системы в целом доля классифицированных кредитов, по состоянию на 29 февраля 2012 года, составила 10,4% или 3,27 млрд. сомов (на конец 2011 года - 10,2% или 3,17 млрд. сомов). Кроме этого, в феврале 2012 года отмечается продолжение роста просроченных кредитов - с 2,42 млрд. сомов на начало года до 3,15 млрд. сомов или на 30,1%.</w:t>
      </w:r>
    </w:p>
    <w:p>
      <w:pPr>
        <w:spacing w:after="120"/>
        <w:jc w:val="both"/>
      </w:pPr>
      <w:r>
        <w:rPr>
          <w:rFonts w:ascii="Arial" w:cs="Arial" w:eastAsia="Arial" w:hAnsi="Arial"/>
          <w:sz w:val="24"/>
          <w:szCs w:val="24"/>
        </w:rPr>
        <w:t xml:space="preserve">Уровень "долларизации" кредитов клиентов банковской системы в целом по состоянию на 29 февраля 2012 года, составил 55,9%, увеличившись с начала года на 0,7 процентных пункта.</w:t>
      </w:r>
    </w:p>
    <w:p>
      <w:pPr>
        <w:spacing w:after="120"/>
        <w:jc w:val="both"/>
      </w:pPr>
      <w:r>
        <w:rPr>
          <w:rFonts w:ascii="Arial" w:cs="Arial" w:eastAsia="Arial" w:hAnsi="Arial"/>
          <w:sz w:val="24"/>
          <w:szCs w:val="24"/>
        </w:rPr>
        <w:t xml:space="preserve">Кредитный портфель небанковских финансово-кредитных учреждений составил 15,7 млрд. сомов и по сравнению с итогами 2010 года(8) (кредитный портфель на 31.12.2010 г. - 11,1 млрд. сомов) увеличился на 4,6 млрд. сомов или на 42%.</w:t>
      </w:r>
    </w:p>
    <w:p>
      <w:pPr>
        <w:spacing w:after="120"/>
        <w:jc w:val="both"/>
      </w:pPr>
      <w:r>
        <w:rPr>
          <w:rFonts w:ascii="Arial" w:cs="Arial" w:eastAsia="Arial" w:hAnsi="Arial"/>
          <w:sz w:val="24"/>
          <w:szCs w:val="24"/>
        </w:rPr>
        <w:t xml:space="preserve">Средневзвешенная процентная ставка по кредитам НФКУ за 2011 год составляла: по кредитам Финансовой компании по поддержке кредитных союзов (ФКПРКС) - 15,8%, по кредитам микрофинансовых организаций (МФО) 38,3% и кредитам кредитных союзов (КС) - 29,0%. Средневзвешенная процентная ставка за 2010 год соответственно составляла: ФКПРКС - 15,5%, МФО - 38,8% и КС - 30,7%.</w:t>
      </w:r>
    </w:p>
    <w:p>
      <w:pPr>
        <w:spacing w:after="120"/>
        <w:jc w:val="both"/>
      </w:pPr>
      <w:r>
        <w:rPr>
          <w:rFonts w:ascii="Arial" w:cs="Arial" w:eastAsia="Arial" w:hAnsi="Arial"/>
          <w:sz w:val="24"/>
          <w:szCs w:val="24"/>
        </w:rPr>
        <w:t xml:space="preserve">Показатель чистого суммарного капитала (ЧСК) банковской системы в целом, применяемый для расчета установленных НБКР экономических нормативов, на 29 февраля 2012 года составил 13,80 млрд. сомов, увеличившись с начала года на 0,4 млрд. сомов или на 2,8% (на конец 2011 года ЧСК составлял 13,43 млрд. сомов).</w:t>
      </w:r>
    </w:p>
    <w:p>
      <w:pPr>
        <w:spacing w:after="120"/>
        <w:jc w:val="both"/>
      </w:pPr>
      <w:r>
        <w:rPr>
          <w:rFonts w:ascii="Arial" w:cs="Arial" w:eastAsia="Arial" w:hAnsi="Arial"/>
          <w:sz w:val="24"/>
          <w:szCs w:val="24"/>
        </w:rPr>
        <w:t xml:space="preserve">По состоянию на 29 февраля 2012 года, общий показатель достаточности чистого суммарного капитала по банковской системе составил 30,8% (на конец 2011 года - 30,3%) при нормативе 12%.</w:t>
      </w:r>
    </w:p>
    <w:p>
      <w:pPr>
        <w:spacing w:after="120"/>
        <w:jc w:val="both"/>
      </w:pPr>
      <w:r>
        <w:rPr>
          <w:rFonts w:ascii="Arial" w:cs="Arial" w:eastAsia="Arial" w:hAnsi="Arial"/>
          <w:sz w:val="24"/>
          <w:szCs w:val="24"/>
        </w:rPr>
        <w:t xml:space="preserve">Формирование чистой прибыли банковской системы сопровождалось следующим: суммарные доходы коммерческих банков к 29 февраля 2012 года составили 3,56 млрд. сомов, суммарные расходы - 1,38 млрд. сомов. При этом, в суммарных доходах(9) процентные доходы составили 31,6%, и непроцентные - 68,4% (в аналогичном периоде 2011 года это соотношение составляло 72,1% и 27,9%, соответственно). Такое радикальное изменение структуры суммарных доходов произошло в связи с тем, что значительно (более чем в 19 раз) выросли доходы от операций с инвалютой (у ОАО "Казкоммерцбанк-Кыргызстан" - 58,4% всего прироста в банковской системе и ЗАО "Демир КИБ" - 18,0%). В суммарных расходах наибольшую долю составили административные и операционные расходы (62,9%), а также процентные расходы (26,7%). Непроцентные расходы в суммарных расходах банковской системы составили 2,9%. Удельный вес расходов на РППУ и налога на прибыль в структуре суммарных расходов составили 4,7% и 2,8%, соответственно.</w:t>
      </w:r>
    </w:p>
    <w:p>
      <w:pPr>
        <w:spacing w:after="120"/>
        <w:jc w:val="both"/>
      </w:pPr>
      <w:r>
        <w:rPr>
          <w:rFonts w:ascii="Arial" w:cs="Arial" w:eastAsia="Arial" w:hAnsi="Arial"/>
          <w:sz w:val="24"/>
          <w:szCs w:val="24"/>
        </w:rPr>
        <w:t xml:space="preserve">По сравнению с аналогичным периодом 2011 года отмечается увеличение доходов на 26,8% и расходов - на 20,7%. Увеличение расходов в целом связано с увеличением административных и операционных расходов на 12,5%.</w:t>
      </w:r>
    </w:p>
    <w:p>
      <w:pPr>
        <w:spacing w:after="120"/>
        <w:jc w:val="both"/>
      </w:pPr>
      <w:r>
        <w:rPr>
          <w:rFonts w:ascii="Arial" w:cs="Arial" w:eastAsia="Arial" w:hAnsi="Arial"/>
          <w:sz w:val="24"/>
          <w:szCs w:val="24"/>
        </w:rPr>
        <w:t xml:space="preserve">Доходность активов банковской системы (ROA), по состоянию на 29 февраля 2012 года, составила 2,7%, а доходность на вложенный капитал (ROE) - 14,0%.</w:t>
      </w:r>
    </w:p>
    <w:p>
      <w:pPr>
        <w:spacing w:after="120"/>
        <w:jc w:val="both"/>
      </w:pPr>
      <w:r>
        <w:rPr>
          <w:rFonts w:ascii="Arial" w:cs="Arial" w:eastAsia="Arial" w:hAnsi="Arial"/>
          <w:sz w:val="24"/>
          <w:szCs w:val="24"/>
        </w:rPr>
        <w:t xml:space="preserve">По состоянию на 29 февраля 2012 года, общий уровень финансового посредничества (активы/ВВП) составил 25,0% (на начало 2012 года 24,4%).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Развитие реального сектора</w:t>
      </w:r>
    </w:p>
    <w:p>
      <w:pPr>
        <w:spacing w:after="120"/>
        <w:jc w:val="both"/>
      </w:pPr>
      <w:r>
        <w:rPr>
          <w:rFonts w:ascii="Arial" w:cs="Arial" w:eastAsia="Arial" w:hAnsi="Arial"/>
          <w:sz w:val="24"/>
          <w:szCs w:val="24"/>
        </w:rPr>
        <w:t xml:space="preserve">2.1. Промышленность(10)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январь-март 2012 года промышленными предприятиями произведено продукции на сумму 28,2 млрд. сомов, где объем производства по сравнению с соответствующим периодом 2011 года снизился и составил 72,3%. Без учета предприятий по разработке месторождения "Кумтор" - 17,6 млрд. сомов, или реальный рост составил 117,2%.</w:t>
      </w:r>
    </w:p>
    <w:p>
      <w:pPr>
        <w:spacing w:after="120"/>
        <w:jc w:val="both"/>
      </w:pPr>
      <w:r>
        <w:rPr>
          <w:rFonts w:ascii="Arial" w:cs="Arial" w:eastAsia="Arial" w:hAnsi="Arial"/>
          <w:sz w:val="24"/>
          <w:szCs w:val="24"/>
        </w:rPr>
        <w:t xml:space="preserve">Отрицательный вклад в формирование ВВП со стороны промышленного производства является весомым и оценивается на уровне (-) 8,6 процентных пункта включая предприятия по разработке месторождения "Кумтор" (отрицательный вклад (-) 10,5 процентных пункта). Удельный вес промышленности в структуре производства ВВП составил 19,7%, снизившись на 9,5 процентных пункта по сравнению с соответствующим периодом 2011 года.</w:t>
      </w:r>
    </w:p>
    <w:p>
      <w:pPr>
        <w:spacing w:after="120"/>
        <w:jc w:val="both"/>
      </w:pPr>
      <w:r>
        <w:rPr>
          <w:rFonts w:ascii="Arial" w:cs="Arial" w:eastAsia="Arial" w:hAnsi="Arial"/>
          <w:sz w:val="24"/>
          <w:szCs w:val="24"/>
        </w:rPr>
        <w:t xml:space="preserve">Рост физического объема промышленной продукции достигнут во всех регионах республики, за исключением Иссык-Кульской области. Реальный рост объема промышленной продукции в январе-марте 2012 года обеспечен хозяйствующими субъектами Джалал-Абадской (113,7%), Нарынской (115,2%), Таласской (132,5%) областей и гг. Бишкек (117,8%) и Ош (136,4%). Основной вклад в объем промышленного производства традиционно внесен Иссык-Кульской (19,8%), Чуйской (35,1%), Джалал-Абадской (12,1%) областями и г.Бишкек (23,8%), доля которых по итогам за январь-март 2012 года составила 90,8%. В Иссык-Кульской области объем производства промышленной продукции снизился и составил 38,8%, за счет падения производства на предприятиях по разработке месторождения "Кумтор", удельный вес которого в промышленности республики продолжает оставаться высоким, составив 37,5%.</w:t>
      </w:r>
    </w:p>
    <w:p>
      <w:pPr>
        <w:spacing w:after="120"/>
        <w:jc w:val="both"/>
      </w:pPr>
      <w:r>
        <w:rPr>
          <w:rFonts w:ascii="Arial" w:cs="Arial" w:eastAsia="Arial" w:hAnsi="Arial"/>
          <w:sz w:val="24"/>
          <w:szCs w:val="24"/>
        </w:rPr>
        <w:t xml:space="preserve">Поэтому, по-прежнему влияние "Кумтора" на развитие промышленного производства велико.</w:t>
      </w:r>
    </w:p>
    <w:p>
      <w:pPr>
        <w:spacing w:after="120"/>
        <w:jc w:val="both"/>
      </w:pPr>
      <w:r>
        <w:rPr>
          <w:rFonts w:ascii="Arial" w:cs="Arial" w:eastAsia="Arial" w:hAnsi="Arial"/>
          <w:sz w:val="24"/>
          <w:szCs w:val="24"/>
        </w:rPr>
        <w:t xml:space="preserve">В основных секторах промышленности в январе-марте 2012 года ситуация сложилась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Уд.  │Январь-│Январь-│Откл.│Прогнозные│ Откл.│</w:t>
      </w:r>
    </w:p>
    <w:p>
      <w:pPr>
        <w:spacing w:after="120"/>
        <w:jc w:val="center"/>
      </w:pPr>
      <w:r>
        <w:rPr>
          <w:rFonts w:ascii="Arial" w:cs="Arial" w:eastAsia="Arial" w:hAnsi="Arial"/>
          <w:sz w:val="24"/>
          <w:szCs w:val="24"/>
        </w:rPr>
        <w:t xml:space="preserve">│                     │ вес в │ март  │ март  │ от  │показатели│  от  │</w:t>
      </w:r>
    </w:p>
    <w:p>
      <w:pPr>
        <w:spacing w:after="120"/>
        <w:jc w:val="center"/>
      </w:pPr>
      <w:r>
        <w:rPr>
          <w:rFonts w:ascii="Arial" w:cs="Arial" w:eastAsia="Arial" w:hAnsi="Arial"/>
          <w:sz w:val="24"/>
          <w:szCs w:val="24"/>
        </w:rPr>
        <w:t xml:space="preserve">│                     │ общем │2012 г.│2011 г.│факт.│на январь-│прогн.│</w:t>
      </w:r>
    </w:p>
    <w:p>
      <w:pPr>
        <w:spacing w:after="120"/>
        <w:jc w:val="center"/>
      </w:pPr>
      <w:r>
        <w:rPr>
          <w:rFonts w:ascii="Arial" w:cs="Arial" w:eastAsia="Arial" w:hAnsi="Arial"/>
          <w:sz w:val="24"/>
          <w:szCs w:val="24"/>
        </w:rPr>
        <w:t xml:space="preserve">│                     │объеме │ пред. │ факт. │(+,-)│   март   │ (+,-)│</w:t>
      </w:r>
    </w:p>
    <w:p>
      <w:pPr>
        <w:spacing w:after="120"/>
        <w:jc w:val="center"/>
      </w:pPr>
      <w:r>
        <w:rPr>
          <w:rFonts w:ascii="Arial" w:cs="Arial" w:eastAsia="Arial" w:hAnsi="Arial"/>
          <w:sz w:val="24"/>
          <w:szCs w:val="24"/>
        </w:rPr>
        <w:t xml:space="preserve">│                     │ пром.,│ факт. │       │     │  2012 г. │      │</w:t>
      </w:r>
    </w:p>
    <w:p>
      <w:pPr>
        <w:spacing w:after="120"/>
        <w:jc w:val="center"/>
      </w:pPr>
      <w:r>
        <w:rPr>
          <w:rFonts w:ascii="Arial" w:cs="Arial" w:eastAsia="Arial" w:hAnsi="Arial"/>
          <w:sz w:val="24"/>
          <w:szCs w:val="24"/>
        </w:rPr>
        <w:t xml:space="preserve">│                     │январь-│       │       │     │          │      │</w:t>
      </w:r>
    </w:p>
    <w:p>
      <w:pPr>
        <w:spacing w:after="120"/>
        <w:jc w:val="center"/>
      </w:pPr>
      <w:r>
        <w:rPr>
          <w:rFonts w:ascii="Arial" w:cs="Arial" w:eastAsia="Arial" w:hAnsi="Arial"/>
          <w:sz w:val="24"/>
          <w:szCs w:val="24"/>
        </w:rPr>
        <w:t xml:space="preserve">│                     │ март  │       │       │     │          │      │</w:t>
      </w:r>
    </w:p>
    <w:p>
      <w:pPr>
        <w:spacing w:after="120"/>
        <w:jc w:val="center"/>
      </w:pPr>
      <w:r>
        <w:rPr>
          <w:rFonts w:ascii="Arial" w:cs="Arial" w:eastAsia="Arial" w:hAnsi="Arial"/>
          <w:sz w:val="24"/>
          <w:szCs w:val="24"/>
        </w:rPr>
        <w:t xml:space="preserve">│                     │2012 г.│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│Промышленность, всего│ 100,0 │  72,3 │ 101,4 │-29,1│    72,4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без учета│  62,5 │ 117,2 │ 111,9 │  5,3│   118,2  │ -1,0 │</w:t>
      </w:r>
    </w:p>
    <w:p>
      <w:pPr>
        <w:spacing w:after="120"/>
        <w:jc w:val="center"/>
      </w:pPr>
      <w:r>
        <w:rPr>
          <w:rFonts w:ascii="Arial" w:cs="Arial" w:eastAsia="Arial" w:hAnsi="Arial"/>
          <w:sz w:val="24"/>
          <w:szCs w:val="24"/>
        </w:rPr>
        <w:t xml:space="preserve">│предприятий по       │       │       │       │     │          │      │</w:t>
      </w:r>
    </w:p>
    <w:p>
      <w:pPr>
        <w:spacing w:after="120"/>
        <w:jc w:val="center"/>
      </w:pPr>
      <w:r>
        <w:rPr>
          <w:rFonts w:ascii="Arial" w:cs="Arial" w:eastAsia="Arial" w:hAnsi="Arial"/>
          <w:sz w:val="24"/>
          <w:szCs w:val="24"/>
        </w:rPr>
        <w:t xml:space="preserve">│разработке           │       │       │       │     │          │      │</w:t>
      </w:r>
    </w:p>
    <w:p>
      <w:pPr>
        <w:spacing w:after="120"/>
        <w:jc w:val="center"/>
      </w:pPr>
      <w:r>
        <w:rPr>
          <w:rFonts w:ascii="Arial" w:cs="Arial" w:eastAsia="Arial" w:hAnsi="Arial"/>
          <w:sz w:val="24"/>
          <w:szCs w:val="24"/>
        </w:rPr>
        <w:t xml:space="preserve">│месторождения        │       │       │       │     │          │      │</w:t>
      </w:r>
    </w:p>
    <w:p>
      <w:pPr>
        <w:spacing w:after="120"/>
        <w:jc w:val="center"/>
      </w:pPr>
      <w:r>
        <w:rPr>
          <w:rFonts w:ascii="Arial" w:cs="Arial" w:eastAsia="Arial" w:hAnsi="Arial"/>
          <w:sz w:val="24"/>
          <w:szCs w:val="24"/>
        </w:rPr>
        <w:t xml:space="preserve">│"Кумтор"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│Предприятия по       │  37,5 │  34,2 │  92,6 │-58,4│    40,3  │ -6,1 │</w:t>
      </w:r>
    </w:p>
    <w:p>
      <w:pPr>
        <w:spacing w:after="120"/>
        <w:jc w:val="center"/>
      </w:pPr>
      <w:r>
        <w:rPr>
          <w:rFonts w:ascii="Arial" w:cs="Arial" w:eastAsia="Arial" w:hAnsi="Arial"/>
          <w:sz w:val="24"/>
          <w:szCs w:val="24"/>
        </w:rPr>
        <w:t xml:space="preserve">│разработке           │       │       │       │     │          │      │</w:t>
      </w:r>
    </w:p>
    <w:p>
      <w:pPr>
        <w:spacing w:after="120"/>
        <w:jc w:val="center"/>
      </w:pPr>
      <w:r>
        <w:rPr>
          <w:rFonts w:ascii="Arial" w:cs="Arial" w:eastAsia="Arial" w:hAnsi="Arial"/>
          <w:sz w:val="24"/>
          <w:szCs w:val="24"/>
        </w:rPr>
        <w:t xml:space="preserve">│месторождения        │       │       │       │     │          │      │</w:t>
      </w:r>
    </w:p>
    <w:p>
      <w:pPr>
        <w:spacing w:after="120"/>
        <w:jc w:val="center"/>
      </w:pPr>
      <w:r>
        <w:rPr>
          <w:rFonts w:ascii="Arial" w:cs="Arial" w:eastAsia="Arial" w:hAnsi="Arial"/>
          <w:sz w:val="24"/>
          <w:szCs w:val="24"/>
        </w:rPr>
        <w:t xml:space="preserve">│"Кумтор"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│Обрабатывающая       │  66,9 │  57,3 │  95,7 │-38,4│    62,7  │ -5,4 │</w:t>
      </w:r>
    </w:p>
    <w:p>
      <w:pPr>
        <w:spacing w:after="120"/>
        <w:jc w:val="center"/>
      </w:pPr>
      <w:r>
        <w:rPr>
          <w:rFonts w:ascii="Arial" w:cs="Arial" w:eastAsia="Arial" w:hAnsi="Arial"/>
          <w:sz w:val="24"/>
          <w:szCs w:val="24"/>
        </w:rPr>
        <w:t xml:space="preserve">│промышленность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│Производство и       │  30,4 │ 124,0 │ 127,7 │ -3,7│   119,7  │  4,3 │</w:t>
      </w:r>
    </w:p>
    <w:p>
      <w:pPr>
        <w:spacing w:after="120"/>
        <w:jc w:val="center"/>
      </w:pPr>
      <w:r>
        <w:rPr>
          <w:rFonts w:ascii="Arial" w:cs="Arial" w:eastAsia="Arial" w:hAnsi="Arial"/>
          <w:sz w:val="24"/>
          <w:szCs w:val="24"/>
        </w:rPr>
        <w:t xml:space="preserve">│распределение        │       │       │       │     │          │      │</w:t>
      </w:r>
    </w:p>
    <w:p>
      <w:pPr>
        <w:spacing w:after="120"/>
        <w:jc w:val="center"/>
      </w:pPr>
      <w:r>
        <w:rPr>
          <w:rFonts w:ascii="Arial" w:cs="Arial" w:eastAsia="Arial" w:hAnsi="Arial"/>
          <w:sz w:val="24"/>
          <w:szCs w:val="24"/>
        </w:rPr>
        <w:t xml:space="preserve">│электроэнергии, газа │       │       │       │     │          │      │</w:t>
      </w:r>
    </w:p>
    <w:p>
      <w:pPr>
        <w:spacing w:after="120"/>
        <w:jc w:val="center"/>
      </w:pPr>
      <w:r>
        <w:rPr>
          <w:rFonts w:ascii="Arial" w:cs="Arial" w:eastAsia="Arial" w:hAnsi="Arial"/>
          <w:sz w:val="24"/>
          <w:szCs w:val="24"/>
        </w:rPr>
        <w:t xml:space="preserve">│и воды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│Горнодобывающая      │   2,7 │  96,3 │ 126,6 │-30,3│   103,2  │ -6,9 │</w:t>
      </w:r>
    </w:p>
    <w:p>
      <w:pPr>
        <w:spacing w:after="120"/>
        <w:jc w:val="center"/>
      </w:pPr>
      <w:r>
        <w:rPr>
          <w:rFonts w:ascii="Arial" w:cs="Arial" w:eastAsia="Arial" w:hAnsi="Arial"/>
          <w:sz w:val="24"/>
          <w:szCs w:val="24"/>
        </w:rPr>
        <w:t xml:space="preserve">│промышленность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Фактический объем производства промышленности не достиг прогнозируемого уровня на январь-март 2012 г. на 0,1% (см. табл. 4).</w:t>
      </w:r>
    </w:p>
    <w:p>
      <w:pPr>
        <w:spacing w:after="120"/>
        <w:jc w:val="both"/>
      </w:pPr>
      <w:r>
        <w:rPr>
          <w:rFonts w:ascii="Arial" w:cs="Arial" w:eastAsia="Arial" w:hAnsi="Arial"/>
          <w:sz w:val="24"/>
          <w:szCs w:val="24"/>
        </w:rPr>
        <w:t xml:space="preserve">Значительное снижение объемов производства промышленной продукции по сравнению с соответствующим периодом 2011 года обусловлено сокращением объемов производства в обрабатывающей промышленности.</w:t>
      </w:r>
    </w:p>
    <w:p>
      <w:pPr>
        <w:spacing w:after="120"/>
        <w:jc w:val="both"/>
      </w:pPr>
      <w:r>
        <w:rPr>
          <w:rFonts w:ascii="Arial" w:cs="Arial" w:eastAsia="Arial" w:hAnsi="Arial"/>
          <w:sz w:val="24"/>
          <w:szCs w:val="24"/>
        </w:rPr>
        <w:t xml:space="preserve">(1) В обрабатывающей промышленности, с самым высоким удельным весом (66,9%) в производстве промышленной продукции основными отраслями, оказавшими негативное влияние на сокращение объема производства стали:</w:t>
      </w:r>
    </w:p>
    <w:p>
      <w:pPr>
        <w:spacing w:after="120"/>
        <w:jc w:val="both"/>
      </w:pPr>
      <w:r>
        <w:rPr>
          <w:rFonts w:ascii="Arial" w:cs="Arial" w:eastAsia="Arial" w:hAnsi="Arial"/>
          <w:sz w:val="24"/>
          <w:szCs w:val="24"/>
        </w:rPr>
        <w:t xml:space="preserve">- металлургическое производство (сокращение на 61,4%);</w:t>
      </w:r>
    </w:p>
    <w:p>
      <w:pPr>
        <w:spacing w:after="120"/>
        <w:jc w:val="both"/>
      </w:pPr>
      <w:r>
        <w:rPr>
          <w:rFonts w:ascii="Arial" w:cs="Arial" w:eastAsia="Arial" w:hAnsi="Arial"/>
          <w:sz w:val="24"/>
          <w:szCs w:val="24"/>
        </w:rPr>
        <w:t xml:space="preserve">- производство прочих неметаллических минеральных продуктов (сокращение на 13,3%).</w:t>
      </w:r>
    </w:p>
    <w:p>
      <w:pPr>
        <w:spacing w:after="120"/>
        <w:jc w:val="both"/>
      </w:pPr>
      <w:r>
        <w:rPr>
          <w:rFonts w:ascii="Arial" w:cs="Arial" w:eastAsia="Arial" w:hAnsi="Arial"/>
          <w:sz w:val="24"/>
          <w:szCs w:val="24"/>
        </w:rPr>
        <w:t xml:space="preserve">Основными причинами, повлиявшими на снижение объемов металлургического производства, которое занимает наибольший удельный вес в общем объеме промышленности (38,9%), стали:</w:t>
      </w:r>
    </w:p>
    <w:p>
      <w:pPr>
        <w:spacing w:after="120"/>
        <w:jc w:val="both"/>
      </w:pPr>
      <w:r>
        <w:rPr>
          <w:rFonts w:ascii="Arial" w:cs="Arial" w:eastAsia="Arial" w:hAnsi="Arial"/>
          <w:sz w:val="24"/>
          <w:szCs w:val="24"/>
        </w:rPr>
        <w:t xml:space="preserve">- усиление движения льда и пустой породы в юго-восточной части карьера на месторождении "Кумтор", что привело к задержке запланированного доступа к участку с высоким содержанием золота - зоне SB, где добыча значительно снизилась, составив 45,4% по сравнению с соответствующим периодом 2011 года;</w:t>
      </w:r>
    </w:p>
    <w:p>
      <w:pPr>
        <w:spacing w:after="120"/>
        <w:jc w:val="both"/>
      </w:pPr>
      <w:r>
        <w:rPr>
          <w:rFonts w:ascii="Arial" w:cs="Arial" w:eastAsia="Arial" w:hAnsi="Arial"/>
          <w:sz w:val="24"/>
          <w:szCs w:val="24"/>
        </w:rPr>
        <w:t xml:space="preserve">- отставание горно-подготовительных работ прошлых лет и низкое содержание металла в перерабатываемой руде на месторождении "Макмал";</w:t>
      </w:r>
    </w:p>
    <w:p>
      <w:pPr>
        <w:spacing w:after="120"/>
        <w:jc w:val="both"/>
      </w:pPr>
      <w:r>
        <w:rPr>
          <w:rFonts w:ascii="Arial" w:cs="Arial" w:eastAsia="Arial" w:hAnsi="Arial"/>
          <w:sz w:val="24"/>
          <w:szCs w:val="24"/>
        </w:rPr>
        <w:t xml:space="preserve">- тяжелые горногеологические условия на подземном участке месторождения "Терек", просачивание воды из выработок кровли, самообрушение и заваливание горных выработок;</w:t>
      </w:r>
    </w:p>
    <w:p>
      <w:pPr>
        <w:spacing w:after="120"/>
        <w:jc w:val="both"/>
      </w:pPr>
      <w:r>
        <w:rPr>
          <w:rFonts w:ascii="Arial" w:cs="Arial" w:eastAsia="Arial" w:hAnsi="Arial"/>
          <w:sz w:val="24"/>
          <w:szCs w:val="24"/>
        </w:rPr>
        <w:t xml:space="preserve">- физический износ оборудования, необходимость капитального ремонта и обновления горной техники и автосамосвалов КрАЗ на руднике "Солтон-Сары".</w:t>
      </w:r>
    </w:p>
    <w:p>
      <w:pPr>
        <w:spacing w:after="120"/>
        <w:jc w:val="both"/>
      </w:pPr>
      <w:r>
        <w:rPr>
          <w:rFonts w:ascii="Arial" w:cs="Arial" w:eastAsia="Arial" w:hAnsi="Arial"/>
          <w:sz w:val="24"/>
          <w:szCs w:val="24"/>
        </w:rPr>
        <w:t xml:space="preserve">В отрасли строительных материалов (удельный вес - 2,8%) сокращение производства на 13,3% произошло за счет уменьшения заказов на строительные материалы со стороны строительного комплекса и населения, исходя из их реальной потребности, которая охарактеризована сезонной составляющей. Производство цемента снижено на 31,3 тыс. тонн, составив 73,2% по сравнению с соответствующим периодом 2011 года, асбестоцементных изделий - на 303,4 тыс. листов (35,9%).</w:t>
      </w:r>
    </w:p>
    <w:p>
      <w:pPr>
        <w:spacing w:after="120"/>
        <w:jc w:val="both"/>
      </w:pPr>
      <w:r>
        <w:rPr>
          <w:rFonts w:ascii="Arial" w:cs="Arial" w:eastAsia="Arial" w:hAnsi="Arial"/>
          <w:sz w:val="24"/>
          <w:szCs w:val="24"/>
        </w:rPr>
        <w:t xml:space="preserve">К числу факторов, положительно повлиявших на результаты работы предприятий обрабатывающей промышленности, необходимо отнести устойчивую работу предприятий текстильного и швейного производств (удельный вес в общем объеме промышленности - 4,1%), выпускаемая которыми продукция выросла в реальном выражении на 37,6%. Наибольший удельный вес в текстильно-швейном производстве занимает швейное производство - 76,2%, где в январе-марте т.г. производство увеличилось в 1,4 раза за счет роста производства белья нижнего, трикотажного, машинного или ручного вязания - в 15,7 раза, свитеров, джемперов, пуловеров, кардиганов, жилетов и аналогичных изделий, трикотажных, машинного или ручного вязания - в 1,6 раза.</w:t>
      </w:r>
    </w:p>
    <w:p>
      <w:pPr>
        <w:spacing w:after="120"/>
        <w:jc w:val="both"/>
      </w:pPr>
      <w:r>
        <w:rPr>
          <w:rFonts w:ascii="Arial" w:cs="Arial" w:eastAsia="Arial" w:hAnsi="Arial"/>
          <w:sz w:val="24"/>
          <w:szCs w:val="24"/>
        </w:rPr>
        <w:t xml:space="preserve">Наблюдается реальный рост выпуска продукции в производстве пищевых продуктов, включая напитки и табак (удельный вес - 12,5%), - на 3,0% за счет роста выпуска сахара - в 4,4 раза, этилового спирта - в 2,8 раза, сыра всех видов - в 1,6 раза, свежего хлеба - на 2,6%.</w:t>
      </w:r>
    </w:p>
    <w:p>
      <w:pPr>
        <w:spacing w:after="120"/>
        <w:jc w:val="both"/>
      </w:pPr>
      <w:r>
        <w:rPr>
          <w:rFonts w:ascii="Arial" w:cs="Arial" w:eastAsia="Arial" w:hAnsi="Arial"/>
          <w:sz w:val="24"/>
          <w:szCs w:val="24"/>
        </w:rPr>
        <w:t xml:space="preserve">В химическом производстве увеличены объемы производства на 27,7% за счет роста производства краски и лаков на основе полимеров - на 12,2% и диоксида углерода - в 1,6 раза. Увеличение объемов производства в данной отрасли связано с возобновлением производства монокристаллического кремния с приходом новых инвесторов на ОАО "Кыргызский химико-металлургический завод", простаивающее с января 2009 года.</w:t>
      </w:r>
    </w:p>
    <w:p>
      <w:pPr>
        <w:spacing w:after="120"/>
        <w:jc w:val="both"/>
      </w:pPr>
      <w:r>
        <w:rPr>
          <w:rFonts w:ascii="Arial" w:cs="Arial" w:eastAsia="Arial" w:hAnsi="Arial"/>
          <w:sz w:val="24"/>
          <w:szCs w:val="24"/>
        </w:rPr>
        <w:t xml:space="preserve">Отмечается также рост объемов в производстве электрического, электронного и оптического оборудования на 4,5% за счет роста выпуска производства трансформаторов малой мощности - в 1,5 раза и ламп накаливания - на 6,0%, в производстве машин и оборудования - в 1,7 раза, резиновых и пластмассовых изделий - на 26,2%, кожи, изделий из кожи и производства обуви - на 27,3%.</w:t>
      </w:r>
    </w:p>
    <w:p>
      <w:pPr>
        <w:spacing w:after="120"/>
        <w:jc w:val="both"/>
      </w:pPr>
      <w:r>
        <w:rPr>
          <w:rFonts w:ascii="Arial" w:cs="Arial" w:eastAsia="Arial" w:hAnsi="Arial"/>
          <w:sz w:val="24"/>
          <w:szCs w:val="24"/>
        </w:rPr>
        <w:t xml:space="preserve">(2) В производстве и распределении электроэнергии, газа и воды (уд. вес 30,4%) по итогам за январь-март 2012 года объем продукции составил 8,6 млрд. сомов с реальным темпом роста на 24,0% за счет повышения выработки электроэнергии на 19,5%, услуг по передаче электроэнергии - на 47,8%.</w:t>
      </w:r>
    </w:p>
    <w:p>
      <w:pPr>
        <w:spacing w:after="120"/>
        <w:jc w:val="both"/>
      </w:pPr>
      <w:r>
        <w:rPr>
          <w:rFonts w:ascii="Arial" w:cs="Arial" w:eastAsia="Arial" w:hAnsi="Arial"/>
          <w:sz w:val="24"/>
          <w:szCs w:val="24"/>
        </w:rPr>
        <w:t xml:space="preserve">Выработка электроэнергии за январь-март 2012 г. составила 5643,2 млн. кВтч, что на 919,3 млн. кВтч больше по сравнению с соответствующим периодом 2011 года.</w:t>
      </w:r>
    </w:p>
    <w:p>
      <w:pPr>
        <w:spacing w:after="120"/>
        <w:jc w:val="both"/>
      </w:pPr>
      <w:r>
        <w:rPr>
          <w:rFonts w:ascii="Arial" w:cs="Arial" w:eastAsia="Arial" w:hAnsi="Arial"/>
          <w:sz w:val="24"/>
          <w:szCs w:val="24"/>
        </w:rPr>
        <w:t xml:space="preserve">Объем выработанной тепловой энергии за январь-март 2012 года составил 1539,6 тыс. Гкал, что на 93,2 тыс. Гкал (на 6,4%) больше по сравнению с соответствующим периодом 2011 года.</w:t>
      </w:r>
    </w:p>
    <w:p>
      <w:pPr>
        <w:spacing w:after="120"/>
        <w:jc w:val="both"/>
      </w:pPr>
      <w:r>
        <w:rPr>
          <w:rFonts w:ascii="Arial" w:cs="Arial" w:eastAsia="Arial" w:hAnsi="Arial"/>
          <w:sz w:val="24"/>
          <w:szCs w:val="24"/>
        </w:rPr>
        <w:t xml:space="preserve">Экспорт электроэнергии за январь-март 2012 года составил 237 млн. кВтч и вырос на 13% по сравнению с аналогичным периодом 2011 года, в т.ч. в Республику Казахстан - 0,07 млн. кВтч, в КНР - 0,2 млн. кВтч, в Республику Узбекистан - 236,8 млн. кВтч.</w:t>
      </w:r>
    </w:p>
    <w:p>
      <w:pPr>
        <w:spacing w:after="120"/>
        <w:jc w:val="both"/>
      </w:pPr>
      <w:r>
        <w:rPr>
          <w:rFonts w:ascii="Arial" w:cs="Arial" w:eastAsia="Arial" w:hAnsi="Arial"/>
          <w:sz w:val="24"/>
          <w:szCs w:val="24"/>
        </w:rPr>
        <w:t xml:space="preserve">Полезный отпуск электроэнергии ОАО "Электрические станции" за январь-март 2012 года составил 5,05 млрд. кВтч, что на 0,84 млрд. кВтч больше показателя 1 квартала 2011 года, в том числе:</w:t>
      </w:r>
    </w:p>
    <w:p>
      <w:pPr>
        <w:spacing w:after="120"/>
        <w:jc w:val="both"/>
      </w:pPr>
      <w:r>
        <w:rPr>
          <w:rFonts w:ascii="Arial" w:cs="Arial" w:eastAsia="Arial" w:hAnsi="Arial"/>
          <w:sz w:val="24"/>
          <w:szCs w:val="24"/>
        </w:rPr>
        <w:t xml:space="preserve">- экспорт - 0,23 млрд. кВтч;</w:t>
      </w:r>
    </w:p>
    <w:p>
      <w:pPr>
        <w:spacing w:after="120"/>
        <w:jc w:val="both"/>
      </w:pPr>
      <w:r>
        <w:rPr>
          <w:rFonts w:ascii="Arial" w:cs="Arial" w:eastAsia="Arial" w:hAnsi="Arial"/>
          <w:sz w:val="24"/>
          <w:szCs w:val="24"/>
        </w:rPr>
        <w:t xml:space="preserve">- собственным потребителям - 4,8 млрд. кВтч.</w:t>
      </w:r>
    </w:p>
    <w:p>
      <w:pPr>
        <w:spacing w:after="120"/>
        <w:jc w:val="both"/>
      </w:pPr>
      <w:r>
        <w:rPr>
          <w:rFonts w:ascii="Arial" w:cs="Arial" w:eastAsia="Arial" w:hAnsi="Arial"/>
          <w:sz w:val="24"/>
          <w:szCs w:val="24"/>
        </w:rPr>
        <w:t xml:space="preserve">Полезный отпуск теплоэнергии ОАО "Электрические станции" за январь-март 2012 года составил 1,064 млн. Гкал, что на 0,05 млрд. кВтч больше показателя 1 квартала 2011 года.</w:t>
      </w:r>
    </w:p>
    <w:p>
      <w:pPr>
        <w:spacing w:after="120"/>
        <w:jc w:val="both"/>
      </w:pPr>
      <w:r>
        <w:rPr>
          <w:rFonts w:ascii="Arial" w:cs="Arial" w:eastAsia="Arial" w:hAnsi="Arial"/>
          <w:sz w:val="24"/>
          <w:szCs w:val="24"/>
        </w:rPr>
        <w:t xml:space="preserve">Потери электроэнергии в сетях РЭК за I квартал 2012 года составили 1144 млн. кВтч или 25,2% от поступления, что меньше на 1,5% чем в 2011 году.</w:t>
      </w:r>
    </w:p>
    <w:p>
      <w:pPr>
        <w:spacing w:after="120"/>
        <w:jc w:val="both"/>
      </w:pPr>
      <w:r>
        <w:rPr>
          <w:rFonts w:ascii="Arial" w:cs="Arial" w:eastAsia="Arial" w:hAnsi="Arial"/>
          <w:sz w:val="24"/>
          <w:szCs w:val="24"/>
        </w:rPr>
        <w:t xml:space="preserve">За счет сокращения общих потерь электроэнергии товарная продукция увеличилась на 462 млн. сомов по сравнению с соответствующим периодом 2011 года и составила 2943 млн. сомов.</w:t>
      </w:r>
    </w:p>
    <w:p>
      <w:pPr>
        <w:spacing w:after="120"/>
        <w:jc w:val="both"/>
      </w:pPr>
      <w:r>
        <w:rPr>
          <w:rFonts w:ascii="Arial" w:cs="Arial" w:eastAsia="Arial" w:hAnsi="Arial"/>
          <w:sz w:val="24"/>
          <w:szCs w:val="24"/>
        </w:rPr>
        <w:t xml:space="preserve">Сбор платежей за электроэнергию составил 2537 млн. сомов, что на 575 млн. сомов больше, чем за I квартал 2011 года. По отношению к товарной продукции сбор платежей за указанный период составил 86%, что на 7% больше, чем за соответствующий период 2011 года.</w:t>
      </w:r>
    </w:p>
    <w:p>
      <w:pPr>
        <w:spacing w:after="120"/>
        <w:jc w:val="both"/>
      </w:pPr>
      <w:r>
        <w:rPr>
          <w:rFonts w:ascii="Arial" w:cs="Arial" w:eastAsia="Arial" w:hAnsi="Arial"/>
          <w:sz w:val="24"/>
          <w:szCs w:val="24"/>
        </w:rPr>
        <w:t xml:space="preserve">Дебиторская задолженность потребителей на 1 апреля 2012 года перед распределительными электрокомпаниями составляет 1624 млн. сомов и с начала года возросла на 359 млн. сомов или на 28,4%.</w:t>
      </w:r>
    </w:p>
    <w:p>
      <w:pPr>
        <w:spacing w:after="120"/>
        <w:jc w:val="both"/>
      </w:pPr>
      <w:r>
        <w:rPr>
          <w:rFonts w:ascii="Arial" w:cs="Arial" w:eastAsia="Arial" w:hAnsi="Arial"/>
          <w:sz w:val="24"/>
          <w:szCs w:val="24"/>
        </w:rPr>
        <w:t xml:space="preserve">Всего в Кыргызскую Республику в I квартале 2012 года поступило 120,3 млн. куб.м природного газа, что на 14,8 млн. куб.м (14,0%) больше соответствующего периода 2011 года. Основными поставщиками газа являлись АК "Узтрансгаз" - 33,3 млн. куб.м и АО "КазТрансГаз" - 86,0 млн. куб.м.</w:t>
      </w:r>
    </w:p>
    <w:p>
      <w:pPr>
        <w:spacing w:after="120"/>
        <w:jc w:val="both"/>
      </w:pPr>
      <w:r>
        <w:rPr>
          <w:rFonts w:ascii="Arial" w:cs="Arial" w:eastAsia="Arial" w:hAnsi="Arial"/>
          <w:sz w:val="24"/>
          <w:szCs w:val="24"/>
        </w:rPr>
        <w:t xml:space="preserve">Потери природного газа по сравнению с аналогичным периодом 2011 года снижены на 4,54 млн. куб.м и составили 10,0 млн. куб.м (8,3%) от объема поступившего газа.</w:t>
      </w:r>
    </w:p>
    <w:p>
      <w:pPr>
        <w:spacing w:after="120"/>
        <w:jc w:val="both"/>
      </w:pPr>
      <w:r>
        <w:rPr>
          <w:rFonts w:ascii="Arial" w:cs="Arial" w:eastAsia="Arial" w:hAnsi="Arial"/>
          <w:sz w:val="24"/>
          <w:szCs w:val="24"/>
        </w:rPr>
        <w:t xml:space="preserve">Сбор платежей за отпущенный природный газ составил 1337,4 млн. сомов и по сравнению с аналогичным периодам 2011 г. увеличился на 137,2 млн. сомов (11,4%) или 85,3% от товарной продукции.</w:t>
      </w:r>
    </w:p>
    <w:p>
      <w:pPr>
        <w:spacing w:after="120"/>
        <w:jc w:val="both"/>
      </w:pPr>
      <w:r>
        <w:rPr>
          <w:rFonts w:ascii="Arial" w:cs="Arial" w:eastAsia="Arial" w:hAnsi="Arial"/>
          <w:sz w:val="24"/>
          <w:szCs w:val="24"/>
        </w:rPr>
        <w:t xml:space="preserve">Дебиторская задолженность потребителей природного газа перед ОАО "Кыргызгаз" на 01.04.12 г. составила 635,4 млн. сомов, которая увеличилась на 57,4% или 231,8 млн. сомов, по сравнению с началом года, по причине неплатежеспособности бюджетных организаций, финансируемых местным и республиканским бюджетами.</w:t>
      </w:r>
    </w:p>
    <w:p>
      <w:pPr>
        <w:spacing w:after="120"/>
        <w:jc w:val="both"/>
      </w:pPr>
      <w:r>
        <w:rPr>
          <w:rFonts w:ascii="Arial" w:cs="Arial" w:eastAsia="Arial" w:hAnsi="Arial"/>
          <w:sz w:val="24"/>
          <w:szCs w:val="24"/>
        </w:rPr>
        <w:t xml:space="preserve">Для обеспечения энергетической безопасности страны и увеличения выработки электроэнергии проводились следующие мероприятия:</w:t>
      </w:r>
    </w:p>
    <w:p>
      <w:pPr>
        <w:spacing w:after="120"/>
        <w:jc w:val="both"/>
      </w:pPr>
      <w:r>
        <w:rPr>
          <w:rFonts w:ascii="Arial" w:cs="Arial" w:eastAsia="Arial" w:hAnsi="Arial"/>
          <w:sz w:val="24"/>
          <w:szCs w:val="24"/>
        </w:rPr>
        <w:t xml:space="preserve">- найден альтернативный источник по поставкам газа. В целях бесперебойного обеспечения природным газом потребителей Кыргызской Республики, ОАО "Кыргызгаз" заключен договор с Казахстаном на поставку природного газа в объеме 240 млн. куб.м с дальнейшим доведением до 300 млн. куб.м в 2012 году (в 2011 году получено газа - 105 млн. куб.м по цене 195 долл.США/тыс. куб.м; остаток - 135 млн. куб.м по цене 224 долл.США/тыс. куб.м). Также, в конце декабря 2011 года заключен Контракт на поставку природного газа с АК "Узтрансгаз" на объем 100 млн. куб.м по цене 290 долл.США;</w:t>
      </w:r>
    </w:p>
    <w:p>
      <w:pPr>
        <w:spacing w:after="120"/>
        <w:jc w:val="both"/>
      </w:pPr>
      <w:r>
        <w:rPr>
          <w:rFonts w:ascii="Arial" w:cs="Arial" w:eastAsia="Arial" w:hAnsi="Arial"/>
          <w:sz w:val="24"/>
          <w:szCs w:val="24"/>
        </w:rPr>
        <w:t xml:space="preserve">- за январь-февраль 2012 года по проекту "Чрезвычайной помощи", финансируемому Всемирным Банком, в распределительных электрических компаниях установлено:</w:t>
      </w:r>
    </w:p>
    <w:p>
      <w:pPr>
        <w:spacing w:after="120"/>
        <w:jc w:val="both"/>
      </w:pPr>
      <w:r>
        <w:rPr>
          <w:rFonts w:ascii="Arial" w:cs="Arial" w:eastAsia="Arial" w:hAnsi="Arial"/>
          <w:sz w:val="24"/>
          <w:szCs w:val="24"/>
        </w:rPr>
        <w:t xml:space="preserve">- силовых трансформаторов 10/0,4 кВ - 198 шт.;</w:t>
      </w:r>
    </w:p>
    <w:p>
      <w:pPr>
        <w:spacing w:after="120"/>
        <w:jc w:val="both"/>
      </w:pPr>
      <w:r>
        <w:rPr>
          <w:rFonts w:ascii="Arial" w:cs="Arial" w:eastAsia="Arial" w:hAnsi="Arial"/>
          <w:sz w:val="24"/>
          <w:szCs w:val="24"/>
        </w:rPr>
        <w:t xml:space="preserve">- комплектных трансформаторных подстанции 10/0,4 кВ - 91 шт.</w:t>
      </w:r>
    </w:p>
    <w:p>
      <w:pPr>
        <w:spacing w:after="120"/>
        <w:jc w:val="both"/>
      </w:pPr>
      <w:r>
        <w:rPr>
          <w:rFonts w:ascii="Arial" w:cs="Arial" w:eastAsia="Arial" w:hAnsi="Arial"/>
          <w:sz w:val="24"/>
          <w:szCs w:val="24"/>
        </w:rPr>
        <w:t xml:space="preserve">Для справки: с момента начала реализации вышеуказанного проекта из 600 единиц трансформаторного оборудования установлено 553;</w:t>
      </w:r>
    </w:p>
    <w:p>
      <w:pPr>
        <w:spacing w:after="120"/>
        <w:jc w:val="both"/>
      </w:pPr>
      <w:r>
        <w:rPr>
          <w:rFonts w:ascii="Arial" w:cs="Arial" w:eastAsia="Arial" w:hAnsi="Arial"/>
          <w:sz w:val="24"/>
          <w:szCs w:val="24"/>
        </w:rPr>
        <w:t xml:space="preserve">- в январе 2012 года по инициативе Кыргызстана дважды проведены трехсторонние переговоры с казахстанской и узбекской сторонами, с подписанием протокола "Об обеспечении параллельной работы энергосистем". Все условия договора и протокола выполняются, энергосистемы работают в параллельном режиме;</w:t>
      </w:r>
    </w:p>
    <w:p>
      <w:pPr>
        <w:spacing w:after="120"/>
        <w:jc w:val="both"/>
      </w:pPr>
      <w:r>
        <w:rPr>
          <w:rFonts w:ascii="Arial" w:cs="Arial" w:eastAsia="Arial" w:hAnsi="Arial"/>
          <w:sz w:val="24"/>
          <w:szCs w:val="24"/>
        </w:rPr>
        <w:t xml:space="preserve">- в результате переговоров Межведомственной комиссии с компанией "ТВЕА" достигнута договоренность о реализации проекта "Строительство линии электропередачи 500 кВ "Датка-Кемин" и подстанции 500 кВ "Кемин" на сумму 342,0 млн. долл.США, а также выполнении дополнительных объемов работ по вводу вторых очередей ПС 500 кВ "Датка" и ПС 500 кВ "Кемин" и поставке двух автотрансформаторов мощностью по 200 MBA для ПС 220 кВ "Ала-Арча" на сумму 47,795 млн. долл.США.</w:t>
      </w:r>
    </w:p>
    <w:p>
      <w:pPr>
        <w:spacing w:after="120"/>
        <w:jc w:val="both"/>
      </w:pPr>
      <w:r>
        <w:rPr>
          <w:rFonts w:ascii="Arial" w:cs="Arial" w:eastAsia="Arial" w:hAnsi="Arial"/>
          <w:sz w:val="24"/>
          <w:szCs w:val="24"/>
        </w:rPr>
        <w:t xml:space="preserve">(3) В горнодобывающей промышленности (уд. вес 2,7% в объеме промышленного производства) за январь-март 2012 года произведено продукции на 749,6 млн. сомов, и по сравнению с соответствующим периодом 2011 года объем производства снизился, составив 96,3%, в том числе по добыче топливно-энергетических полезных ископаемых - 99,9%, прочих полезных ископаемых - 62,6%. Уменьшение объемов промышленного производства отмечалось за счет значительного снижения добычи известняка и гипса на 85,8%, песков природных - на 31,1%, а также сырой нефти на - 13,8%. Снижение темпов роста в добыче прочих полезных ископаемых связано с уменьшением спроса на гравий, щебень, песок со стороны предприятий, специализирующихся на выпуске железобетонной продукции, бетона, строительного раствора, пескоблоков, полимерпесчаной черепицы из-за сезонного характера производства.</w:t>
      </w:r>
    </w:p>
    <w:p>
      <w:pPr>
        <w:spacing w:after="120"/>
        <w:jc w:val="both"/>
      </w:pPr>
      <w:r>
        <w:rPr>
          <w:rFonts w:ascii="Arial" w:cs="Arial" w:eastAsia="Arial" w:hAnsi="Arial"/>
          <w:sz w:val="24"/>
          <w:szCs w:val="24"/>
        </w:rPr>
        <w:t xml:space="preserve">При этом отмечается рост добычи угля, лигнита и торфа на 41,5%, где увеличение добычи угля обусловлено ростом потребительского спроса на него в результате применения как альтернативного вида топлива взамен электроэнергии и поставкой на ТЭЦ 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Аграрный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Валовой выпуск продукции сельского хозяйства, охоты и лесного хозяйства за январь-март 2012 г. составил 17,5 млрд. сомов с реальным ростом 101,0%, в том числе в растениеводстве - 100,0% (0,3 млрд. сомов), в животноводстве - 101,0% (16,9 млрд. сомов). Рост на 1,0% обеспечен за счет производства скота и птицы на убой в живом весе во всех категориях хозяйств (на 0,9%), яиц (на 3,5%), молока (на 1,1%).</w:t>
      </w:r>
    </w:p>
    <w:p>
      <w:pPr>
        <w:spacing w:after="120"/>
        <w:jc w:val="both"/>
      </w:pPr>
      <w:r>
        <w:rPr>
          <w:rFonts w:ascii="Arial" w:cs="Arial" w:eastAsia="Arial" w:hAnsi="Arial"/>
          <w:sz w:val="24"/>
          <w:szCs w:val="24"/>
        </w:rPr>
        <w:t xml:space="preserve">Из общего объема производства на долю продукции животноводства приходится 96,9%, растениеводства - 1,9%, услуг - 1,1%, охоты и лесного хозяйства - 0,1%.</w:t>
      </w:r>
    </w:p>
    <w:p>
      <w:pPr>
        <w:spacing w:after="120"/>
        <w:jc w:val="both"/>
      </w:pPr>
      <w:r>
        <w:rPr>
          <w:rFonts w:ascii="Arial" w:cs="Arial" w:eastAsia="Arial" w:hAnsi="Arial"/>
          <w:sz w:val="24"/>
          <w:szCs w:val="24"/>
        </w:rPr>
        <w:t xml:space="preserve">В структуре валового выпуска продукции сельского хозяйства на долю государственных и коллективных хозяйств приходится 1,4% от общего объема продукции. Основная часть продукции производится крестьянскими (фермерскими) хозяйствами и личными подсобными хозяйствами граждан, на долю которых в общем объеме приходится 97,4%.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продукции сельского хозяйстваза январь-март 2012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Ед. │Январь-│Январь-│ Откл. │Январь-│ Откл. │</w:t>
      </w:r>
    </w:p>
    <w:p>
      <w:pPr>
        <w:spacing w:after="120"/>
        <w:jc w:val="center"/>
      </w:pPr>
      <w:r>
        <w:rPr>
          <w:rFonts w:ascii="Arial" w:cs="Arial" w:eastAsia="Arial" w:hAnsi="Arial"/>
          <w:sz w:val="24"/>
          <w:szCs w:val="24"/>
        </w:rPr>
        <w:t xml:space="preserve">│       показателя      │ изм.│ март  │ март  │  от   │ март  │  от   │</w:t>
      </w:r>
    </w:p>
    <w:p>
      <w:pPr>
        <w:spacing w:after="120"/>
        <w:jc w:val="center"/>
      </w:pPr>
      <w:r>
        <w:rPr>
          <w:rFonts w:ascii="Arial" w:cs="Arial" w:eastAsia="Arial" w:hAnsi="Arial"/>
          <w:sz w:val="24"/>
          <w:szCs w:val="24"/>
        </w:rPr>
        <w:t xml:space="preserve">│                       │     │2012 г.│2011 г.│ факт. │2012 г.│ прог- │</w:t>
      </w:r>
    </w:p>
    <w:p>
      <w:pPr>
        <w:spacing w:after="120"/>
        <w:jc w:val="center"/>
      </w:pPr>
      <w:r>
        <w:rPr>
          <w:rFonts w:ascii="Arial" w:cs="Arial" w:eastAsia="Arial" w:hAnsi="Arial"/>
          <w:sz w:val="24"/>
          <w:szCs w:val="24"/>
        </w:rPr>
        <w:t xml:space="preserve">│                       │     │       │       │ (+,-) │прогноз│нозных │</w:t>
      </w:r>
    </w:p>
    <w:p>
      <w:pPr>
        <w:spacing w:after="120"/>
        <w:jc w:val="center"/>
      </w:pPr>
      <w:r>
        <w:rPr>
          <w:rFonts w:ascii="Arial" w:cs="Arial" w:eastAsia="Arial" w:hAnsi="Arial"/>
          <w:sz w:val="24"/>
          <w:szCs w:val="24"/>
        </w:rPr>
        <w:t xml:space="preserve">│                       │     │       │       │2011 г.│       │показа-│</w:t>
      </w:r>
    </w:p>
    <w:p>
      <w:pPr>
        <w:spacing w:after="120"/>
        <w:jc w:val="center"/>
      </w:pPr>
      <w:r>
        <w:rPr>
          <w:rFonts w:ascii="Arial" w:cs="Arial" w:eastAsia="Arial" w:hAnsi="Arial"/>
          <w:sz w:val="24"/>
          <w:szCs w:val="24"/>
        </w:rPr>
        <w:t xml:space="preserve">│                       │     │       │       │       │       │ телей │</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хозяйство     │млн. │17465,4│12167,6│ 5297,8│14837,5│ 2627,9│</w:t>
      </w:r>
    </w:p>
    <w:p>
      <w:pPr>
        <w:spacing w:after="120"/>
        <w:jc w:val="center"/>
      </w:pPr>
      <w:r>
        <w:rPr>
          <w:rFonts w:ascii="Arial" w:cs="Arial" w:eastAsia="Arial" w:hAnsi="Arial"/>
          <w:sz w:val="24"/>
          <w:szCs w:val="24"/>
        </w:rPr>
        <w:t xml:space="preserve">│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101,0│  100,4│    0,6│  101,1│   -0,1│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  %  │  117,9│  103,6│   14,3│  120,6│   -2,7│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│Растениеводство        │млн. │  334,1│  334,4│   -0,3│  335,3│   -1,2│</w:t>
      </w:r>
    </w:p>
    <w:p>
      <w:pPr>
        <w:spacing w:after="120"/>
        <w:jc w:val="center"/>
      </w:pPr>
      <w:r>
        <w:rPr>
          <w:rFonts w:ascii="Arial" w:cs="Arial" w:eastAsia="Arial" w:hAnsi="Arial"/>
          <w:sz w:val="24"/>
          <w:szCs w:val="24"/>
        </w:rPr>
        <w:t xml:space="preserve">│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100,0│  100,0│    0,0│  100,0│    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  %  │   99,9│   99,8│    0,1│  100,3│   -0,4│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│Животноводство         │млн. │16915,8│11617,6│ 5298,2│14330,9│ 2584,9│</w:t>
      </w:r>
    </w:p>
    <w:p>
      <w:pPr>
        <w:spacing w:after="120"/>
        <w:jc w:val="center"/>
      </w:pPr>
      <w:r>
        <w:rPr>
          <w:rFonts w:ascii="Arial" w:cs="Arial" w:eastAsia="Arial" w:hAnsi="Arial"/>
          <w:sz w:val="24"/>
          <w:szCs w:val="24"/>
        </w:rPr>
        <w:t xml:space="preserve">│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101,0│  100,4│    0,6│  101,2│   -0,2│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  %  │  118,6│  103,8│   14,8│  121,9│   -3,3│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│Услуги                 │млн. │  188,6│  188,6│    0,0│  188,6│    0,0│</w:t>
      </w:r>
    </w:p>
    <w:p>
      <w:pPr>
        <w:spacing w:after="120"/>
        <w:jc w:val="center"/>
      </w:pPr>
      <w:r>
        <w:rPr>
          <w:rFonts w:ascii="Arial" w:cs="Arial" w:eastAsia="Arial" w:hAnsi="Arial"/>
          <w:sz w:val="24"/>
          <w:szCs w:val="24"/>
        </w:rPr>
        <w:t xml:space="preserve">│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│Охота и лесное         │млн. │   19,5│   19,5│    0,0│   19,5│    0,0│</w:t>
      </w:r>
    </w:p>
    <w:p>
      <w:pPr>
        <w:spacing w:after="120"/>
        <w:jc w:val="center"/>
      </w:pPr>
      <w:r>
        <w:rPr>
          <w:rFonts w:ascii="Arial" w:cs="Arial" w:eastAsia="Arial" w:hAnsi="Arial"/>
          <w:sz w:val="24"/>
          <w:szCs w:val="24"/>
        </w:rPr>
        <w:t xml:space="preserve">│хозяйство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│Рыбоводство,           │млн. │    7,5│    7,5│    0,0│    7,5│    0,0│</w:t>
      </w:r>
    </w:p>
    <w:p>
      <w:pPr>
        <w:spacing w:after="120"/>
        <w:jc w:val="center"/>
      </w:pPr>
      <w:r>
        <w:rPr>
          <w:rFonts w:ascii="Arial" w:cs="Arial" w:eastAsia="Arial" w:hAnsi="Arial"/>
          <w:sz w:val="24"/>
          <w:szCs w:val="24"/>
        </w:rPr>
        <w:t xml:space="preserve">│рыболовство            │сомов│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Положительный вклад в формирование ВВП со стороны сельского хозяйства оценивается на уровне 0,09%, удельный вес которого в структуре производства ВВП составил 11,4%, увеличившись на 2,9 процентных пункта по сравнению с соответствующим периодом 2011 года. При этом, фактический объем производства сельского хозяйства не достиг прогнозируемого уровня на январь-март 2012 года (101,1%) на 0,1%.</w:t>
      </w:r>
    </w:p>
    <w:p>
      <w:pPr>
        <w:spacing w:after="120"/>
        <w:jc w:val="both"/>
      </w:pPr>
      <w:r>
        <w:rPr>
          <w:rFonts w:ascii="Arial" w:cs="Arial" w:eastAsia="Arial" w:hAnsi="Arial"/>
          <w:sz w:val="24"/>
          <w:szCs w:val="24"/>
        </w:rPr>
        <w:t xml:space="preserve">Основными факторами, повлиявшими на развитие сельского хозяйства в I квартале 2012 года, стали:</w:t>
      </w:r>
    </w:p>
    <w:p>
      <w:pPr>
        <w:spacing w:after="120"/>
        <w:jc w:val="both"/>
      </w:pPr>
      <w:r>
        <w:rPr>
          <w:rFonts w:ascii="Arial" w:cs="Arial" w:eastAsia="Arial" w:hAnsi="Arial"/>
          <w:sz w:val="24"/>
          <w:szCs w:val="24"/>
        </w:rPr>
        <w:t xml:space="preserve">- неблагоприятные природно-климатические условия, которые повлекли отставание весенне-полевых работ на 15-20 дней;</w:t>
      </w:r>
    </w:p>
    <w:p>
      <w:pPr>
        <w:spacing w:after="120"/>
        <w:jc w:val="both"/>
      </w:pPr>
      <w:r>
        <w:rPr>
          <w:rFonts w:ascii="Arial" w:cs="Arial" w:eastAsia="Arial" w:hAnsi="Arial"/>
          <w:sz w:val="24"/>
          <w:szCs w:val="24"/>
        </w:rPr>
        <w:t xml:space="preserve">- падеж скота, вызванный продолжительной зимой;</w:t>
      </w:r>
    </w:p>
    <w:p>
      <w:pPr>
        <w:spacing w:after="120"/>
        <w:jc w:val="both"/>
      </w:pPr>
      <w:r>
        <w:rPr>
          <w:rFonts w:ascii="Arial" w:cs="Arial" w:eastAsia="Arial" w:hAnsi="Arial"/>
          <w:sz w:val="24"/>
          <w:szCs w:val="24"/>
        </w:rPr>
        <w:t xml:space="preserve">- необеспеченность минеральными удобрениями сельхозпроизводителей;</w:t>
      </w:r>
    </w:p>
    <w:p>
      <w:pPr>
        <w:spacing w:after="120"/>
        <w:jc w:val="both"/>
      </w:pPr>
      <w:r>
        <w:rPr>
          <w:rFonts w:ascii="Arial" w:cs="Arial" w:eastAsia="Arial" w:hAnsi="Arial"/>
          <w:sz w:val="24"/>
          <w:szCs w:val="24"/>
        </w:rPr>
        <w:t xml:space="preserve">- предоставление льготных кредитов на поддержку сельхозпроизводителей;</w:t>
      </w:r>
    </w:p>
    <w:p>
      <w:pPr>
        <w:spacing w:after="120"/>
        <w:jc w:val="both"/>
      </w:pPr>
      <w:r>
        <w:rPr>
          <w:rFonts w:ascii="Arial" w:cs="Arial" w:eastAsia="Arial" w:hAnsi="Arial"/>
          <w:sz w:val="24"/>
          <w:szCs w:val="24"/>
        </w:rPr>
        <w:t xml:space="preserve">- предоставление в лизинг сельхозтехники и выделение ГСМ за счет матрезерва.</w:t>
      </w:r>
    </w:p>
    <w:p>
      <w:pPr>
        <w:spacing w:after="120"/>
        <w:jc w:val="both"/>
      </w:pPr>
      <w:r>
        <w:rPr>
          <w:rFonts w:ascii="Arial" w:cs="Arial" w:eastAsia="Arial" w:hAnsi="Arial"/>
          <w:sz w:val="24"/>
          <w:szCs w:val="24"/>
        </w:rPr>
        <w:t xml:space="preserve">Растениеводство. Структура посевных площадей сельскохозяйственных культур под урожай 2012 года составляет 1167,3 тыс. га, что на 8,1 тыс. га больше, чем в 2011 году. При этом, в предлагаемой структуре отведены следующие площади под сельхозкультуры:</w:t>
      </w:r>
    </w:p>
    <w:p>
      <w:pPr>
        <w:spacing w:after="120"/>
        <w:jc w:val="both"/>
      </w:pPr>
      <w:r>
        <w:rPr>
          <w:rFonts w:ascii="Arial" w:cs="Arial" w:eastAsia="Arial" w:hAnsi="Arial"/>
          <w:sz w:val="24"/>
          <w:szCs w:val="24"/>
        </w:rPr>
        <w:t xml:space="preserve">- зерновые - 614,6 тыс. га, или на 16,9 тыс. га меньше прошлого года; в том числе: пшеница - 348,6 тыс. га, или меньше прошлогоднего на 29,0 тыс. га;</w:t>
      </w:r>
    </w:p>
    <w:p>
      <w:pPr>
        <w:spacing w:after="120"/>
        <w:jc w:val="both"/>
      </w:pPr>
      <w:r>
        <w:rPr>
          <w:rFonts w:ascii="Arial" w:cs="Arial" w:eastAsia="Arial" w:hAnsi="Arial"/>
          <w:sz w:val="24"/>
          <w:szCs w:val="24"/>
        </w:rPr>
        <w:t xml:space="preserve">- сахарная свекла - 11,7 тыс. га, или на 3,7 тыс. га больше;</w:t>
      </w:r>
    </w:p>
    <w:p>
      <w:pPr>
        <w:spacing w:after="120"/>
        <w:jc w:val="both"/>
      </w:pPr>
      <w:r>
        <w:rPr>
          <w:rFonts w:ascii="Arial" w:cs="Arial" w:eastAsia="Arial" w:hAnsi="Arial"/>
          <w:sz w:val="24"/>
          <w:szCs w:val="24"/>
        </w:rPr>
        <w:t xml:space="preserve">- хлопчатник - 37,4 тыс. га, на уровне прошлого года;</w:t>
      </w:r>
    </w:p>
    <w:p>
      <w:pPr>
        <w:spacing w:after="120"/>
        <w:jc w:val="both"/>
      </w:pPr>
      <w:r>
        <w:rPr>
          <w:rFonts w:ascii="Arial" w:cs="Arial" w:eastAsia="Arial" w:hAnsi="Arial"/>
          <w:sz w:val="24"/>
          <w:szCs w:val="24"/>
        </w:rPr>
        <w:t xml:space="preserve">- табак - 5,5 тыс. га, на 1,4 тыс. га больше;</w:t>
      </w:r>
    </w:p>
    <w:p>
      <w:pPr>
        <w:spacing w:after="120"/>
        <w:jc w:val="both"/>
      </w:pPr>
      <w:r>
        <w:rPr>
          <w:rFonts w:ascii="Arial" w:cs="Arial" w:eastAsia="Arial" w:hAnsi="Arial"/>
          <w:sz w:val="24"/>
          <w:szCs w:val="24"/>
        </w:rPr>
        <w:t xml:space="preserve">- масличные культуры - 56,4 тыс. га, на 1,7 тыс. га больше;</w:t>
      </w:r>
    </w:p>
    <w:p>
      <w:pPr>
        <w:spacing w:after="120"/>
        <w:jc w:val="both"/>
      </w:pPr>
      <w:r>
        <w:rPr>
          <w:rFonts w:ascii="Arial" w:cs="Arial" w:eastAsia="Arial" w:hAnsi="Arial"/>
          <w:sz w:val="24"/>
          <w:szCs w:val="24"/>
        </w:rPr>
        <w:t xml:space="preserve">- картофель - 84,2 тыс. га, на 0,7 тыс. га меньше;</w:t>
      </w:r>
    </w:p>
    <w:p>
      <w:pPr>
        <w:spacing w:after="120"/>
        <w:jc w:val="both"/>
      </w:pPr>
      <w:r>
        <w:rPr>
          <w:rFonts w:ascii="Arial" w:cs="Arial" w:eastAsia="Arial" w:hAnsi="Arial"/>
          <w:sz w:val="24"/>
          <w:szCs w:val="24"/>
        </w:rPr>
        <w:t xml:space="preserve">- овощи - 46,1 тыс. га, на 3,8 тыс. га больше;</w:t>
      </w:r>
    </w:p>
    <w:p>
      <w:pPr>
        <w:spacing w:after="120"/>
        <w:jc w:val="both"/>
      </w:pPr>
      <w:r>
        <w:rPr>
          <w:rFonts w:ascii="Arial" w:cs="Arial" w:eastAsia="Arial" w:hAnsi="Arial"/>
          <w:sz w:val="24"/>
          <w:szCs w:val="24"/>
        </w:rPr>
        <w:t xml:space="preserve">- бахчевые культуры - 7,9 тыс. га, на 0,9 тыс. га больше;</w:t>
      </w:r>
    </w:p>
    <w:p>
      <w:pPr>
        <w:spacing w:after="120"/>
        <w:jc w:val="both"/>
      </w:pPr>
      <w:r>
        <w:rPr>
          <w:rFonts w:ascii="Arial" w:cs="Arial" w:eastAsia="Arial" w:hAnsi="Arial"/>
          <w:sz w:val="24"/>
          <w:szCs w:val="24"/>
        </w:rPr>
        <w:t xml:space="preserve">- кормовые культуры - 303,5 тыс. га, на 15,5 тыс. га больше.</w:t>
      </w:r>
    </w:p>
    <w:p>
      <w:pPr>
        <w:spacing w:after="120"/>
        <w:jc w:val="both"/>
      </w:pPr>
      <w:r>
        <w:rPr>
          <w:rFonts w:ascii="Arial" w:cs="Arial" w:eastAsia="Arial" w:hAnsi="Arial"/>
          <w:sz w:val="24"/>
          <w:szCs w:val="24"/>
        </w:rPr>
        <w:t xml:space="preserve">В настоящее время в сельском хозяйстве республики проводятся весенне-полевые работы.</w:t>
      </w:r>
    </w:p>
    <w:p>
      <w:pPr>
        <w:spacing w:after="120"/>
        <w:jc w:val="both"/>
      </w:pPr>
      <w:r>
        <w:rPr>
          <w:rFonts w:ascii="Arial" w:cs="Arial" w:eastAsia="Arial" w:hAnsi="Arial"/>
          <w:sz w:val="24"/>
          <w:szCs w:val="24"/>
        </w:rPr>
        <w:t xml:space="preserve">Из-за аномальной, необычайно холодной погоды, с выпадением снега практически в течение всего марта, в текущем году допущено отставание весенне-полевых работ от предыдущих лет на 15-20 дней.</w:t>
      </w:r>
    </w:p>
    <w:p>
      <w:pPr>
        <w:spacing w:after="120"/>
        <w:jc w:val="both"/>
      </w:pPr>
      <w:r>
        <w:rPr>
          <w:rFonts w:ascii="Arial" w:cs="Arial" w:eastAsia="Arial" w:hAnsi="Arial"/>
          <w:sz w:val="24"/>
          <w:szCs w:val="24"/>
        </w:rPr>
        <w:t xml:space="preserve">Во всех областях республики, проведена ранневесенняя подкормка азотными минеральными удобрениями посевов озимых зерновых колосовых культур. По состоянию на 3 апреля 2012 года, фактически подкормлено на площади 37,7 тыс. га, или на 55,0 тыс. га меньше прошлогоднего: в т.ч. в Баткенской области 4,1 тыс. га, или на 4,8 тыс. га меньше, соответственно в Ошской - 12,2 тыс. га и 25,5 тыс. га, в Джалал-Абадской - 4,0 тыс. га и 18,4 тыс. га, в Чуйской - 16,2 тыс. га и 6,2 тыс. га и в Таласской области 1,2 тыс. га и 0,1 тыс. га.</w:t>
      </w:r>
    </w:p>
    <w:p>
      <w:pPr>
        <w:spacing w:after="120"/>
        <w:jc w:val="both"/>
      </w:pPr>
      <w:r>
        <w:rPr>
          <w:rFonts w:ascii="Arial" w:cs="Arial" w:eastAsia="Arial" w:hAnsi="Arial"/>
          <w:sz w:val="24"/>
          <w:szCs w:val="24"/>
        </w:rPr>
        <w:t xml:space="preserve">По оперативным данным (на 3 апреля)(11), в южных областях республики, а также в Чуйской и Таласской областях проведена весновспашка всего на площади 79,9 тыс. га, или на 24,9 тыс. га меньше прошлогоднего, в том числе в Баткенской области - 3,7 тыс. га, Джалал-Абадской 15,2 тыс. га и в Ошской - 9,1 тыс. га, в Таласской - 2,0 тыс. га и в Чуйской - 49,9 тыс. га. С опозданием хозсубъекты приступили к севу яровых зерновых колосовых культур и посадке картофеля. На эту же дату в целом по республике посеяно зерновых колосовых культур на площади 42,6 тыс. га, в том числе яровой пшеницы - 12,9 тыс. га и ярового ячменя 29,7 тыс. га, а картофеля на площади 800 га.</w:t>
      </w:r>
    </w:p>
    <w:p>
      <w:pPr>
        <w:spacing w:after="120"/>
        <w:jc w:val="both"/>
      </w:pPr>
      <w:r>
        <w:rPr>
          <w:rFonts w:ascii="Arial" w:cs="Arial" w:eastAsia="Arial" w:hAnsi="Arial"/>
          <w:sz w:val="24"/>
          <w:szCs w:val="24"/>
        </w:rPr>
        <w:t xml:space="preserve">Сельские товаропроизводители республики обеспечены семенами кукурузы, яровой пшеницы, сахарной свеклы, ярового ячменя, а также посадочными клубнями картофеля и др.</w:t>
      </w:r>
    </w:p>
    <w:p>
      <w:pPr>
        <w:spacing w:after="120"/>
        <w:jc w:val="both"/>
      </w:pPr>
      <w:r>
        <w:rPr>
          <w:rFonts w:ascii="Arial" w:cs="Arial" w:eastAsia="Arial" w:hAnsi="Arial"/>
          <w:sz w:val="24"/>
          <w:szCs w:val="24"/>
        </w:rPr>
        <w:t xml:space="preserve">Обеспеченность ГСМ. Для выполнения намеченного объема проведения весенне-полевых работ текущего года потребуется использовать 41,3 тыс. тонн дизельного топлива, 10,4 тыс. тонн - автобензина, 2,0 тыс. тонн дизельного масла и 0,6 тыс. тонн автола. По состоянию на 30 марта 2012 года, в республику завезено 44 тыс. тонн дизельного топлива и имелось в наличии у нефтетрейдеров на эту дату 13,4 тыс. тонн дизтоплива. Цена 1 литра дизтоплива на нефтебазах в ассоциации нефтетрейдеров во всех регионах республики в среднем составляет 40,4 сома за 1 литр, тогда как на других частных нефтебазах колеблется от 40 до 50 сомов за 1 литр (в Лейлекском районе более 50 л/сом).</w:t>
      </w:r>
    </w:p>
    <w:p>
      <w:pPr>
        <w:spacing w:after="120"/>
        <w:jc w:val="both"/>
      </w:pPr>
      <w:r>
        <w:rPr>
          <w:rFonts w:ascii="Arial" w:cs="Arial" w:eastAsia="Arial" w:hAnsi="Arial"/>
          <w:sz w:val="24"/>
          <w:szCs w:val="24"/>
        </w:rPr>
        <w:t xml:space="preserve">Кроме того, имевшийся в госматрезерве остаток льготного дизельного топлива в количестве 2965,4 кубометра, распределен по айылным аймакам и отдельным крестьянским и фермерским хозяйствам. В настоящее время в айылных аймаках повсеместно организован сбор денежных средств, их перечисление на специальные счета Фонда госматрезервов республики и проводится отпуск дизельного топлива методом налива. По состоянию на 5 апреля т.г. хозсубъектами республики выбрано 74,9% дизельного топлива, или 2223,7 кубометра.</w:t>
      </w:r>
    </w:p>
    <w:p>
      <w:pPr>
        <w:spacing w:after="120"/>
        <w:jc w:val="both"/>
      </w:pPr>
      <w:r>
        <w:rPr>
          <w:rFonts w:ascii="Arial" w:cs="Arial" w:eastAsia="Arial" w:hAnsi="Arial"/>
          <w:sz w:val="24"/>
          <w:szCs w:val="24"/>
        </w:rPr>
        <w:t xml:space="preserve">Обеспеченность сельхозтехникой. По состоянию на 3 апреля 2012 года, отремонтировано 16177 единиц тракторов, или 77% от их наличия, 5892 комплекта тракторных плугов, или 82%, 15347 комплектов тракторных борон, или 83%, 2044 единицы зерновых сеялок, или 79%, 446 комплектов планировщиков, или 89% и 247 единиц разбрасывателей удобрений, или 78%.</w:t>
      </w:r>
    </w:p>
    <w:p>
      <w:pPr>
        <w:spacing w:after="120"/>
        <w:jc w:val="both"/>
      </w:pPr>
      <w:r>
        <w:rPr>
          <w:rFonts w:ascii="Arial" w:cs="Arial" w:eastAsia="Arial" w:hAnsi="Arial"/>
          <w:sz w:val="24"/>
          <w:szCs w:val="24"/>
        </w:rPr>
        <w:t xml:space="preserve">Для оказания помощи сельским товаропроизводителям в пополнении машинно-тракторного парка, на основании постановления Правительства Кыргызской Республики от 11 июля 2011 года N 382, по состоянию на 26 марта текущего года, за счет первоначальных взносов и возвратных средств от переданных в лизинг китайских тракторов в количестве 264 единиц, а также реализации запасных частей на марки тракторов УТО, ОАО "Айыл Банк" приобрел и выдал в лизинг дополнительно по заявкам сельских товаропроизводителей 72 трактора МТЗ-82.1, в том числе сельхозпроизводителям Чуйской области - 18, Иссык-Кульской области - 5, Ошской области - 14, Джалал-Абадской области - 15, Таласской области - 9, Нарынской области - 7, Баткенской области - 4.</w:t>
      </w:r>
    </w:p>
    <w:p>
      <w:pPr>
        <w:spacing w:after="120"/>
        <w:jc w:val="both"/>
      </w:pPr>
      <w:r>
        <w:rPr>
          <w:rFonts w:ascii="Arial" w:cs="Arial" w:eastAsia="Arial" w:hAnsi="Arial"/>
          <w:sz w:val="24"/>
          <w:szCs w:val="24"/>
        </w:rPr>
        <w:t xml:space="preserve">Кроме этого, по заявкам лизингополучателей закуплено 20 единиц тракторов марки УТО производства КНР, которые отпущены сельским субъектам.</w:t>
      </w:r>
    </w:p>
    <w:p>
      <w:pPr>
        <w:spacing w:after="120"/>
        <w:jc w:val="both"/>
      </w:pPr>
      <w:r>
        <w:rPr>
          <w:rFonts w:ascii="Arial" w:cs="Arial" w:eastAsia="Arial" w:hAnsi="Arial"/>
          <w:sz w:val="24"/>
          <w:szCs w:val="24"/>
        </w:rPr>
        <w:t xml:space="preserve">Обеспеченность минеральными удобрениями. Для проведения весенне-полевых работ на 2012 года азотных минеральных удобрений требуется порядка 200,0 тыс. тонн. В настоящее время имеется в наличии у хозсубъектов 26,3 тыс. тонн. Цена на аммиачную селитру, поставляемую из Узбекистана, составляет 20,0-21,0 сома за 1 кг, а в южных областях - 25,0 сом/кг. Минеральные удобрения, доставляемые из России и Казахстана, обходятся в 22,0-23,0 сома за 1 кг.</w:t>
      </w:r>
    </w:p>
    <w:p>
      <w:pPr>
        <w:spacing w:after="120"/>
        <w:jc w:val="both"/>
      </w:pPr>
      <w:r>
        <w:rPr>
          <w:rFonts w:ascii="Arial" w:cs="Arial" w:eastAsia="Arial" w:hAnsi="Arial"/>
          <w:sz w:val="24"/>
          <w:szCs w:val="24"/>
        </w:rPr>
        <w:t xml:space="preserve">Кроме этого, крестьянам и фермерам республики предлагаются альтернативные органоминеральные удобрения типа "Акварин", которые имеются в наличии - 40 тонн, "Лифдрипа" - 44 тонны и "Нутриванта" - 16 тонн.</w:t>
      </w:r>
    </w:p>
    <w:p>
      <w:pPr>
        <w:spacing w:after="120"/>
        <w:jc w:val="both"/>
      </w:pPr>
      <w:r>
        <w:rPr>
          <w:rFonts w:ascii="Arial" w:cs="Arial" w:eastAsia="Arial" w:hAnsi="Arial"/>
          <w:sz w:val="24"/>
          <w:szCs w:val="24"/>
        </w:rPr>
        <w:t xml:space="preserve">При расчетной потребности в пестицидах 410,9 тонны, их завезено, на 3 апреля 2012 года, 368,8 тонны, или 89,7%, в т.ч. протравителей семян, при потребности 57,9 тонны, завезено 36,0 тонны, или 62,2%, гербицидов, при потребности 196,1 тонны, завезено 172,7 тонны, или 88,1%.</w:t>
      </w:r>
    </w:p>
    <w:p>
      <w:pPr>
        <w:spacing w:after="120"/>
        <w:jc w:val="both"/>
      </w:pPr>
      <w:r>
        <w:rPr>
          <w:rFonts w:ascii="Arial" w:cs="Arial" w:eastAsia="Arial" w:hAnsi="Arial"/>
          <w:sz w:val="24"/>
          <w:szCs w:val="24"/>
        </w:rPr>
        <w:t xml:space="preserve">Животноводство. За январь-март 2012 года производство скота и птицы на убой в живом весе во всех категориях хозяйств составило 80,4 тыс. тонн, или рост по сравнению с соответствующим периодом 2011 года составил 100,9%. Увеличение производства мяса произошло в основном за счет увеличения поголовья крупного рогатого скота на 39,7 тыс. голов, овец и коз - на 250,4 тыс. голов, лошадей - на 10,5 тыс. голов и домашней птицы - на 65,4 тыс. голов. Производство молока в республике составило 226,2 тыс. тонн, что на 2,4 тыс. тонн или на 1,1% больше соответствующего периода 2011 года. За отчетный период текущего года по республике произведено 76,4 млн. шт. яиц, что на 2,6 млн. шт. больше или составило 103,5% к уровню соответствующего периода 2011 года.</w:t>
      </w:r>
    </w:p>
    <w:p>
      <w:pPr>
        <w:spacing w:after="120"/>
        <w:jc w:val="both"/>
      </w:pPr>
      <w:r>
        <w:rPr>
          <w:rFonts w:ascii="Arial" w:cs="Arial" w:eastAsia="Arial" w:hAnsi="Arial"/>
          <w:sz w:val="24"/>
          <w:szCs w:val="24"/>
        </w:rPr>
        <w:t xml:space="preserve">Увеличено производство яиц во всех областях республики, кроме Иссык-Кульской области. В Иссык-Кульской области произведено 15,2 млн. штук яиц или меньше на 0,6 млн. штук, чем в прошлом году. Основной причиной снижения производства яиц в Иссык-Кульской области является уменьшение поголовья домашней птицы на 11,9 тыс. голов.</w:t>
      </w:r>
    </w:p>
    <w:p>
      <w:pPr>
        <w:spacing w:after="120"/>
        <w:jc w:val="both"/>
      </w:pPr>
      <w:r>
        <w:rPr>
          <w:rFonts w:ascii="Arial" w:cs="Arial" w:eastAsia="Arial" w:hAnsi="Arial"/>
          <w:sz w:val="24"/>
          <w:szCs w:val="24"/>
        </w:rPr>
        <w:t xml:space="preserve">Основной вклад в валовой выпуск продукции сельского хозяйства по итогам за январь-март 2012 г. внесли Чуйская, Иссык-Кульская, Джалал-Абадская, Ошская и Нарынская области, суммарный удельный вес которых составил 86,1%.</w:t>
      </w:r>
    </w:p>
    <w:p>
      <w:pPr>
        <w:spacing w:after="120"/>
        <w:jc w:val="both"/>
      </w:pPr>
      <w:r>
        <w:rPr>
          <w:rFonts w:ascii="Arial" w:cs="Arial" w:eastAsia="Arial" w:hAnsi="Arial"/>
          <w:sz w:val="24"/>
          <w:szCs w:val="24"/>
        </w:rPr>
        <w:t xml:space="preserve">При этом следует отметить, что не достигнуты прогнозные показатели на I квартал 2012 года по производству мяса, снижение составило 1371 тонну или 1,7%, молока - 3076 тонн или 1,4%. Основная причина спада темпов производства мяса и молока по республике - суровая, длительная по времени зима. Из-за обильного снегопада в высокогорных районах Джалал-Абадской (Чаткальский, Аксыйский и Ала-Букинский районы), Ошской (Чон-Алайский и Кара-Кульджинский районы) и Нарынской областей (Ак-Талинский, Ат-Башинский и Нарынский районы) сложилась кризисная ситуация, что привело к массовой гибели животных, вследствие сильных холодов и острой нехватки кормов. По республике всего пало 27884 головы, в том числе: КРС - 3270 голов, яков - 700 голов, овец и коз - 21774 головы и лошадей 2140 голов.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по падежу животных в разрезе регионов по состоянию на 10.04.2012 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Области          │Количество павших животных (голов)│ Всего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КРС  │   Яки  │   МРС  │ Лошади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631 │   104  │   3224 │   492  │  4451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336 │     0  │   1633 │   215  │  2184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1080 │    43  │   8055 │   800  │  9978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1223 │   553  │   8844 │   633  │ 11253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0 │     0  │     18 │     0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по республике       │  3270 │   700  │  21774 │  2140  │ 27884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 распоряжением Правительства Кыргызской Республики от 24 марта 2012 года N 100-р оказана государственная поддержка животноводам областей, пострадавшим от обильных снегопадов, в результате которых сельскохозяйственные животные остались без подножного корма, а также в связи с угрозой падежа животных:</w:t>
      </w:r>
    </w:p>
    <w:p>
      <w:pPr>
        <w:spacing w:after="120"/>
        <w:jc w:val="both"/>
      </w:pPr>
      <w:r>
        <w:rPr>
          <w:rFonts w:ascii="Arial" w:cs="Arial" w:eastAsia="Arial" w:hAnsi="Arial"/>
          <w:sz w:val="24"/>
          <w:szCs w:val="24"/>
        </w:rPr>
        <w:t xml:space="preserve">- выделены бюджетные ассигнования Министерству чрезвычайных ситуаций Кыргызской Республики из средств Специального счета по предупреждению и ликвидации последствий чрезвычайных ситуаций, открытого в соответствии с постановлением Правительства Кыргызской Республики "О Специальном счете по предупреждению и ликвидации последствий чрезвычайных ситуаций" от 23 октября 2007 года N 509, в объеме согласно фактическим расходам по перевозке сена и комбикормов в пострадавшие от снегопада районы;</w:t>
      </w:r>
    </w:p>
    <w:p>
      <w:pPr>
        <w:spacing w:after="120"/>
        <w:jc w:val="both"/>
      </w:pPr>
      <w:r>
        <w:rPr>
          <w:rFonts w:ascii="Arial" w:cs="Arial" w:eastAsia="Arial" w:hAnsi="Arial"/>
          <w:sz w:val="24"/>
          <w:szCs w:val="24"/>
        </w:rPr>
        <w:t xml:space="preserve">- в марте т.г. осуществлено финансирование выплат жителям населенных пунктов за апрель, май 2012 года, в целях оказания помощи в закупке кормов животноводам областей в связи с угрозой падежа животных;</w:t>
      </w:r>
    </w:p>
    <w:p>
      <w:pPr>
        <w:spacing w:after="120"/>
        <w:jc w:val="both"/>
      </w:pPr>
      <w:r>
        <w:rPr>
          <w:rFonts w:ascii="Arial" w:cs="Arial" w:eastAsia="Arial" w:hAnsi="Arial"/>
          <w:sz w:val="24"/>
          <w:szCs w:val="24"/>
        </w:rPr>
        <w:t xml:space="preserve">- выделены Фондом государственных материальных резервов при Правительстве Кыргызской Республики необходимые средства на закупку 1 тыс. тонн ячменя.</w:t>
      </w:r>
    </w:p>
    <w:p>
      <w:pPr>
        <w:spacing w:after="120"/>
        <w:jc w:val="both"/>
      </w:pPr>
      <w:r>
        <w:rPr>
          <w:rFonts w:ascii="Arial" w:cs="Arial" w:eastAsia="Arial" w:hAnsi="Arial"/>
          <w:sz w:val="24"/>
          <w:szCs w:val="24"/>
        </w:rPr>
        <w:t xml:space="preserve">Оказана государственная поддержка районам, пострадавшим от обильных снегопадов, в виде 36 тыс. тюков сена и 606 тонн комбикормов.</w:t>
      </w:r>
    </w:p>
    <w:p>
      <w:pPr>
        <w:spacing w:after="120"/>
        <w:jc w:val="both"/>
      </w:pPr>
      <w:r>
        <w:rPr>
          <w:rFonts w:ascii="Arial" w:cs="Arial" w:eastAsia="Arial" w:hAnsi="Arial"/>
          <w:sz w:val="24"/>
          <w:szCs w:val="24"/>
        </w:rPr>
        <w:t xml:space="preserve">Ветеринария. Своевременно проводятся ветеринарные мероприятия, направленные на предотвращение возникновения и распространения заразных болезней животных, производство и реализацию безопасных в ветеринарно-санитарном отношении продуктов животного происхождения.</w:t>
      </w:r>
    </w:p>
    <w:p>
      <w:pPr>
        <w:spacing w:after="120"/>
        <w:jc w:val="both"/>
      </w:pPr>
      <w:r>
        <w:rPr>
          <w:rFonts w:ascii="Arial" w:cs="Arial" w:eastAsia="Arial" w:hAnsi="Arial"/>
          <w:sz w:val="24"/>
          <w:szCs w:val="24"/>
        </w:rPr>
        <w:t xml:space="preserve">Обеспечение продовольственной безопасности. Оценка обеспеченности внутреннего рынка республики основными продуктами питания за январь, февраль, март текущего года не является показательной. В связи с тем, что производство растениеводческой продукции - сезонно.</w:t>
      </w:r>
    </w:p>
    <w:p>
      <w:pPr>
        <w:spacing w:after="120"/>
        <w:jc w:val="both"/>
      </w:pPr>
      <w:r>
        <w:rPr>
          <w:rFonts w:ascii="Arial" w:cs="Arial" w:eastAsia="Arial" w:hAnsi="Arial"/>
          <w:sz w:val="24"/>
          <w:szCs w:val="24"/>
        </w:rPr>
        <w:t xml:space="preserve">Переходящие остатки основных продуктов питания на 01.01.12 г. составили: хлебопродукты - 814,2 тыс. т, картофель - 727,0 тыс. т, молоко - 44,0 тыс. т, мясо - 7,7 тыс. т, овощи - 164,7 тыс. т, масло растительное - 23,7 тыс. т, яйцо птицы - 40,2 млн. шт., плоды и ягоды - 7,0 тыс. т.</w:t>
      </w:r>
    </w:p>
    <w:p>
      <w:pPr>
        <w:spacing w:after="120"/>
        <w:jc w:val="both"/>
      </w:pPr>
      <w:r>
        <w:rPr>
          <w:rFonts w:ascii="Arial" w:cs="Arial" w:eastAsia="Arial" w:hAnsi="Arial"/>
          <w:sz w:val="24"/>
          <w:szCs w:val="24"/>
        </w:rPr>
        <w:t xml:space="preserve">При этом, обеспеченность внутреннего рынка за январь-март 2012 года, с учетом переходящих остатков составила:</w:t>
      </w:r>
    </w:p>
    <w:p>
      <w:pPr>
        <w:spacing w:after="120"/>
        <w:jc w:val="both"/>
      </w:pPr>
      <w:r>
        <w:rPr>
          <w:rFonts w:ascii="Arial" w:cs="Arial" w:eastAsia="Arial" w:hAnsi="Arial"/>
          <w:sz w:val="24"/>
          <w:szCs w:val="24"/>
        </w:rPr>
        <w:t xml:space="preserve">- по хлебопродуктам - 424,8%, картофелю - 353,8%, молоку - 97,0%, мясу - 77,1%, овощам - 95,0%, маслу растительному - 296,2%, сахару 75,1%, яйцу птицы - 46,2%, плодам и ягодам - 3,6%.</w:t>
      </w:r>
    </w:p>
    <w:p>
      <w:pPr>
        <w:spacing w:after="120"/>
        <w:jc w:val="both"/>
      </w:pPr>
      <w:r>
        <w:rPr>
          <w:rFonts w:ascii="Arial" w:cs="Arial" w:eastAsia="Arial" w:hAnsi="Arial"/>
          <w:sz w:val="24"/>
          <w:szCs w:val="24"/>
        </w:rPr>
        <w:t xml:space="preserve">Обеспеченность за счет собственного производства составила:</w:t>
      </w:r>
    </w:p>
    <w:p>
      <w:pPr>
        <w:spacing w:after="120"/>
        <w:jc w:val="both"/>
      </w:pPr>
      <w:r>
        <w:rPr>
          <w:rFonts w:ascii="Arial" w:cs="Arial" w:eastAsia="Arial" w:hAnsi="Arial"/>
          <w:sz w:val="24"/>
          <w:szCs w:val="24"/>
        </w:rPr>
        <w:t xml:space="preserve">- по хлебопродуктам - 360,2%, картофелю - 353,8%, молоку - 97,0%, мясу - 61,6%, овощам - 94,4%, маслу растительному - 254,6%, яйцу птицы - 46,2%.</w:t>
      </w:r>
    </w:p>
    <w:p>
      <w:pPr>
        <w:spacing w:after="120"/>
        <w:jc w:val="both"/>
      </w:pPr>
      <w:r>
        <w:rPr>
          <w:rFonts w:ascii="Arial" w:cs="Arial" w:eastAsia="Arial" w:hAnsi="Arial"/>
          <w:sz w:val="24"/>
          <w:szCs w:val="24"/>
        </w:rPr>
        <w:t xml:space="preserve">Следует отметить, что ежемесячный рост цен на основные продукты питания способствует снижению доступа к продуктам питания основной части населения республики.</w:t>
      </w:r>
    </w:p>
    <w:p>
      <w:pPr>
        <w:spacing w:after="120"/>
        <w:jc w:val="both"/>
      </w:pPr>
      <w:r>
        <w:rPr>
          <w:rFonts w:ascii="Arial" w:cs="Arial" w:eastAsia="Arial" w:hAnsi="Arial"/>
          <w:sz w:val="24"/>
          <w:szCs w:val="24"/>
        </w:rPr>
        <w:t xml:space="preserve">В целях обеспечения государственной поддержки сельских товаропроизводителей по своевременному проведению весенне-полевых работ в 2012 году и продовольственной безопасности республики:</w:t>
      </w:r>
    </w:p>
    <w:p>
      <w:pPr>
        <w:spacing w:after="120"/>
        <w:jc w:val="both"/>
      </w:pPr>
      <w:r>
        <w:rPr>
          <w:rFonts w:ascii="Arial" w:cs="Arial" w:eastAsia="Arial" w:hAnsi="Arial"/>
          <w:sz w:val="24"/>
          <w:szCs w:val="24"/>
        </w:rPr>
        <w:t xml:space="preserve">- разработана структура посевных площадей на 2012 год, учитывающая увеличение площадей под производство сахарной свеклы, масличных культур, овощей;</w:t>
      </w:r>
    </w:p>
    <w:p>
      <w:pPr>
        <w:spacing w:after="120"/>
        <w:jc w:val="both"/>
      </w:pPr>
      <w:r>
        <w:rPr>
          <w:rFonts w:ascii="Arial" w:cs="Arial" w:eastAsia="Arial" w:hAnsi="Arial"/>
          <w:sz w:val="24"/>
          <w:szCs w:val="24"/>
        </w:rPr>
        <w:t xml:space="preserve">- проводится работа с донорами по приобретению семян для восполнения недостающих семян;</w:t>
      </w:r>
    </w:p>
    <w:p>
      <w:pPr>
        <w:spacing w:after="120"/>
        <w:jc w:val="both"/>
      </w:pPr>
      <w:r>
        <w:rPr>
          <w:rFonts w:ascii="Arial" w:cs="Arial" w:eastAsia="Arial" w:hAnsi="Arial"/>
          <w:sz w:val="24"/>
          <w:szCs w:val="24"/>
        </w:rPr>
        <w:t xml:space="preserve">- Республикой Узбекистан выделена квота на поставку 100 тыс. тонн минеральных удобрений;</w:t>
      </w:r>
    </w:p>
    <w:p>
      <w:pPr>
        <w:spacing w:after="120"/>
        <w:jc w:val="both"/>
      </w:pPr>
      <w:r>
        <w:rPr>
          <w:rFonts w:ascii="Arial" w:cs="Arial" w:eastAsia="Arial" w:hAnsi="Arial"/>
          <w:sz w:val="24"/>
          <w:szCs w:val="24"/>
        </w:rPr>
        <w:t xml:space="preserve">- для стимулирования отечественных фермеров выделено 3 тыс. тонн дизтоплива по льготной средней цене 34 сома за литр при рыночной цене в размере 37,5 сома за литр;</w:t>
      </w:r>
    </w:p>
    <w:p>
      <w:pPr>
        <w:spacing w:after="120"/>
        <w:jc w:val="both"/>
      </w:pPr>
      <w:r>
        <w:rPr>
          <w:rFonts w:ascii="Arial" w:cs="Arial" w:eastAsia="Arial" w:hAnsi="Arial"/>
          <w:sz w:val="24"/>
          <w:szCs w:val="24"/>
        </w:rPr>
        <w:t xml:space="preserve">- предоставление льготных кредитов на поддержку сельхозпроизводителей. Законом Кыргызской Республики "О республиканском бюджете на 2012 год и прогнозе на 2013-2014 годы" (принят постановлением Жогорку Кенеша Кыргызской Республики от 15.03.12 г. N 1739-V) предусмотрено выделение 1,0 млрд. сомов на программу "Доступные кредиты фермерам-2" (профинансировано в I кв. 2012 г. - 639,8 млн. сомов).</w:t>
      </w:r>
    </w:p>
    <w:p>
      <w:pPr>
        <w:spacing w:after="120"/>
        <w:jc w:val="both"/>
      </w:pPr>
      <w:r>
        <w:rPr>
          <w:rFonts w:ascii="Arial" w:cs="Arial" w:eastAsia="Arial" w:hAnsi="Arial"/>
          <w:sz w:val="24"/>
          <w:szCs w:val="24"/>
        </w:rPr>
        <w:t xml:space="preserve">Для справки: По оперативным сводным отчетам коммерческих банков по проекту "Доступные кредиты фермерам-2", на 6 апреля 2012 года в целом по республике для растениеводства было принято заявок от 5565 хозяйствующих субъектов, всего на сумму 795,1 млн. сомов, из которых были одобрены 2630 заявок на сумму 282,2 млн. сомов и выданы денежные кредиты 2242 хозсубъектам всего на сумму 245,8 млн. сомов.</w:t>
      </w:r>
    </w:p>
    <w:p>
      <w:pPr>
        <w:spacing w:after="120"/>
        <w:jc w:val="both"/>
      </w:pPr>
      <w:r>
        <w:rPr>
          <w:rFonts w:ascii="Arial" w:cs="Arial" w:eastAsia="Arial" w:hAnsi="Arial"/>
          <w:sz w:val="24"/>
          <w:szCs w:val="24"/>
        </w:rPr>
        <w:t xml:space="preserve">Для развитие животноводства было принято заявок от 11677 хозяйствующих субъектов, всего на сумму 2382,4 млн. сомов, из которых были одобрены 3718 заявок на сумму 424,3 млн. сомов и выданы денежные кредиты 3419 хозсубъектам всего на сумму 393,5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строительном комплексе отмечается увеличение объемов капитальных вложений. За январь-март 2012 года объем инвестиций в основной капитал за счет всех источников финансирования составил 6,1 млрд. сомов и вырос на 8,7%. Рост инвестиций в основной капитал обеспечен за счет увеличения объемов строительства объектов горнодобывающей и обрабатывающей промышленности, торговли, ремонта автомобилей, бытовых изделий и предметов личного пользования, гостиниц и ресторанов, связи, сферы образования.</w:t>
      </w:r>
    </w:p>
    <w:p>
      <w:pPr>
        <w:spacing w:after="120"/>
        <w:jc w:val="both"/>
      </w:pPr>
      <w:r>
        <w:rPr>
          <w:rFonts w:ascii="Arial" w:cs="Arial" w:eastAsia="Arial" w:hAnsi="Arial"/>
          <w:sz w:val="24"/>
          <w:szCs w:val="24"/>
        </w:rPr>
        <w:t xml:space="preserve">Общий объем валовой продукции строительства за январь-март 2012 г. составил 5,5 млрд. сомов и увеличился на 12,0%. Влияние строительного сектора на темпы экономического роста было положительным и вклад в формирование ВВП составил 0,37%, удельный вес которого в структуре производства ВВП - 3,4%.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строительного комплекса за январь-март 2012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 Январь-│  Январь-март  │   Январь-март   │</w:t>
      </w:r>
    </w:p>
    <w:p>
      <w:pPr>
        <w:spacing w:after="120"/>
        <w:jc w:val="center"/>
      </w:pPr>
      <w:r>
        <w:rPr>
          <w:rFonts w:ascii="Arial" w:cs="Arial" w:eastAsia="Arial" w:hAnsi="Arial"/>
          <w:sz w:val="24"/>
          <w:szCs w:val="24"/>
        </w:rPr>
        <w:t xml:space="preserve">│                          │  март  │    2012 г.    │      2012 г.    │</w:t>
      </w:r>
    </w:p>
    <w:p>
      <w:pPr>
        <w:spacing w:after="120"/>
        <w:jc w:val="center"/>
      </w:pPr>
      <w:r>
        <w:rPr>
          <w:rFonts w:ascii="Arial" w:cs="Arial" w:eastAsia="Arial" w:hAnsi="Arial"/>
          <w:sz w:val="24"/>
          <w:szCs w:val="24"/>
        </w:rPr>
        <w:t xml:space="preserve">│                          │ 2011 г.│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Факт.  │ Предв.│Прогноз│ Отклон.│ Отклон.│</w:t>
      </w:r>
    </w:p>
    <w:p>
      <w:pPr>
        <w:spacing w:after="120"/>
        <w:jc w:val="center"/>
      </w:pPr>
      <w:r>
        <w:rPr>
          <w:rFonts w:ascii="Arial" w:cs="Arial" w:eastAsia="Arial" w:hAnsi="Arial"/>
          <w:sz w:val="24"/>
          <w:szCs w:val="24"/>
        </w:rPr>
        <w:t xml:space="preserve">│                          │        │ факт. │       │от факт.│   от   │</w:t>
      </w:r>
    </w:p>
    <w:p>
      <w:pPr>
        <w:spacing w:after="120"/>
        <w:jc w:val="center"/>
      </w:pPr>
      <w:r>
        <w:rPr>
          <w:rFonts w:ascii="Arial" w:cs="Arial" w:eastAsia="Arial" w:hAnsi="Arial"/>
          <w:sz w:val="24"/>
          <w:szCs w:val="24"/>
        </w:rPr>
        <w:t xml:space="preserve">│                          │        │       │       │ 2011 г.│прогноза│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│Валовая продукция         │ 4581,6 │ 5459,8│ 5860,6│  878,2 │ -400,8 │</w:t>
      </w:r>
    </w:p>
    <w:p>
      <w:pPr>
        <w:spacing w:after="120"/>
        <w:jc w:val="center"/>
      </w:pPr>
      <w:r>
        <w:rPr>
          <w:rFonts w:ascii="Arial" w:cs="Arial" w:eastAsia="Arial" w:hAnsi="Arial"/>
          <w:sz w:val="24"/>
          <w:szCs w:val="24"/>
        </w:rPr>
        <w:t xml:space="preserve">│строительства, млн. сомов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роста, %            │   79,3 │  112,0│  120,2│   32,7 │   -8,2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             │  123,9 │  106,4│  106,4│  -17,5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│Инвестиции в основной     │ 5263,9 │ 6104,6│ 6569,3│  840,7 │ -464,7 │</w:t>
      </w:r>
    </w:p>
    <w:p>
      <w:pPr>
        <w:spacing w:after="120"/>
        <w:jc w:val="center"/>
      </w:pPr>
      <w:r>
        <w:rPr>
          <w:rFonts w:ascii="Arial" w:cs="Arial" w:eastAsia="Arial" w:hAnsi="Arial"/>
          <w:sz w:val="24"/>
          <w:szCs w:val="24"/>
        </w:rPr>
        <w:t xml:space="preserve">│капитал, млн. сомов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роста, %            │   73,5 │  108,7│  107,1│   35,2 │    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│Внутренние инвестиции,    │ 4287,2 │ 5250,7│ 5452,5│  963,5 │ -201,8 │</w:t>
      </w:r>
    </w:p>
    <w:p>
      <w:pPr>
        <w:spacing w:after="120"/>
        <w:jc w:val="center"/>
      </w:pPr>
      <w:r>
        <w:rPr>
          <w:rFonts w:ascii="Arial" w:cs="Arial" w:eastAsia="Arial" w:hAnsi="Arial"/>
          <w:sz w:val="24"/>
          <w:szCs w:val="24"/>
        </w:rPr>
        <w:t xml:space="preserve">│млн. сомов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│Внешние инвестиции, млн.  │  976,7 │  853,9│ 1116,8│ -122,8 │ -262,9 │</w:t>
      </w:r>
    </w:p>
    <w:p>
      <w:pPr>
        <w:spacing w:after="120"/>
        <w:jc w:val="center"/>
      </w:pPr>
      <w:r>
        <w:rPr>
          <w:rFonts w:ascii="Arial" w:cs="Arial" w:eastAsia="Arial" w:hAnsi="Arial"/>
          <w:sz w:val="24"/>
          <w:szCs w:val="24"/>
        </w:rPr>
        <w:t xml:space="preserve">│сомов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Увеличение объемов валовой продукции строительства объясняется ростом доли подрядных строительно-монтажных и прочих капитальных работ. При этом, фактически сложившиеся показатели не достигли прогнозируемых на I квартал 2012 г., тогда как ожидалось, что наибольший рост будет обеспечен со стороны сектора строительства (120,2%), который будет связан с продолжением работ по восстановлению инфраструктуры городов Ош, Джалал-Абад и районов, пострадавших во время событий 2010 года, а также значительными капитальными вложениями на месторождении "Кумтор", транспорте и в энергетике.</w:t>
      </w:r>
    </w:p>
    <w:p>
      <w:pPr>
        <w:spacing w:after="120"/>
        <w:jc w:val="both"/>
      </w:pPr>
      <w:r>
        <w:rPr>
          <w:rFonts w:ascii="Arial" w:cs="Arial" w:eastAsia="Arial" w:hAnsi="Arial"/>
          <w:sz w:val="24"/>
          <w:szCs w:val="24"/>
        </w:rPr>
        <w:t xml:space="preserve">Основными факторами, которые повлияли на замедление темпов строительства, явились:</w:t>
      </w:r>
    </w:p>
    <w:p>
      <w:pPr>
        <w:spacing w:after="120"/>
        <w:jc w:val="both"/>
      </w:pPr>
      <w:r>
        <w:rPr>
          <w:rFonts w:ascii="Arial" w:cs="Arial" w:eastAsia="Arial" w:hAnsi="Arial"/>
          <w:sz w:val="24"/>
          <w:szCs w:val="24"/>
        </w:rPr>
        <w:t xml:space="preserve">- не утверждена Программа капитального строительства объектов за счет средств республиканского бюджета на 2012 год по настоящее время и многие работы не начаты по причине отсутствия финансирования;</w:t>
      </w:r>
    </w:p>
    <w:p>
      <w:pPr>
        <w:spacing w:after="120"/>
        <w:jc w:val="both"/>
      </w:pPr>
      <w:r>
        <w:rPr>
          <w:rFonts w:ascii="Arial" w:cs="Arial" w:eastAsia="Arial" w:hAnsi="Arial"/>
          <w:sz w:val="24"/>
          <w:szCs w:val="24"/>
        </w:rPr>
        <w:t xml:space="preserve">- снижение инвестиционной активности (на начало года многие инвестиционные проекты не реализованы и остаются приостановленными на республиканском и региональном уровнях);</w:t>
      </w:r>
    </w:p>
    <w:p>
      <w:pPr>
        <w:spacing w:after="120"/>
        <w:jc w:val="both"/>
      </w:pPr>
      <w:r>
        <w:rPr>
          <w:rFonts w:ascii="Arial" w:cs="Arial" w:eastAsia="Arial" w:hAnsi="Arial"/>
          <w:sz w:val="24"/>
          <w:szCs w:val="24"/>
        </w:rPr>
        <w:t xml:space="preserve">- сезонный характер проведения строительных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Инвестиции в основной капитал по источникам финансирования за январь-март 2011-2012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│Январь-│Январь-│  Уд. вес  │</w:t>
      </w:r>
    </w:p>
    <w:p>
      <w:pPr>
        <w:spacing w:after="120"/>
        <w:jc w:val="center"/>
      </w:pPr>
      <w:r>
        <w:rPr>
          <w:rFonts w:ascii="Arial" w:cs="Arial" w:eastAsia="Arial" w:hAnsi="Arial"/>
          <w:sz w:val="24"/>
          <w:szCs w:val="24"/>
        </w:rPr>
        <w:t xml:space="preserve">│                                         │ март  │ март  │  в общем  │</w:t>
      </w:r>
    </w:p>
    <w:p>
      <w:pPr>
        <w:spacing w:after="120"/>
        <w:jc w:val="center"/>
      </w:pPr>
      <w:r>
        <w:rPr>
          <w:rFonts w:ascii="Arial" w:cs="Arial" w:eastAsia="Arial" w:hAnsi="Arial"/>
          <w:sz w:val="24"/>
          <w:szCs w:val="24"/>
        </w:rPr>
        <w:t xml:space="preserve">│                                         │2011 г.│2012 г.│  объеме   │</w:t>
      </w:r>
    </w:p>
    <w:p>
      <w:pPr>
        <w:spacing w:after="120"/>
        <w:jc w:val="center"/>
      </w:pPr>
      <w:r>
        <w:rPr>
          <w:rFonts w:ascii="Arial" w:cs="Arial" w:eastAsia="Arial" w:hAnsi="Arial"/>
          <w:sz w:val="24"/>
          <w:szCs w:val="24"/>
        </w:rPr>
        <w:t xml:space="preserve">│                                         │       │       │инвестиций,│</w:t>
      </w:r>
    </w:p>
    <w:p>
      <w:pPr>
        <w:spacing w:after="120"/>
        <w:jc w:val="center"/>
      </w:pPr>
      <w:r>
        <w:rPr>
          <w:rFonts w:ascii="Arial" w:cs="Arial" w:eastAsia="Arial" w:hAnsi="Arial"/>
          <w:sz w:val="24"/>
          <w:szCs w:val="24"/>
        </w:rPr>
        <w:t xml:space="preserve">│                                         │       │       │    в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│Инвестиции в основной капитал:           │       │       │           │</w:t>
      </w:r>
    </w:p>
    <w:p>
      <w:pPr>
        <w:spacing w:after="120"/>
        <w:jc w:val="center"/>
      </w:pPr>
      <w:r>
        <w:rPr>
          <w:rFonts w:ascii="Arial" w:cs="Arial" w:eastAsia="Arial" w:hAnsi="Arial"/>
          <w:sz w:val="24"/>
          <w:szCs w:val="24"/>
        </w:rPr>
        <w:t xml:space="preserve">│- млн. сомов                             │ 5263,9│ 6104,6│   100,0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темп роста, %                          │   73,5│  108,7│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внутренние инвестиции                  │ 4287,2│ 5250,7│    86,0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средства предприятий и организаций     │ 1055,3│ 2727,9│    44,7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кредиты банков                         │    2,8│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средства населения                     │ 2753,5│ 2426,3│    39,7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внешние инвестиции                     │  976,7│  853,9│    14,0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на Камбар-Атинскую ГЭС            │       │       │           │</w:t>
      </w:r>
    </w:p>
    <w:p>
      <w:pPr>
        <w:spacing w:after="120"/>
        <w:jc w:val="center"/>
      </w:pPr>
      <w:r>
        <w:rPr>
          <w:rFonts w:ascii="Arial" w:cs="Arial" w:eastAsia="Arial" w:hAnsi="Arial"/>
          <w:sz w:val="24"/>
          <w:szCs w:val="24"/>
        </w:rPr>
        <w:t xml:space="preserve">│- млн. сомов                             │  254,2│  235,7│     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темп роста, %                          │   23,3│   86,9│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 валовой продукции строительства:   │       │       │           │</w:t>
      </w:r>
    </w:p>
    <w:p>
      <w:pPr>
        <w:spacing w:after="120"/>
        <w:jc w:val="center"/>
      </w:pPr>
      <w:r>
        <w:rPr>
          <w:rFonts w:ascii="Arial" w:cs="Arial" w:eastAsia="Arial" w:hAnsi="Arial"/>
          <w:sz w:val="24"/>
          <w:szCs w:val="24"/>
        </w:rPr>
        <w:t xml:space="preserve">│- млн. сомов                             │ 4581,6│ 5459,8│    89,4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темп роста, %                          │   79,3│  112,0│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Суммарная доля внутренних инвестиционных средств составила 86,0% и внешних - 14,0% от общего объема освоенных капитальных вложений (см. табл. 8).</w:t>
      </w:r>
    </w:p>
    <w:p>
      <w:pPr>
        <w:spacing w:after="120"/>
        <w:jc w:val="both"/>
      </w:pPr>
      <w:r>
        <w:rPr>
          <w:rFonts w:ascii="Arial" w:cs="Arial" w:eastAsia="Arial" w:hAnsi="Arial"/>
          <w:sz w:val="24"/>
          <w:szCs w:val="24"/>
        </w:rPr>
        <w:t xml:space="preserve">По сравнению с соответствующим периодом 2011 г. объемы инвестиций в основной капитал за счет внутренних источников увеличились на 14,8%, из них за счет собственных средств предприятий и организаций - в 2,4 раза, где удельный вес в общем объеме освоенных инвестиций составляет 44,7%.</w:t>
      </w:r>
    </w:p>
    <w:p>
      <w:pPr>
        <w:spacing w:after="120"/>
        <w:jc w:val="both"/>
      </w:pPr>
      <w:r>
        <w:rPr>
          <w:rFonts w:ascii="Arial" w:cs="Arial" w:eastAsia="Arial" w:hAnsi="Arial"/>
          <w:sz w:val="24"/>
          <w:szCs w:val="24"/>
        </w:rPr>
        <w:t xml:space="preserve">В структуре инвестиций за январь-март 2012 года бюджетные вложения составили 1,6% против 9% за соответствующий период 2011 года, прямые иностранные инвестиции - 7,4% против 11,2% за аналогичный период 2011 года, средства населения, включая благотворительную помощь Президента Кыргызской Республики, - 39,7%, против 52,3% за аналогичный период 2011 г. При этом увеличились доля средств предприятий и организаций - 44,7% против 20,0% за аналогичный период 2011 г.</w:t>
      </w:r>
    </w:p>
    <w:p>
      <w:pPr>
        <w:spacing w:after="120"/>
        <w:jc w:val="both"/>
      </w:pPr>
      <w:r>
        <w:rPr>
          <w:rFonts w:ascii="Arial" w:cs="Arial" w:eastAsia="Arial" w:hAnsi="Arial"/>
          <w:sz w:val="24"/>
          <w:szCs w:val="24"/>
        </w:rPr>
        <w:t xml:space="preserve">За январь-март 2012 г. введено в действие основных фондов на сумму 3467,2 млн. сомов. На один сом освоенных инвестиций пришлось 0,57 сома основных фондов, против 2,17 сома в I квартале 2011 г.</w:t>
      </w:r>
    </w:p>
    <w:p>
      <w:pPr>
        <w:spacing w:after="120"/>
        <w:jc w:val="both"/>
      </w:pPr>
      <w:r>
        <w:rPr>
          <w:rFonts w:ascii="Arial" w:cs="Arial" w:eastAsia="Arial" w:hAnsi="Arial"/>
          <w:sz w:val="24"/>
          <w:szCs w:val="24"/>
        </w:rPr>
        <w:t xml:space="preserve">Основные суммы инвестиций в основной капитал направлены на горнодобывающую промышленность, где доля составила 29,1%, увеличившись по сравнению с соответствующим периодом 2011 года в 2,2 раза, транспорт и связь (6,8%), обрабатывающую промышленность (6,6%), где рост составил в 1,4 раза.</w:t>
      </w:r>
    </w:p>
    <w:p>
      <w:pPr>
        <w:spacing w:after="120"/>
        <w:jc w:val="both"/>
      </w:pPr>
      <w:r>
        <w:rPr>
          <w:rFonts w:ascii="Arial" w:cs="Arial" w:eastAsia="Arial" w:hAnsi="Arial"/>
          <w:sz w:val="24"/>
          <w:szCs w:val="24"/>
        </w:rPr>
        <w:t xml:space="preserve">Осуществляется реконструкция автомобильных дорог "Ош-Иркештам", "Ош-Исфана", "Бишкек-Торугарт", реабилитация дорог по проекту "Улучшение регионального дорожного коридора".</w:t>
      </w:r>
    </w:p>
    <w:p>
      <w:pPr>
        <w:spacing w:after="120"/>
        <w:jc w:val="both"/>
      </w:pPr>
      <w:r>
        <w:rPr>
          <w:rFonts w:ascii="Arial" w:cs="Arial" w:eastAsia="Arial" w:hAnsi="Arial"/>
          <w:sz w:val="24"/>
          <w:szCs w:val="24"/>
        </w:rPr>
        <w:t xml:space="preserve">В январе-марте 2012 г. сданы в эксплуатацию 1411 квартир общей площадью 149,4 тыс. кв. метров, или 71,7% к уровню соответствующего периода 2011 г. На строительстве жилья за истекший квартал использовано (по оценке) 1915,4 млн. сомов инвестиций в основной капитал, что на 21,7% меньше, чем в I квартале 2011 г.</w:t>
      </w:r>
    </w:p>
    <w:p>
      <w:pPr>
        <w:spacing w:after="120"/>
        <w:jc w:val="both"/>
      </w:pPr>
      <w:r>
        <w:rPr>
          <w:rFonts w:ascii="Arial" w:cs="Arial" w:eastAsia="Arial" w:hAnsi="Arial"/>
          <w:sz w:val="24"/>
          <w:szCs w:val="24"/>
        </w:rPr>
        <w:t xml:space="preserve">Основная доля введенного жилья (25,8% от общего ввода) приходится на г.Бишкек, где его введено 38,6 тыс. кв. метров и г.Ош - 19,7%, или 29,4 тыс. кв. метров.</w:t>
      </w:r>
    </w:p>
    <w:p>
      <w:pPr>
        <w:spacing w:after="120"/>
        <w:jc w:val="both"/>
      </w:pPr>
      <w:r>
        <w:rPr>
          <w:rFonts w:ascii="Arial" w:cs="Arial" w:eastAsia="Arial" w:hAnsi="Arial"/>
          <w:sz w:val="24"/>
          <w:szCs w:val="24"/>
        </w:rPr>
        <w:t xml:space="preserve">Строительство и ввод жилых домов осуществляются, в основном, за счет средств населения (84,7% процента от их общего ввода). Построено 1142 индивидуальных жилых дома, общей площадью 126,6 тыс. кв. метров, стоимость которых составила (по оценке) 1734,0 млн. сомов, что на 9,3% меньше, чем за соответствующий период 2011 года.</w:t>
      </w:r>
    </w:p>
    <w:p>
      <w:pPr>
        <w:spacing w:after="120"/>
        <w:jc w:val="both"/>
      </w:pPr>
      <w:r>
        <w:rPr>
          <w:rFonts w:ascii="Arial" w:cs="Arial" w:eastAsia="Arial" w:hAnsi="Arial"/>
          <w:sz w:val="24"/>
          <w:szCs w:val="24"/>
        </w:rPr>
        <w:t xml:space="preserve">На строительстве общеобразовательных школ в I квартале т.г. использовано 60,5 млн. сомов инвестиций в основной капитал. Построена общеобразовательная школа на 140 ученических мест в Баткенской области. Сданы в эксплуатацию амбулаторно-поликлинические учреждения на 35 посещений в смену в Чуйской области.</w:t>
      </w:r>
    </w:p>
    <w:p>
      <w:pPr>
        <w:spacing w:after="120"/>
        <w:jc w:val="both"/>
      </w:pPr>
      <w:r>
        <w:rPr>
          <w:rFonts w:ascii="Arial" w:cs="Arial" w:eastAsia="Arial" w:hAnsi="Arial"/>
          <w:sz w:val="24"/>
          <w:szCs w:val="24"/>
        </w:rPr>
        <w:t xml:space="preserve">В январе-марте 2012 года объемы строительства возросли в Иссык-Кульской (в 5,9 раза), Чуйской (в 1,7 раза), Ошской (на 22,9%) и Баткенской (на 14,6%) областях.</w:t>
      </w:r>
    </w:p>
    <w:p>
      <w:pPr>
        <w:spacing w:after="120"/>
        <w:jc w:val="both"/>
      </w:pPr>
      <w:r>
        <w:rPr>
          <w:rFonts w:ascii="Arial" w:cs="Arial" w:eastAsia="Arial" w:hAnsi="Arial"/>
          <w:sz w:val="24"/>
          <w:szCs w:val="24"/>
        </w:rPr>
        <w:t xml:space="preserve">Основную долю в объеме инвестиций в основной капитал занимают г.Бишкек (34,2%) и Иссык-Кульская область (29,6%). Это обусловлено тем, что в г.Бишкек значительные капитальные вложения направлены на жилищное строительство, а в Иссык-Кульской области значительные капитальные вложения осуществлены на месторождении "Кумтор".</w:t>
      </w:r>
    </w:p>
    <w:p>
      <w:pPr>
        <w:spacing w:after="120"/>
        <w:jc w:val="both"/>
      </w:pPr>
      <w:r>
        <w:rPr>
          <w:rFonts w:ascii="Arial" w:cs="Arial" w:eastAsia="Arial" w:hAnsi="Arial"/>
          <w:sz w:val="24"/>
          <w:szCs w:val="24"/>
        </w:rPr>
        <w:t xml:space="preserve">Восстановление южного региона.</w:t>
      </w:r>
    </w:p>
    <w:p>
      <w:pPr>
        <w:spacing w:after="120"/>
        <w:jc w:val="both"/>
      </w:pPr>
      <w:r>
        <w:rPr>
          <w:rFonts w:ascii="Arial" w:cs="Arial" w:eastAsia="Arial" w:hAnsi="Arial"/>
          <w:sz w:val="24"/>
          <w:szCs w:val="24"/>
        </w:rPr>
        <w:t xml:space="preserve">Осуществляются работы по восстановлению объектов инфраструктуры и социально-культурного назначения городов Ош и Джалал-Абад, где в январе-марте 2012 г. было профинансировано 265733,2 тыс. сомов, израсходовано 186011,6 тыс. сомов, из них:</w:t>
      </w:r>
    </w:p>
    <w:p>
      <w:pPr>
        <w:spacing w:after="120"/>
        <w:jc w:val="both"/>
      </w:pPr>
      <w:r>
        <w:rPr>
          <w:rFonts w:ascii="Arial" w:cs="Arial" w:eastAsia="Arial" w:hAnsi="Arial"/>
          <w:sz w:val="24"/>
          <w:szCs w:val="24"/>
        </w:rPr>
        <w:t xml:space="preserve">- на строительные и восстановительные работы - 108513,0 тыс. сомов;</w:t>
      </w:r>
    </w:p>
    <w:p>
      <w:pPr>
        <w:spacing w:after="120"/>
        <w:jc w:val="both"/>
      </w:pPr>
      <w:r>
        <w:rPr>
          <w:rFonts w:ascii="Arial" w:cs="Arial" w:eastAsia="Arial" w:hAnsi="Arial"/>
          <w:sz w:val="24"/>
          <w:szCs w:val="24"/>
        </w:rPr>
        <w:t xml:space="preserve">- на проектно-изыскательские работы - 4626,5 тыс. сомов;</w:t>
      </w:r>
    </w:p>
    <w:p>
      <w:pPr>
        <w:spacing w:after="120"/>
        <w:jc w:val="both"/>
      </w:pPr>
      <w:r>
        <w:rPr>
          <w:rFonts w:ascii="Arial" w:cs="Arial" w:eastAsia="Arial" w:hAnsi="Arial"/>
          <w:sz w:val="24"/>
          <w:szCs w:val="24"/>
        </w:rPr>
        <w:t xml:space="preserve">- на безвозмездную помощь пострадавшим 1323 предпринимателям 66150,0 тыс. сомов;</w:t>
      </w:r>
    </w:p>
    <w:p>
      <w:pPr>
        <w:spacing w:after="120"/>
        <w:jc w:val="both"/>
      </w:pPr>
      <w:r>
        <w:rPr>
          <w:rFonts w:ascii="Arial" w:cs="Arial" w:eastAsia="Arial" w:hAnsi="Arial"/>
          <w:sz w:val="24"/>
          <w:szCs w:val="24"/>
        </w:rPr>
        <w:t xml:space="preserve">- на содержание Госдирекции - 6722,1 тыс. сомов.</w:t>
      </w:r>
    </w:p>
    <w:p>
      <w:pPr>
        <w:spacing w:after="120"/>
        <w:jc w:val="both"/>
      </w:pPr>
      <w:r>
        <w:rPr>
          <w:rFonts w:ascii="Arial" w:cs="Arial" w:eastAsia="Arial" w:hAnsi="Arial"/>
          <w:sz w:val="24"/>
          <w:szCs w:val="24"/>
        </w:rPr>
        <w:t xml:space="preserve">В настоящее время из 1548 строящихся домов (в Ошской области - 638 домов, г.Ош - 575, Джалал-Абадской области - 335) завершены стены 1402 домов, завершена кровля 1350 домов, завершена отделка 758 домов.</w:t>
      </w:r>
    </w:p>
    <w:p>
      <w:pPr>
        <w:spacing w:after="120"/>
        <w:jc w:val="both"/>
      </w:pPr>
      <w:r>
        <w:rPr>
          <w:rFonts w:ascii="Arial" w:cs="Arial" w:eastAsia="Arial" w:hAnsi="Arial"/>
          <w:sz w:val="24"/>
          <w:szCs w:val="24"/>
        </w:rPr>
        <w:t xml:space="preserve">Утверждены 2 дополнительных списка пострадавших предпринимателей в количестве 2 тыс. человек. С начала 2012 года 1024 пострадавших предпринимателя получили от государства безвозмездную помощь в размере по 50 тыс. сомов, на общую сумму 51,2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январь-март 2012 года валовой выпуск сферы услуг сложился в объеме 47,1 млрд. сомов, с темпом реального роста 104,0% и не достиг ожидаемого уровня на 1,5 процентных пункта. По сравнению с аналогичным периодом 2011 года темп роста сферы услуг ускорился на 0,4 процентных пункта. Данный рост обусловлен растущим спросом на услуги со стороны населения, вызванным ростом денежных доходов, в частности заработной платы на 36,4%. Влияние сферы услуг на темпы экономического роста было положительным, вклад в формирование роста ВВП составил 2,1 процентных пункта, с удельным весом в структуре производства ВВП - 50,5%.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сферы услуг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│Январь-│Январь-│ Откл. │Январь-│ Откл. │</w:t>
      </w:r>
    </w:p>
    <w:p>
      <w:pPr>
        <w:spacing w:after="120"/>
        <w:jc w:val="center"/>
      </w:pPr>
      <w:r>
        <w:rPr>
          <w:rFonts w:ascii="Arial" w:cs="Arial" w:eastAsia="Arial" w:hAnsi="Arial"/>
          <w:sz w:val="24"/>
          <w:szCs w:val="24"/>
        </w:rPr>
        <w:t xml:space="preserve">│                             │ март  │ март  │       │ март  │       │</w:t>
      </w:r>
    </w:p>
    <w:p>
      <w:pPr>
        <w:spacing w:after="120"/>
        <w:jc w:val="center"/>
      </w:pPr>
      <w:r>
        <w:rPr>
          <w:rFonts w:ascii="Arial" w:cs="Arial" w:eastAsia="Arial" w:hAnsi="Arial"/>
          <w:sz w:val="24"/>
          <w:szCs w:val="24"/>
        </w:rPr>
        <w:t xml:space="preserve">│                             │2011 г.│2012 г.│       │2012 г.│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Факт. │Предв. │К пред.│ Ожид. │К ожид.│</w:t>
      </w:r>
    </w:p>
    <w:p>
      <w:pPr>
        <w:spacing w:after="120"/>
        <w:jc w:val="center"/>
      </w:pPr>
      <w:r>
        <w:rPr>
          <w:rFonts w:ascii="Arial" w:cs="Arial" w:eastAsia="Arial" w:hAnsi="Arial"/>
          <w:sz w:val="24"/>
          <w:szCs w:val="24"/>
        </w:rPr>
        <w:t xml:space="preserve">│                             │       │ факт. │ году.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│Сфера услуг:                 │       │       │       │       │       │</w:t>
      </w:r>
    </w:p>
    <w:p>
      <w:pPr>
        <w:spacing w:after="120"/>
        <w:jc w:val="center"/>
      </w:pPr>
      <w:r>
        <w:rPr>
          <w:rFonts w:ascii="Arial" w:cs="Arial" w:eastAsia="Arial" w:hAnsi="Arial"/>
          <w:sz w:val="24"/>
          <w:szCs w:val="24"/>
        </w:rPr>
        <w:t xml:space="preserve">│- млн. сомов                 │42248,7│47086,2│ 4837,5│47215,5│ -129,3│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темп роста, %              │  102,1│  104,0│    1,9│  105,5│   -1,5│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│Торговля, ремонт автомобилей,│       │       │       │       │       │</w:t>
      </w:r>
    </w:p>
    <w:p>
      <w:pPr>
        <w:spacing w:after="120"/>
        <w:jc w:val="center"/>
      </w:pPr>
      <w:r>
        <w:rPr>
          <w:rFonts w:ascii="Arial" w:cs="Arial" w:eastAsia="Arial" w:hAnsi="Arial"/>
          <w:sz w:val="24"/>
          <w:szCs w:val="24"/>
        </w:rPr>
        <w:t xml:space="preserve">│бытовых изделий:             │       │       │       │       │       │</w:t>
      </w:r>
    </w:p>
    <w:p>
      <w:pPr>
        <w:spacing w:after="120"/>
        <w:jc w:val="center"/>
      </w:pPr>
      <w:r>
        <w:rPr>
          <w:rFonts w:ascii="Arial" w:cs="Arial" w:eastAsia="Arial" w:hAnsi="Arial"/>
          <w:sz w:val="24"/>
          <w:szCs w:val="24"/>
        </w:rPr>
        <w:t xml:space="preserve">│- млн. сомов                 │12680,6│13836,9│ 1156,3│14067,5│ -230,6│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темп роста, %              │   95,7│  106,6│   10,9│  105,8│    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│Транспорт:                   │       │       │       │       │       │</w:t>
      </w:r>
    </w:p>
    <w:p>
      <w:pPr>
        <w:spacing w:after="120"/>
        <w:jc w:val="center"/>
      </w:pPr>
      <w:r>
        <w:rPr>
          <w:rFonts w:ascii="Arial" w:cs="Arial" w:eastAsia="Arial" w:hAnsi="Arial"/>
          <w:sz w:val="24"/>
          <w:szCs w:val="24"/>
        </w:rPr>
        <w:t xml:space="preserve">│- млн. сомов                 │ 5666,2│ 6730,8│ 1064,6│ 7081,6│ -350,8│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темп роста, %              │  107,5│  110,2│    2,7│  114,4│   -4,2│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│Связь:                       │       │       │       │       │       │</w:t>
      </w:r>
    </w:p>
    <w:p>
      <w:pPr>
        <w:spacing w:after="120"/>
        <w:jc w:val="center"/>
      </w:pPr>
      <w:r>
        <w:rPr>
          <w:rFonts w:ascii="Arial" w:cs="Arial" w:eastAsia="Arial" w:hAnsi="Arial"/>
          <w:sz w:val="24"/>
          <w:szCs w:val="24"/>
        </w:rPr>
        <w:t xml:space="preserve">│- млн. сомов                 │ 4457,0│ 4731,8│  274,8│ 4828,5│  -96,7│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темп роста, %              │  119,5│  104,7│  -14,8│  105,4│   -0,7│</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Положительный вклад в рост сферы услуг на 2,0 процентных пункта обеспечен со стороны торговли, ремонта автомобилей, бытовых изделий и предметов личного пользования, где темп реального роста в январе-марте 2012 года составил 106,6% и превысил прогнозный показатель на 0,8 процентных пункта, а также услуги транспорта, где рост составил 110,2% и связи - 104,7%.</w:t>
      </w:r>
    </w:p>
    <w:p>
      <w:pPr>
        <w:spacing w:after="120"/>
        <w:jc w:val="both"/>
      </w:pPr>
      <w:r>
        <w:rPr>
          <w:rFonts w:ascii="Arial" w:cs="Arial" w:eastAsia="Arial" w:hAnsi="Arial"/>
          <w:sz w:val="24"/>
          <w:szCs w:val="24"/>
        </w:rPr>
        <w:t xml:space="preserve">Оборот торговли, ремонта автомобилей, бытовых изделий и предметов личного пользования за январь-март 2012 года составил 46,8 млрд. сомов, темп реального роста, составил 107,3% (за январь-март 2011 года темп роста составил 96,4%).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и вклады секторов в оборот торговли,</w:t>
      </w:r>
    </w:p>
    <w:p>
      <w:pPr>
        <w:spacing w:after="120"/>
        <w:jc w:val="both"/>
      </w:pPr>
      <w:r>
        <w:rPr>
          <w:rFonts w:ascii="Arial" w:cs="Arial" w:eastAsia="Arial" w:hAnsi="Arial"/>
          <w:sz w:val="24"/>
          <w:szCs w:val="24"/>
        </w:rPr>
        <w:t xml:space="preserve">ремонт автомобилей, бытовых изделий и предметов</w:t>
      </w:r>
    </w:p>
    <w:p>
      <w:pPr>
        <w:spacing w:after="120"/>
        <w:jc w:val="both"/>
      </w:pPr>
      <w:r>
        <w:rPr>
          <w:rFonts w:ascii="Arial" w:cs="Arial" w:eastAsia="Arial" w:hAnsi="Arial"/>
          <w:sz w:val="24"/>
          <w:szCs w:val="24"/>
        </w:rPr>
        <w:t xml:space="preserve">личного пользования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Январь-март│ Январь-март │ Доля  │ Вклад │</w:t>
      </w:r>
    </w:p>
    <w:p>
      <w:pPr>
        <w:spacing w:after="120"/>
        <w:jc w:val="center"/>
      </w:pPr>
      <w:r>
        <w:rPr>
          <w:rFonts w:ascii="Arial" w:cs="Arial" w:eastAsia="Arial" w:hAnsi="Arial"/>
          <w:sz w:val="24"/>
          <w:szCs w:val="24"/>
        </w:rPr>
        <w:t xml:space="preserve">│                          │   2012 г.  │   2012 г.   │       │       │</w:t>
      </w:r>
    </w:p>
    <w:p>
      <w:pPr>
        <w:spacing w:after="120"/>
        <w:jc w:val="center"/>
      </w:pPr>
      <w:r>
        <w:rPr>
          <w:rFonts w:ascii="Arial" w:cs="Arial" w:eastAsia="Arial" w:hAnsi="Arial"/>
          <w:sz w:val="24"/>
          <w:szCs w:val="24"/>
        </w:rPr>
        <w:t xml:space="preserve">│                          │(млн. сомов)│темп роста,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│Розничная торговля        │  25742,3   │    106,1    │  55,0 │  3,39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│Оптовая торговля          │  14032,8   │    107,2    │  30,0 │  2,19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│Торговля моторным топливом│   5274,9   │    116,8    │  11,3 │  1,67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│Прочие                    │   1720,1   │    100,9    │   3,7 │  0,04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Основным фактором роста розничной и оптовой торговли стало увеличение как внутреннего спроса, вызванного ростом денежных доходов, так и внешнего спроса, обусловленного ростом ВВП стран - торговых партнеров: Казахстан - 4,6%; Россия - 4,1%. Кумулятивный вклад оптовой и розничной торговли оценивается в 5,6 процентных пункта. Проведение посевных работ повлекло рост спроса на нефтепродукты, что способствовало росту торговли моторным топливом на 16,8%.</w:t>
      </w:r>
    </w:p>
    <w:p>
      <w:pPr>
        <w:spacing w:after="120"/>
        <w:jc w:val="both"/>
      </w:pPr>
      <w:r>
        <w:rPr>
          <w:rFonts w:ascii="Arial" w:cs="Arial" w:eastAsia="Arial" w:hAnsi="Arial"/>
          <w:sz w:val="24"/>
          <w:szCs w:val="24"/>
        </w:rPr>
        <w:t xml:space="preserve">Валовой выпуск услуг транспорта составил 6,7 млрд. сомов, с темпом реального роста 110,2%. Ожидаемый уровень темпа реального роста в 114,4% не достигнут на 4,2 процентных пункта.</w:t>
      </w:r>
    </w:p>
    <w:p>
      <w:pPr>
        <w:spacing w:after="120"/>
        <w:jc w:val="both"/>
      </w:pPr>
      <w:r>
        <w:rPr>
          <w:rFonts w:ascii="Arial" w:cs="Arial" w:eastAsia="Arial" w:hAnsi="Arial"/>
          <w:sz w:val="24"/>
          <w:szCs w:val="24"/>
        </w:rPr>
        <w:t xml:space="preserve">Основной вклад в рост транспортных услуг внесли услуги по перевозке грузов, вклад которых оценивается в 8,1 процентных пункта, с темпом реального роста 115,1%. При этом основными источниками роста услуг транспорта стали услуги трубопроводного (рост в 2 раза) и железнодорожного транспортов (рост на 19,0%). Данное увеличение связано с ростом потребления природного газа и его импорта в 2,1 раза, а также увеличением экспорта в страны СНГ на 36,2%.</w:t>
      </w:r>
    </w:p>
    <w:p>
      <w:pPr>
        <w:spacing w:after="120"/>
        <w:jc w:val="both"/>
      </w:pPr>
      <w:r>
        <w:rPr>
          <w:rFonts w:ascii="Arial" w:cs="Arial" w:eastAsia="Arial" w:hAnsi="Arial"/>
          <w:sz w:val="24"/>
          <w:szCs w:val="24"/>
        </w:rPr>
        <w:t xml:space="preserve">В целях развития транспортных услуг проведены следующие мероприятия:</w:t>
      </w:r>
    </w:p>
    <w:p>
      <w:pPr>
        <w:spacing w:after="120"/>
        <w:jc w:val="both"/>
      </w:pPr>
      <w:r>
        <w:rPr>
          <w:rFonts w:ascii="Arial" w:cs="Arial" w:eastAsia="Arial" w:hAnsi="Arial"/>
          <w:sz w:val="24"/>
          <w:szCs w:val="24"/>
        </w:rPr>
        <w:t xml:space="preserve">- обеспечено полное финансирование проекта реконструкции автодороги "Бишкек-Нарын-Торугарт", протяженностью 539 км, через ратификацию кредитных соглашений с Фондом Международного развития ОПЕК, Саудовским фондом развития, Кувейтским фондом арабского экономического развития и фондом Абу-Даби;</w:t>
      </w:r>
    </w:p>
    <w:p>
      <w:pPr>
        <w:spacing w:after="120"/>
        <w:jc w:val="both"/>
      </w:pPr>
      <w:r>
        <w:rPr>
          <w:rFonts w:ascii="Arial" w:cs="Arial" w:eastAsia="Arial" w:hAnsi="Arial"/>
          <w:sz w:val="24"/>
          <w:szCs w:val="24"/>
        </w:rPr>
        <w:t xml:space="preserve">- в целях обеспечения безопасности полетов на внутренних авиарейсах введен запрет на осуществление полетов на внутренних авиарейсах на воздушных судах АН-24;</w:t>
      </w:r>
    </w:p>
    <w:p>
      <w:pPr>
        <w:spacing w:after="120"/>
        <w:jc w:val="both"/>
      </w:pPr>
      <w:r>
        <w:rPr>
          <w:rFonts w:ascii="Arial" w:cs="Arial" w:eastAsia="Arial" w:hAnsi="Arial"/>
          <w:sz w:val="24"/>
          <w:szCs w:val="24"/>
        </w:rPr>
        <w:t xml:space="preserve">- возобновлено авиасообщение по маршрутам Бишкек-Баткен, Бишкек-Джалал-Абад на современных воздушных судах. К 9 маю 2012 года возобновилось авиасообщение по маршруту Бишкек - Исфана. Кроме того, открылось новое авиасообщение по маршруту Бишкек-Худжант (Республика Таджикистан).</w:t>
      </w:r>
    </w:p>
    <w:p>
      <w:pPr>
        <w:spacing w:after="120"/>
        <w:jc w:val="both"/>
      </w:pPr>
      <w:r>
        <w:rPr>
          <w:rFonts w:ascii="Arial" w:cs="Arial" w:eastAsia="Arial" w:hAnsi="Arial"/>
          <w:sz w:val="24"/>
          <w:szCs w:val="24"/>
        </w:rPr>
        <w:t xml:space="preserve">За отчетный период валовой выпуск услуг связи сложился в объеме 4,7 млрд. сомов, темп реального роста составил 104,7%, что ниже ожидаемого уровня на 0,7 процентных пункта.</w:t>
      </w:r>
    </w:p>
    <w:p>
      <w:pPr>
        <w:spacing w:after="120"/>
        <w:jc w:val="both"/>
      </w:pPr>
      <w:r>
        <w:rPr>
          <w:rFonts w:ascii="Arial" w:cs="Arial" w:eastAsia="Arial" w:hAnsi="Arial"/>
          <w:sz w:val="24"/>
          <w:szCs w:val="24"/>
        </w:rPr>
        <w:t xml:space="preserve">Валовой выпуск услуг гостиниц и ресторанов сложился в объеме 2,0 млрд. сомов, темп реального роста составил 105,8%, при этом гостиниц 101,6%, ресторанов 106,5%. Основные факторы увеличения услуг гостиниц и ресторанов - увеличение сети предоставляемых услуг и притока туристов в страну.</w:t>
      </w:r>
    </w:p>
    <w:p>
      <w:pPr>
        <w:spacing w:after="120"/>
        <w:jc w:val="both"/>
      </w:pPr>
      <w:r>
        <w:rPr>
          <w:rFonts w:ascii="Arial" w:cs="Arial" w:eastAsia="Arial" w:hAnsi="Arial"/>
          <w:sz w:val="24"/>
          <w:szCs w:val="24"/>
        </w:rPr>
        <w:t xml:space="preserve">По итогам I квартала 2012 года общее число посетивших граждан из стран дальнего и ближнего зарубежья, подпадающих под классификацию Всемирной Туристской организации (ЮНВТО), по сравнению с аналогичным периодом предыдущего года увеличилось на 289,0 тыс. чел. и составило 581,2 тыс. человек(12).</w:t>
      </w:r>
    </w:p>
    <w:p>
      <w:pPr>
        <w:spacing w:after="120"/>
        <w:jc w:val="both"/>
      </w:pPr>
      <w:r>
        <w:rPr>
          <w:rFonts w:ascii="Arial" w:cs="Arial" w:eastAsia="Arial" w:hAnsi="Arial"/>
          <w:sz w:val="24"/>
          <w:szCs w:val="24"/>
        </w:rPr>
        <w:t xml:space="preserve">По приглашению Международного делового совета (IBC) министр культуры и туризма Кыргызской Республики принял участие в международной туристической конференции ITB-2012, которая состоялась 7-11 марта в Берлине (Германия), где был презентован "Туристический потенциал Кыргызстана - страна высоких гор и древних традиций на Великом Шелковом пути". В туристической выставке приняли участие 10 туроператоров из Кыргызстана.</w:t>
      </w:r>
    </w:p>
    <w:p>
      <w:pPr>
        <w:spacing w:after="120"/>
        <w:jc w:val="both"/>
      </w:pPr>
      <w:r>
        <w:rPr>
          <w:rFonts w:ascii="Arial" w:cs="Arial" w:eastAsia="Arial" w:hAnsi="Arial"/>
          <w:sz w:val="24"/>
          <w:szCs w:val="24"/>
        </w:rPr>
        <w:t xml:space="preserve">Поступление налоговых платежей в бюджет республики от туристической деятельности за I квартал 2012 года составило 24023,0 тыс. сомов (за аналогичный период 2011 г. поступило 36152,8 тыс. сомов), темп роста составил 68,3%(13).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Исполнение государственного бюджета</w:t>
      </w:r>
    </w:p>
    <w:p>
      <w:pPr>
        <w:spacing w:after="120"/>
        <w:jc w:val="both"/>
      </w:pPr>
      <w:r>
        <w:rPr>
          <w:rFonts w:ascii="Arial" w:cs="Arial" w:eastAsia="Arial" w:hAnsi="Arial"/>
          <w:sz w:val="24"/>
          <w:szCs w:val="24"/>
        </w:rPr>
        <w:t xml:space="preserve">3.1. Исполнение доходной части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предварительным данным Центрального казначейства, общий объем доходов государственного бюджета за январь-март 2012 года составил 17317,4 млн. сомов или 105,9% от установленного планового задания. Доля общих доходов государственного бюджета за отчетный период составила 34,1% к ВВП. Сумма перевыполнения плана составила 962,1 млн. сомов, в основном, в связи с увеличением таможенных поступлений и сборов. При этом, по сравнению с соответствующим периодом 2011 года общие доходы бюджета возросли на 14,3%, или на 2161,7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государственного бюджета,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Январь-март 2012 г.,   │  Январь-март 2012 г.,  │ Отклонения (+/-) │</w:t>
      </w:r>
    </w:p>
    <w:p>
      <w:pPr>
        <w:spacing w:after="120"/>
        <w:jc w:val="center"/>
      </w:pPr>
      <w:r>
        <w:rPr>
          <w:rFonts w:ascii="Arial" w:cs="Arial" w:eastAsia="Arial" w:hAnsi="Arial"/>
          <w:sz w:val="24"/>
          <w:szCs w:val="24"/>
        </w:rPr>
        <w:t xml:space="preserve">│          план           │          факт.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16355,3        │         17317,4        │        962,1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налоговых поступлений в государственный бюджет составил 13777,9 млн. сомов, что составляет 107,9% от намеченного планового значения. По отношению к соответствующему периоду 2011 года налоговые доходы выросли на 2183,9 млн. сомов или на 18,8%.</w:t>
      </w:r>
    </w:p>
    <w:p>
      <w:pPr>
        <w:spacing w:after="120"/>
        <w:jc w:val="both"/>
      </w:pPr>
      <w:r>
        <w:rPr>
          <w:rFonts w:ascii="Arial" w:cs="Arial" w:eastAsia="Arial" w:hAnsi="Arial"/>
          <w:sz w:val="24"/>
          <w:szCs w:val="24"/>
        </w:rPr>
        <w:t xml:space="preserve">В том числе, Государственной налоговой службой при Правительстве Кыргызской Республики собрано налогов и платежей в сумме 7818,1 млн. сомов, плановый показатель выполнен на 103,2%. При этом, без учета "Кумтор", налоговые доходы составили 6870,4 млн. сомов или 107,0% к плану.</w:t>
      </w:r>
    </w:p>
    <w:p>
      <w:pPr>
        <w:spacing w:after="120"/>
        <w:jc w:val="both"/>
      </w:pPr>
      <w:r>
        <w:rPr>
          <w:rFonts w:ascii="Arial" w:cs="Arial" w:eastAsia="Arial" w:hAnsi="Arial"/>
          <w:sz w:val="24"/>
          <w:szCs w:val="24"/>
        </w:rPr>
        <w:t xml:space="preserve">Государственной таможенной службой при Правительстве Кыргызской Республики обеспечено поступление таможенных сборов и платежей в государственный бюджет в сумме 5959,8 млн. сомов, или 114,6% от плана. По отношению к аналогичному периоду 2011 года поступление доходов в денежном выражении возросло на 1901,4 млн. сомов, что обусловлено увеличением объемов импорта.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доходов государственного бюджета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│Январь-│Январь-│ Темп │Январь-│  Процент │</w:t>
      </w:r>
    </w:p>
    <w:p>
      <w:pPr>
        <w:spacing w:after="120"/>
        <w:jc w:val="center"/>
      </w:pPr>
      <w:r>
        <w:rPr>
          <w:rFonts w:ascii="Arial" w:cs="Arial" w:eastAsia="Arial" w:hAnsi="Arial"/>
          <w:sz w:val="24"/>
          <w:szCs w:val="24"/>
        </w:rPr>
        <w:t xml:space="preserve">│                           │ март  │ март  │роста,│ март  │выполнения│</w:t>
      </w:r>
    </w:p>
    <w:p>
      <w:pPr>
        <w:spacing w:after="120"/>
        <w:jc w:val="center"/>
      </w:pPr>
      <w:r>
        <w:rPr>
          <w:rFonts w:ascii="Arial" w:cs="Arial" w:eastAsia="Arial" w:hAnsi="Arial"/>
          <w:sz w:val="24"/>
          <w:szCs w:val="24"/>
        </w:rPr>
        <w:t xml:space="preserve">│                           │2011 г.│2012 г.│  (%) │2012 г.│    (%)   │</w:t>
      </w:r>
    </w:p>
    <w:p>
      <w:pPr>
        <w:spacing w:after="120"/>
        <w:jc w:val="center"/>
      </w:pPr>
      <w:r>
        <w:rPr>
          <w:rFonts w:ascii="Arial" w:cs="Arial" w:eastAsia="Arial" w:hAnsi="Arial"/>
          <w:sz w:val="24"/>
          <w:szCs w:val="24"/>
        </w:rPr>
        <w:t xml:space="preserve">│                           │ факт. │ факт. │      │ план.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│Налоговые поступления      │11594,0│13777,9│ 118,8│12772,1│   107,9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│ГНС при Правительстве      │ 7535,5│ 7818,1│ 103,8│ 7572,1│   103,2  │</w:t>
      </w:r>
    </w:p>
    <w:p>
      <w:pPr>
        <w:spacing w:after="120"/>
        <w:jc w:val="center"/>
      </w:pPr>
      <w:r>
        <w:rPr>
          <w:rFonts w:ascii="Arial" w:cs="Arial" w:eastAsia="Arial" w:hAnsi="Arial"/>
          <w:sz w:val="24"/>
          <w:szCs w:val="24"/>
        </w:rPr>
        <w:t xml:space="preserve">│Кыргызской Республики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│ГТС при Правительстве      │ 4058,5│ 5959,8│ 146,8│ 5200,0│   114,6  │</w:t>
      </w:r>
    </w:p>
    <w:p>
      <w:pPr>
        <w:spacing w:after="120"/>
        <w:jc w:val="center"/>
      </w:pPr>
      <w:r>
        <w:rPr>
          <w:rFonts w:ascii="Arial" w:cs="Arial" w:eastAsia="Arial" w:hAnsi="Arial"/>
          <w:sz w:val="24"/>
          <w:szCs w:val="24"/>
        </w:rPr>
        <w:t xml:space="preserve">│Кыргызской Республики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│Неналоговые поступления    │ 2234,3│ 2681,5│ 120,0│ 2517,6│   106,5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│Полученные официальные     │ 1327,4│  858,0│  64,6│ 1065,5│    80,5  │</w:t>
      </w:r>
    </w:p>
    <w:p>
      <w:pPr>
        <w:spacing w:after="120"/>
        <w:jc w:val="center"/>
      </w:pPr>
      <w:r>
        <w:rPr>
          <w:rFonts w:ascii="Arial" w:cs="Arial" w:eastAsia="Arial" w:hAnsi="Arial"/>
          <w:sz w:val="24"/>
          <w:szCs w:val="24"/>
        </w:rPr>
        <w:t xml:space="preserve">│трансферты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│15155,7│17317,4│ 114,3│16355,3│   105,9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поступления государственного бюджета за рассматриваемый период составили 2681,5 млн. сомов или 106,5% от плана. Темп роста по сравнению с соответствующим периодом 2011 года составил 120,0%, или поступления увеличились на 447,2 млн. сомов. Данный рост связан, в основном, с увеличением поступлений специальных средств бюджетных учреждений, платы за регистрацию и перерегистрацию транспортных средств и прочих неналоговых доходов.</w:t>
      </w:r>
    </w:p>
    <w:p>
      <w:pPr>
        <w:spacing w:after="120"/>
        <w:jc w:val="both"/>
      </w:pPr>
      <w:r>
        <w:rPr>
          <w:rFonts w:ascii="Arial" w:cs="Arial" w:eastAsia="Arial" w:hAnsi="Arial"/>
          <w:sz w:val="24"/>
          <w:szCs w:val="24"/>
        </w:rPr>
        <w:t xml:space="preserve">Поступление полученных официальных грантов составило 858,0 млн. сомов или 80,5% от плана, в бюджет недопоступило 207,5 млн. сомов, в основном, в связи с недопоступлением грантов ПГИ. По сравнению с прошлым годом поступление полученных грантов снизилось на 35,4% или на 469,4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Исполнение расходной части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январь-март 2012 года расходная часть республиканского бюджета (без специальных средств и с учетом государственного долга) исполнена в сумме 17813,6 млн. сомов, или на 98,8% от плана. В сравнении с аналогичным периодом 2011 года общие расходы увеличились на 4550,6 млн. сомов, или на 34,3%. К объему ВВП общие расходы республиканского бюджета составили 35,1% с увеличением относительно аналогичного периода 2011 года на 6,6 процентных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статей      │Январь-│Январь-│ Темп │Январь-│Процент│</w:t>
      </w:r>
    </w:p>
    <w:p>
      <w:pPr>
        <w:spacing w:after="120"/>
        <w:jc w:val="center"/>
      </w:pPr>
      <w:r>
        <w:rPr>
          <w:rFonts w:ascii="Arial" w:cs="Arial" w:eastAsia="Arial" w:hAnsi="Arial"/>
          <w:sz w:val="24"/>
          <w:szCs w:val="24"/>
        </w:rPr>
        <w:t xml:space="preserve">│                              │ март  │ март  │роста,│ март  │выполн.│</w:t>
      </w:r>
    </w:p>
    <w:p>
      <w:pPr>
        <w:spacing w:after="120"/>
        <w:jc w:val="center"/>
      </w:pPr>
      <w:r>
        <w:rPr>
          <w:rFonts w:ascii="Arial" w:cs="Arial" w:eastAsia="Arial" w:hAnsi="Arial"/>
          <w:sz w:val="24"/>
          <w:szCs w:val="24"/>
        </w:rPr>
        <w:t xml:space="preserve">│                              │2011 г.│2012 г.│  (%) │2012 г.│  (%)  │</w:t>
      </w:r>
    </w:p>
    <w:p>
      <w:pPr>
        <w:spacing w:after="120"/>
        <w:jc w:val="center"/>
      </w:pPr>
      <w:r>
        <w:rPr>
          <w:rFonts w:ascii="Arial" w:cs="Arial" w:eastAsia="Arial" w:hAnsi="Arial"/>
          <w:sz w:val="24"/>
          <w:szCs w:val="24"/>
        </w:rPr>
        <w:t xml:space="preserve">│                              │ факт. │ факт. │      │ план.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│13263,0│17813,6│ 134,3│18036,1│   98,8│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│Заработная плата              │ 2699,5│ 3531,8│ 130,8│ 3531,8│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│Взносы в Социальный фонд      │  262,2│  394,8│ 150,6│  394,8│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│Приобретение медикаментов     │   90,3│  110,0│ 121,8│  110,0│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│Пособия по соц. обеспечению   │ 1962,0│ 2790,7│ 142,2│ 2790,7│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│Пособия по соц. пом. населению│ 1087,8│ 1357,5│ 124,8│ 1357,5│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│Текущие гранты междунар.      │   62,5│   39,7│  63,5│   39,7│  100  │</w:t>
      </w:r>
    </w:p>
    <w:p>
      <w:pPr>
        <w:spacing w:after="120"/>
        <w:jc w:val="center"/>
      </w:pPr>
      <w:r>
        <w:rPr>
          <w:rFonts w:ascii="Arial" w:cs="Arial" w:eastAsia="Arial" w:hAnsi="Arial"/>
          <w:sz w:val="24"/>
          <w:szCs w:val="24"/>
        </w:rPr>
        <w:t xml:space="preserve">│орган.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│Текущие гранты др. ед. госуд. │ 1492,5│ 2381,0│ 159,5│ 2381,0│  100  │</w:t>
      </w:r>
    </w:p>
    <w:p>
      <w:pPr>
        <w:spacing w:after="120"/>
        <w:jc w:val="center"/>
      </w:pPr>
      <w:r>
        <w:rPr>
          <w:rFonts w:ascii="Arial" w:cs="Arial" w:eastAsia="Arial" w:hAnsi="Arial"/>
          <w:sz w:val="24"/>
          <w:szCs w:val="24"/>
        </w:rPr>
        <w:t xml:space="preserve">│управ.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по защищенным статьям   │ 9235,8│13342,6│ 144,5│13342,6│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│Субсидии нефинансовым гос.    │  529,2│  465,2│  87,9│  465,2│  100  │</w:t>
      </w:r>
    </w:p>
    <w:p>
      <w:pPr>
        <w:spacing w:after="120"/>
        <w:jc w:val="center"/>
      </w:pPr>
      <w:r>
        <w:rPr>
          <w:rFonts w:ascii="Arial" w:cs="Arial" w:eastAsia="Arial" w:hAnsi="Arial"/>
          <w:sz w:val="24"/>
          <w:szCs w:val="24"/>
        </w:rPr>
        <w:t xml:space="preserve">│предпр.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│Здания и сооружения           │  845,2│  558,8│  66,1│  679,4│   82,2│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│Кредиты, ссуды и займы        │  433,3│  635,8│ 146,7│  651,6│   97,6│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│Внешние заимствования         │  250,7│  300,8│ 120,0│  300,8│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│Ценные бумаги, кроме акций    │ 1070,8│  986,5│  92,1│  986,5│  100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Финансирование расходов по заработной плате из республиканского бюджета по сравнению с аналогичным периодом 2011 года увеличилось на 832,3 млн. сомов, или на 30,8% (за январь-март 2011 года расходы по заработной плате составили 2699,5 млн. сомов) в связи с повышением размеров заработной платы работников социальной сферы.</w:t>
      </w:r>
    </w:p>
    <w:p>
      <w:pPr>
        <w:spacing w:after="120"/>
        <w:jc w:val="both"/>
      </w:pPr>
      <w:r>
        <w:rPr>
          <w:rFonts w:ascii="Arial" w:cs="Arial" w:eastAsia="Arial" w:hAnsi="Arial"/>
          <w:sz w:val="24"/>
          <w:szCs w:val="24"/>
        </w:rPr>
        <w:t xml:space="preserve">Одним из факторов, повлиявших на финансирование расходов республиканского бюджета стал, тот факт, что Закон Кыргызской Республики "О республиканском бюджете Кыргызской Республики на 2012 год и прогнозе на 2013-2014 годы" не был принят в течение I квартала 2012 года. В связи, с этим согласно законодательству, финансирование расходов в месяц производилось не более одной двенадцатой части от всего объема запланированных на год средств.</w:t>
      </w:r>
    </w:p>
    <w:p>
      <w:pPr>
        <w:spacing w:after="120"/>
        <w:jc w:val="both"/>
      </w:pPr>
      <w:r>
        <w:rPr>
          <w:rFonts w:ascii="Arial" w:cs="Arial" w:eastAsia="Arial" w:hAnsi="Arial"/>
          <w:sz w:val="24"/>
          <w:szCs w:val="24"/>
        </w:rPr>
        <w:t xml:space="preserve">За январь-март 2012 года удельный вес расходов из республиканского бюджета на социальную сферу составил 46,9%, всего направлено на 2805,3 млн. сомов больше, чем в аналогичном периоде 2011 года (удельный вес расходов из республиканского бюджета на социальную сферу за январь-март 2011 года составил 41,4%).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социальную сферу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│Январь-март│Январь-март│Темп роста, %│</w:t>
      </w:r>
    </w:p>
    <w:p>
      <w:pPr>
        <w:spacing w:after="120"/>
        <w:jc w:val="center"/>
      </w:pPr>
      <w:r>
        <w:rPr>
          <w:rFonts w:ascii="Arial" w:cs="Arial" w:eastAsia="Arial" w:hAnsi="Arial"/>
          <w:sz w:val="24"/>
          <w:szCs w:val="24"/>
        </w:rPr>
        <w:t xml:space="preserve">│                               │ 2011 года │ 2012 года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4948,6  │  7753,9   │    156,7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│Социальная защита              │   3097,8  │  4203,3   │    135,7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│Образование                    │    495,9  │   920,9   │    185,7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│Здравоохранение                │   1126,8  │  2215,8   │    196,6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│Отдых, культура и религия      │    228,1  │   413,9   │    181,5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предварительным данным общий дефицит государственного бюджета за январь-март 2012 года составил 946,7 млн. сомов (2,0% к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Государственный долг: обслуживание внешнего и внутреннего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долг, по состоянию на конец февраля 2012 года, составил 144725,4 млн. сомов, в том числе внутренний долг - 12994,4 млн. сомов, внешний долг - 131731,0 млн. сомов.</w:t>
      </w:r>
    </w:p>
    <w:p>
      <w:pPr>
        <w:spacing w:after="120"/>
        <w:jc w:val="both"/>
      </w:pPr>
      <w:r>
        <w:rPr>
          <w:rFonts w:ascii="Arial" w:cs="Arial" w:eastAsia="Arial" w:hAnsi="Arial"/>
          <w:sz w:val="24"/>
          <w:szCs w:val="24"/>
        </w:rPr>
        <w:t xml:space="preserve">Обслуживание долга за январь-март 2012 года составило 1989,6 млн. сомов. На обслуживание внешнего долга направлено 800,2 млн. сомов, в т.ч. по основной сумме - 300,8 млн. сомов, и по процентам - 499,4 млн. сомов. Обслуживание внутреннего долга составило 1189,4 млн. сомов, в т.ч. по основной сумме - 986,5 млн. сомов, и по процентам - 202,9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Внешнеэкономическая деятельность</w:t>
      </w:r>
    </w:p>
    <w:p>
      <w:pPr>
        <w:spacing w:after="120"/>
        <w:jc w:val="both"/>
      </w:pPr>
      <w:r>
        <w:rPr>
          <w:rFonts w:ascii="Arial" w:cs="Arial" w:eastAsia="Arial" w:hAnsi="Arial"/>
          <w:sz w:val="24"/>
          <w:szCs w:val="24"/>
        </w:rPr>
        <w:t xml:space="preserve">4.1. Внешнеэкономическая политика и внешнеэкономическая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2012 год принес многочисленные изменения в международных отношениях и резкое ускорение исторических процессов в мировом сообществе. Продолжается процесс перераспределения сил и влияния на глобальном уровне, укрепления новых полюсов в международной системе. Наиболее очевидные проявления этих трансформаций - кардинальные изменения на Ближнем и Среднем Востоке, угрозы для наступления глобального кризиса финансовой и экономической системы ЕС, одновременно усиление экономической мощи и политического влияния государств Азиатского континента и БРИКС.</w:t>
      </w:r>
    </w:p>
    <w:p>
      <w:pPr>
        <w:spacing w:after="120"/>
        <w:jc w:val="both"/>
      </w:pPr>
      <w:r>
        <w:rPr>
          <w:rFonts w:ascii="Arial" w:cs="Arial" w:eastAsia="Arial" w:hAnsi="Arial"/>
          <w:sz w:val="24"/>
          <w:szCs w:val="24"/>
        </w:rPr>
        <w:t xml:space="preserve">Направление СНГ. В отчетный период масштабы и динамика внешнеполитической и международной деятельности Кыргызской Республики носили достаточно целенаправленный и активный характер.</w:t>
      </w:r>
    </w:p>
    <w:p>
      <w:pPr>
        <w:spacing w:after="120"/>
        <w:jc w:val="both"/>
      </w:pPr>
      <w:r>
        <w:rPr>
          <w:rFonts w:ascii="Arial" w:cs="Arial" w:eastAsia="Arial" w:hAnsi="Arial"/>
          <w:sz w:val="24"/>
          <w:szCs w:val="24"/>
        </w:rPr>
        <w:t xml:space="preserve">Наиболее насыщенной площадкой в этом направлении остается пространство СНГ, где сосредоточены основные национальные интересы Кыргызстана в области экономики, обороны, безопасности, защиты прав соотечественников. Основные усилия были направлены на развитие и укрепление отношений с основными государствами-партнерами в двустороннем и многостороннем формате, в первую очередь, с соседями Кыргызской Республики.</w:t>
      </w:r>
    </w:p>
    <w:p>
      <w:pPr>
        <w:spacing w:after="120"/>
        <w:jc w:val="both"/>
      </w:pPr>
      <w:r>
        <w:rPr>
          <w:rFonts w:ascii="Arial" w:cs="Arial" w:eastAsia="Arial" w:hAnsi="Arial"/>
          <w:sz w:val="24"/>
          <w:szCs w:val="24"/>
        </w:rPr>
        <w:t xml:space="preserve">Экономическое сотрудничество со странами СНГ, в частности, с Российской Федерацией, продолжало оставаться одним из стратегических направлений в деятельности Правительства. Достаточно продуктивными были договоренности, достигнутые в ходе визита Президента Кыргызской Республики А.Атамбаева в Москву 25-27 февраля. Положительно решен вопрос задолженности российской стороны за использование мест дислокации российских военных объектов в Кыргызстане в период с 2008 по 2011 годы (произведена оплата в сумме 15 млн. долл.США), возобновлены процедуры списания остатков государственного долга, передачи акций ОАО "ТНК "Дастан", здания Торгового представительства Российской Федерации в Кыргызской Республике и перспективы совместного строительства Камбаратинской ГЭС-1. Пути практической реализации этих наработок будут обсуждены в ходе 14-го заседания Кыргызско-российской МПК.</w:t>
      </w:r>
    </w:p>
    <w:p>
      <w:pPr>
        <w:spacing w:after="120"/>
        <w:jc w:val="both"/>
      </w:pPr>
      <w:r>
        <w:rPr>
          <w:rFonts w:ascii="Arial" w:cs="Arial" w:eastAsia="Arial" w:hAnsi="Arial"/>
          <w:sz w:val="24"/>
          <w:szCs w:val="24"/>
        </w:rPr>
        <w:t xml:space="preserve">Укреплению экономического партнерства с Казахстаном способствовал рабочий визит Премьер-министра Кыргызской Республики О.Бабанова в Астану 21-22 февраля. В пользу взаимного интереса сторон свидетельствуют решения по функционированию кыргызско-казахстанского инвестиционного фонда, проведению 3-го заседания кыргызско-казахстанского Межправительственного совета в Астане, а также вопросы участия казахстанской стороны в проектах Камбаратинской ГЭС-1, ЛЭП "Кемин-Алматы" и ТЭЦ, строительство общеобразовательной школы в южном регионе страны в качестве гуманитарной помощи.</w:t>
      </w:r>
    </w:p>
    <w:p>
      <w:pPr>
        <w:spacing w:after="120"/>
        <w:jc w:val="both"/>
      </w:pPr>
      <w:r>
        <w:rPr>
          <w:rFonts w:ascii="Arial" w:cs="Arial" w:eastAsia="Arial" w:hAnsi="Arial"/>
          <w:sz w:val="24"/>
          <w:szCs w:val="24"/>
        </w:rPr>
        <w:t xml:space="preserve">Достигнуты договоренности о снятии ограничений на поставки в Республику Казахстан молочной и сельскохозяйственной продукции отечественных производителей, о беспрепятственном пересечении кыргызско-казахстанской границы гражданами Кыргызской Республики и увеличении срока их пребывания без регистрации на территории Казахстана с 30 до 90 дней, намечено возобновление функционирования пунктов пропуска "Кичи-капка" и "Каркыра" в апреле-мае т.г.</w:t>
      </w:r>
    </w:p>
    <w:p>
      <w:pPr>
        <w:spacing w:after="120"/>
        <w:jc w:val="both"/>
      </w:pPr>
      <w:r>
        <w:rPr>
          <w:rFonts w:ascii="Arial" w:cs="Arial" w:eastAsia="Arial" w:hAnsi="Arial"/>
          <w:sz w:val="24"/>
          <w:szCs w:val="24"/>
        </w:rPr>
        <w:t xml:space="preserve">19 марта Президент Кыргызской Республики А.Атамбаев принял участие на заседании Совета глав государств ЕврАзЭС в Москве по вопросу его реорганизации в Евразийский экономический союз.</w:t>
      </w:r>
    </w:p>
    <w:p>
      <w:pPr>
        <w:spacing w:after="120"/>
        <w:jc w:val="both"/>
      </w:pPr>
      <w:r>
        <w:rPr>
          <w:rFonts w:ascii="Arial" w:cs="Arial" w:eastAsia="Arial" w:hAnsi="Arial"/>
          <w:sz w:val="24"/>
          <w:szCs w:val="24"/>
        </w:rPr>
        <w:t xml:space="preserve">Западное направление. Достаточно плодотворна деятельность на западном направлении, а именно договоренности, достигнутые в ходе визита Президента Кыргызской Республики А.Атамбаева в Анкару 10-14 января, заложившие основу расширения торгово-экономического сотрудничества между двумя странами. 19 марта т.г. в Бишкеке состоялся Кыргызско-турецкий Бизнес-форум, с участием 140 турецких бизнесменов.</w:t>
      </w:r>
    </w:p>
    <w:p>
      <w:pPr>
        <w:spacing w:after="120"/>
        <w:jc w:val="both"/>
      </w:pPr>
      <w:r>
        <w:rPr>
          <w:rFonts w:ascii="Arial" w:cs="Arial" w:eastAsia="Arial" w:hAnsi="Arial"/>
          <w:sz w:val="24"/>
          <w:szCs w:val="24"/>
        </w:rPr>
        <w:t xml:space="preserve">Заслуживает внимания рабочий визит 26 января в Бишкек Специального Представителя ЕС по ЦА П.Мореля, в ходе переговоров с которым достигнута договоренность о предоставлении Европейским Союзом макроэкономической помощи в размере 30 млн. евро. Кроме того, в плане увеличения технической помощи со стороны ЕС также весьма перспективны итоги переговоров с оценочной миссией Мадридского клуба, посетившей Бишкек 25-28 февраля во главе с Николасом де Педро.</w:t>
      </w:r>
    </w:p>
    <w:p>
      <w:pPr>
        <w:spacing w:after="120"/>
        <w:jc w:val="both"/>
      </w:pPr>
      <w:r>
        <w:rPr>
          <w:rFonts w:ascii="Arial" w:cs="Arial" w:eastAsia="Arial" w:hAnsi="Arial"/>
          <w:sz w:val="24"/>
          <w:szCs w:val="24"/>
        </w:rPr>
        <w:t xml:space="preserve">Перспективы экономического сотрудничества с США были обсуждены с адмиралом Роном МакЛареном - директором Бюро по закупкам Агентства США по оборонной логистике во время его визита в Бишкек. Так, американская сторона заинтересована в покупке продуктов питания, стройматериалов и других промышленных товаров и услуг для Центра транзитных перевозок и Афганистана.</w:t>
      </w:r>
    </w:p>
    <w:p>
      <w:pPr>
        <w:spacing w:after="120"/>
        <w:jc w:val="both"/>
      </w:pPr>
      <w:r>
        <w:rPr>
          <w:rFonts w:ascii="Arial" w:cs="Arial" w:eastAsia="Arial" w:hAnsi="Arial"/>
          <w:sz w:val="24"/>
          <w:szCs w:val="24"/>
        </w:rPr>
        <w:t xml:space="preserve">Делегацией Кыргызской Республики во главе с мэром города Бишкек И.Омуркуловым в Лондоне, с 6 по 12 февраля, проведены переговоры с ЕБРР по финансированию двух проектов по улучшению водоснабжения и транспортного хозяйства жителей г.Бишкек и пригородных новостроек, на общую сумму 15 млн. долл.США.</w:t>
      </w:r>
    </w:p>
    <w:p>
      <w:pPr>
        <w:spacing w:after="120"/>
        <w:jc w:val="both"/>
      </w:pPr>
      <w:r>
        <w:rPr>
          <w:rFonts w:ascii="Arial" w:cs="Arial" w:eastAsia="Arial" w:hAnsi="Arial"/>
          <w:sz w:val="24"/>
          <w:szCs w:val="24"/>
        </w:rPr>
        <w:t xml:space="preserve">27 февраля в Женеве состоялась встреча министров иностранных дел Кыргызской Республики и Швейцарии, в ходе которой швейцарская сторона заверила, что продолжит оказание помощи Кыргызстану в рамках новой программы технического сотрудничества на 2012-2015 годы. Согласованы сроки проведения третьего заседания кыргызско-швейцарской межправительственной комиссии по торгово-экономическому сотрудничеству, которое состоится 25 сентября 2012 года в Берне.</w:t>
      </w:r>
    </w:p>
    <w:p>
      <w:pPr>
        <w:spacing w:after="120"/>
        <w:jc w:val="both"/>
      </w:pPr>
      <w:r>
        <w:rPr>
          <w:rFonts w:ascii="Arial" w:cs="Arial" w:eastAsia="Arial" w:hAnsi="Arial"/>
          <w:sz w:val="24"/>
          <w:szCs w:val="24"/>
        </w:rPr>
        <w:t xml:space="preserve">Прорабатывался вопрос подписания Соглашения между Кыргызской Республикой и Всемирным Банком о дополнительном финансировании Министерства международного развития Правительства Великобритании "проекта здравоохранения и социальной защиты" и проекта Соглашения между Кыргызской Республикой и Всемирным Банком о гранте дополнительного финансирования Правительства Швейцарии на софинансирование "Проекта здравоохранения и социальной защиты" (около 1,23 млн. долл.США).</w:t>
      </w:r>
    </w:p>
    <w:p>
      <w:pPr>
        <w:spacing w:after="120"/>
        <w:jc w:val="both"/>
      </w:pPr>
      <w:r>
        <w:rPr>
          <w:rFonts w:ascii="Arial" w:cs="Arial" w:eastAsia="Arial" w:hAnsi="Arial"/>
          <w:sz w:val="24"/>
          <w:szCs w:val="24"/>
        </w:rPr>
        <w:t xml:space="preserve">Ведется проработка вопроса по организации в течение 2012 года визита Президента Кыргызской Республики А.Атамбаева в Бельгию для посещения институтов ЕС и установления политического диалога со странами ЕС. Также ведется работа по организации во второй половине 2012 года рабочего визита Премьер-министра Кыргызской Республики О.Бабанова во Францию для активизации политического и торгово-экономического сотрудничества, в США, Турцию.</w:t>
      </w:r>
    </w:p>
    <w:p>
      <w:pPr>
        <w:spacing w:after="120"/>
        <w:jc w:val="both"/>
      </w:pPr>
      <w:r>
        <w:rPr>
          <w:rFonts w:ascii="Arial" w:cs="Arial" w:eastAsia="Arial" w:hAnsi="Arial"/>
          <w:sz w:val="24"/>
          <w:szCs w:val="24"/>
        </w:rPr>
        <w:t xml:space="preserve">В целях активизации кыргызско-британских двусторонних отношений открыто посольство Великобритании в городе Бишкек.</w:t>
      </w:r>
    </w:p>
    <w:p>
      <w:pPr>
        <w:spacing w:after="120"/>
        <w:jc w:val="both"/>
      </w:pPr>
      <w:r>
        <w:rPr>
          <w:rFonts w:ascii="Arial" w:cs="Arial" w:eastAsia="Arial" w:hAnsi="Arial"/>
          <w:sz w:val="24"/>
          <w:szCs w:val="24"/>
        </w:rPr>
        <w:t xml:space="preserve">Восточное направление. Среди важных приоритетов внешней политики Кыргызской Республики является восточное направление, которое характеризуется как одно из перспективных направлений сотрудничества на сегодняшний день. Наряду с началом функционирования посольства Саудовской Аравии в Бишкеке, весьма перспективно сотрудничество с Катаром, обозначенное сторонами в ходе визита Премьер-министра Кыргызской Республики О.Бабанова в Катар 5-6 марта и визита Исполнительного директора инвестиционной компании "Катар Холдинг" А.Аль-Саида 2-3 февраля в Бишкек. В частности, по линии компаний "Катар Холдинг", "Катар Диар", "Катар Эйрвэйз", "Хассад Фуд" и "Силатех".</w:t>
      </w:r>
    </w:p>
    <w:p>
      <w:pPr>
        <w:spacing w:after="120"/>
        <w:jc w:val="both"/>
      </w:pPr>
      <w:r>
        <w:rPr>
          <w:rFonts w:ascii="Arial" w:cs="Arial" w:eastAsia="Arial" w:hAnsi="Arial"/>
          <w:sz w:val="24"/>
          <w:szCs w:val="24"/>
        </w:rPr>
        <w:t xml:space="preserve">К числу практических итогов можно отнести открытие авиарейса "Дубай-Бишкек-Дубай" авиакомпанией "Флай-Дубай", а также подписание кредитного соглашения по реконструкции автодороги Бишкек-Нарын-Торугарт между Правительством Кыргызской Республики и Фондом Развития Абу-Даби в ходе визита делегации МИД ОАЭ в Бишкек 8-10 февраля.</w:t>
      </w:r>
    </w:p>
    <w:p>
      <w:pPr>
        <w:spacing w:after="120"/>
        <w:jc w:val="both"/>
      </w:pPr>
      <w:r>
        <w:rPr>
          <w:rFonts w:ascii="Arial" w:cs="Arial" w:eastAsia="Arial" w:hAnsi="Arial"/>
          <w:sz w:val="24"/>
          <w:szCs w:val="24"/>
        </w:rPr>
        <w:t xml:space="preserve">Экономическая дипломатия. Плодотворной характеризуется работа в решении задач по совершенствованию механизмов водопользования с соседними государствами в водно-энергетической сфере в целом. Проработано участие делегации Кыргызской Республики в работе Конференции на тему "Дипломатия водных ресурсов для Центральной Азии" в Берлине 7-8 марта и 6-го Всемирного Водного Форума в Марселе 12-17 марта. Оказано содействие Жогорку Кенешу Кыргызской Республики в подготовке и проведении Круглого стола на тему "Эффективное использование водных ресурсов Центральной Азии" 23 января.</w:t>
      </w:r>
    </w:p>
    <w:p>
      <w:pPr>
        <w:spacing w:after="120"/>
        <w:jc w:val="both"/>
      </w:pPr>
      <w:r>
        <w:rPr>
          <w:rFonts w:ascii="Arial" w:cs="Arial" w:eastAsia="Arial" w:hAnsi="Arial"/>
          <w:sz w:val="24"/>
          <w:szCs w:val="24"/>
        </w:rPr>
        <w:t xml:space="preserve">Министерством иностранных дел Кыргызской Республики и его загранучреждениями важное значение придавалось участию Кыргызской Республики в работе международных выставок-ярмарок в целях продвижения отечественных товаров и услуг, а также туристического потенциала и инвестиционных возможностей. Организовано участие кыргызских делегаций в Международной туристической ярмарке ITB-2012 во главе с министром культуры и туризма Кыргызской Республики И.Жунусовым и Международной сельскохозяйственной выставке "Зеленая неделя" в Берлине во главе с министром экономики и антимонопольной политики Кыргызской Республики Т.Сариевым.</w:t>
      </w:r>
    </w:p>
    <w:p>
      <w:pPr>
        <w:spacing w:after="120"/>
        <w:jc w:val="both"/>
      </w:pPr>
      <w:r>
        <w:rPr>
          <w:rFonts w:ascii="Arial" w:cs="Arial" w:eastAsia="Arial" w:hAnsi="Arial"/>
          <w:sz w:val="24"/>
          <w:szCs w:val="24"/>
        </w:rPr>
        <w:t xml:space="preserve">2 марта т.г. в Бишкеке в Национальном онкологическом центре Кыргызской Республики проведена церемония передачи медицинского оборудования на сумму 111,818 тыс. долл.США в рамках японской грантовой программы "Корни травы и человеческой безопасности".</w:t>
      </w:r>
    </w:p>
    <w:p>
      <w:pPr>
        <w:spacing w:after="120"/>
        <w:jc w:val="both"/>
      </w:pPr>
      <w:r>
        <w:rPr>
          <w:rFonts w:ascii="Arial" w:cs="Arial" w:eastAsia="Arial" w:hAnsi="Arial"/>
          <w:sz w:val="24"/>
          <w:szCs w:val="24"/>
        </w:rPr>
        <w:t xml:space="preserve">Подписан банковский договор между ОАО "РСК Банк" и Государственным банком развития Китая по реализации проекта строительства больничного комплекса в г.Ош.</w:t>
      </w:r>
    </w:p>
    <w:p>
      <w:pPr>
        <w:spacing w:after="120"/>
        <w:jc w:val="both"/>
      </w:pPr>
      <w:r>
        <w:rPr>
          <w:rFonts w:ascii="Arial" w:cs="Arial" w:eastAsia="Arial" w:hAnsi="Arial"/>
          <w:sz w:val="24"/>
          <w:szCs w:val="24"/>
        </w:rPr>
        <w:t xml:space="preserve">3 марта т.г. подписаны обменные письма, образующие Соглашение между Правительством Кыргызской Республики и Правительством Китайской Народной Республики о реализации проекта строительства общеобразовательной школы с изучением китайского языка в городе Бишкек.</w:t>
      </w:r>
    </w:p>
    <w:p>
      <w:pPr>
        <w:spacing w:after="120"/>
        <w:jc w:val="both"/>
      </w:pPr>
      <w:r>
        <w:rPr>
          <w:rFonts w:ascii="Arial" w:cs="Arial" w:eastAsia="Arial" w:hAnsi="Arial"/>
          <w:sz w:val="24"/>
          <w:szCs w:val="24"/>
        </w:rPr>
        <w:t xml:space="preserve">Подписано кредитное соглашение по реконструкции автодороги Бишкек-Нарын-Торугарт между Правительством Кыргызской Республики и Фондом Развития Абу-Даби (ОАЭ).</w:t>
      </w:r>
    </w:p>
    <w:p>
      <w:pPr>
        <w:spacing w:after="120"/>
        <w:jc w:val="both"/>
      </w:pPr>
      <w:r>
        <w:rPr>
          <w:rFonts w:ascii="Arial" w:cs="Arial" w:eastAsia="Arial" w:hAnsi="Arial"/>
          <w:sz w:val="24"/>
          <w:szCs w:val="24"/>
        </w:rPr>
        <w:t xml:space="preserve">Проведены переговоры с МВФ о предоставлении третьего транша для поддержки бюджета в размере 15 млн. долл.США, который ожидается в мае 2012 года.</w:t>
      </w:r>
    </w:p>
    <w:p>
      <w:pPr>
        <w:spacing w:after="120"/>
        <w:jc w:val="both"/>
      </w:pPr>
      <w:r>
        <w:rPr>
          <w:rFonts w:ascii="Arial" w:cs="Arial" w:eastAsia="Arial" w:hAnsi="Arial"/>
          <w:sz w:val="24"/>
          <w:szCs w:val="24"/>
        </w:rPr>
        <w:t xml:space="preserve">В целях сохранения места в списке стран, из которых разрешен доступ меда на рынок ЕС, подготовлен и направлен по дипломатическим каналам в Дирекцию Комиссии ЕС по продуктам питания и ветеринарии обновленный План-мониторинг по остаткам меда, основанный на ежегодном анализе содержания в меде запрещенных продуктов, ветеринарных веществ, химикатов или пестицидов, которые превышают допустимые нормы. На основании данного Плана, Дирекция принимает решение о включении Кыргызской Республики в список стран-экспортеров меда.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Внешняя торговля Кыргызской Республики за январь-март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Кыргызской Республики за январь-март 2012 года составил 1453,8 млн. долл.США, превысив показатель 2011 года за аналогичный период на 20,8%.</w:t>
      </w:r>
    </w:p>
    <w:p>
      <w:pPr>
        <w:spacing w:after="120"/>
        <w:jc w:val="both"/>
      </w:pPr>
      <w:r>
        <w:rPr>
          <w:rFonts w:ascii="Arial" w:cs="Arial" w:eastAsia="Arial" w:hAnsi="Arial"/>
          <w:sz w:val="24"/>
          <w:szCs w:val="24"/>
        </w:rPr>
        <w:t xml:space="preserve">Объем экспортных поставок составил 388,4 млн. долл.США (снижение на 12,0%), импортных поступлений - 1065,4 млн. долл.США (рост на 39,9%). В общем объеме товарооборота доля импорта составила 73,3%, экспорта - 26,7%.</w:t>
      </w:r>
    </w:p>
    <w:p>
      <w:pPr>
        <w:spacing w:after="120"/>
        <w:jc w:val="both"/>
      </w:pPr>
      <w:r>
        <w:rPr>
          <w:rFonts w:ascii="Arial" w:cs="Arial" w:eastAsia="Arial" w:hAnsi="Arial"/>
          <w:sz w:val="24"/>
          <w:szCs w:val="24"/>
        </w:rPr>
        <w:t xml:space="preserve">Сальдо торгового баланса сохранилось отрицательным и составило 677,0 млн. долл.США, что в 2,1 раза выше относительно января-марта 2011 года.</w:t>
      </w:r>
    </w:p>
    <w:p>
      <w:pPr>
        <w:spacing w:after="120"/>
        <w:jc w:val="both"/>
      </w:pPr>
      <w:r>
        <w:rPr>
          <w:rFonts w:ascii="Arial" w:cs="Arial" w:eastAsia="Arial" w:hAnsi="Arial"/>
          <w:sz w:val="24"/>
          <w:szCs w:val="24"/>
        </w:rPr>
        <w:t xml:space="preserve">Экспортные поставки за рассматриваемый период 2012 года, по сравнению с аналогичным периодом 2011 года, снизились на 12,0% и составили 388,4 млн. долл.США. Без учета золота, объем экспорта за истекший период увеличился в 1,7 раза и составил 265,6 млн. долл.США.</w:t>
      </w:r>
    </w:p>
    <w:p>
      <w:pPr>
        <w:spacing w:after="120"/>
        <w:jc w:val="both"/>
      </w:pPr>
      <w:r>
        <w:rPr>
          <w:rFonts w:ascii="Arial" w:cs="Arial" w:eastAsia="Arial" w:hAnsi="Arial"/>
          <w:sz w:val="24"/>
          <w:szCs w:val="24"/>
        </w:rPr>
        <w:t xml:space="preserve">Основной объем экспорта направлялся в Швейцарию (31,8% общего объема экспорта), Казахстан (27,1%), Россию (15,6%) и Узбекистан (9,3%).</w:t>
      </w:r>
    </w:p>
    <w:p>
      <w:pPr>
        <w:spacing w:after="120"/>
        <w:jc w:val="both"/>
      </w:pPr>
      <w:r>
        <w:rPr>
          <w:rFonts w:ascii="Arial" w:cs="Arial" w:eastAsia="Arial" w:hAnsi="Arial"/>
          <w:sz w:val="24"/>
          <w:szCs w:val="24"/>
        </w:rPr>
        <w:t xml:space="preserve">Основную долю в экспорте, по-прежнему, занимает золото (31,6%), на сумму 122,8 млн. долл.США, что меньше чем в аналогичном периоде 2011 года на 56,3%. Вместе с тем, за отчетный период наблюдается рост объемов экспорта неорганических химических веществ в 34,7 раза, хлопка-сырца в 3 раза, молокопродуктов в 1,7 раза, живых животных на 22,2%, электрических ламп накаливания на 8,9%, швейных изделий на 7,2% и др.</w:t>
      </w:r>
    </w:p>
    <w:p>
      <w:pPr>
        <w:spacing w:after="120"/>
        <w:jc w:val="both"/>
      </w:pPr>
      <w:r>
        <w:rPr>
          <w:rFonts w:ascii="Arial" w:cs="Arial" w:eastAsia="Arial" w:hAnsi="Arial"/>
          <w:sz w:val="24"/>
          <w:szCs w:val="24"/>
        </w:rPr>
        <w:t xml:space="preserve">При этом, наибольший вклад в экспорт внесли экспорт сырья и инвестиционных товаров, сводный вклад которых оценивается в 17,8 процентных пункта, которые выросли в 7,0 и 4,2 раза соответственно.</w:t>
      </w:r>
    </w:p>
    <w:p>
      <w:pPr>
        <w:spacing w:after="120"/>
        <w:jc w:val="both"/>
      </w:pPr>
      <w:r>
        <w:rPr>
          <w:rFonts w:ascii="Arial" w:cs="Arial" w:eastAsia="Arial" w:hAnsi="Arial"/>
          <w:sz w:val="24"/>
          <w:szCs w:val="24"/>
        </w:rPr>
        <w:t xml:space="preserve">За рассматриваемый период импортные поступления товаров в республику, по сравнению с аналогичным периодом прошлого года, возросли на 39,9% и достигли 1065,4 млн. долл.США. Увеличение объемов импорта обеспечивалось ростом поступлений минеральных продуктов (на 130,1 млн. долл.США), средств наземного, воздушного и водного транспорта, их частей и принадлежностей (на 70,0 млн. долл.США), машин, оборудования и механизмов (на 25,3 млн. долл.США), продукции химической и связанных с ней отраслей промышленности (на 16,5 млн. долл.США), недрагоценных металлов и изделий из них (на 20,2 млн. долл.США). Основной вклад в рост импорта внес ввоз в Кыргызскую Республику энергопродуктов, который оценивается в 31,2 процентных пункта, импорт энергопродуктов увеличился в 2,6 раза. Импорт инвестиционных товаров, сырья и промежуточных товаров, доля которых занимает в общей структуре импорта 36,7%, внесли суммарный вклад в 15,5 процентных пункта. Примечательно то, что доля импорта потребительских товаров сократилась на 10,6 процентных пункта, при этом, темп роста данного вида товаров составил 111,2%.</w:t>
      </w:r>
    </w:p>
    <w:p>
      <w:pPr>
        <w:spacing w:after="120"/>
        <w:jc w:val="both"/>
      </w:pPr>
      <w:r>
        <w:rPr>
          <w:rFonts w:ascii="Arial" w:cs="Arial" w:eastAsia="Arial" w:hAnsi="Arial"/>
          <w:sz w:val="24"/>
          <w:szCs w:val="24"/>
        </w:rPr>
        <w:t xml:space="preserve">Основными странами-партнерами по импорту являлись Россия, занимающая 33,9% в общем объеме поступлений, Китай (15,5%), Казахстан (12,8%), Япония (5,1%), Германия (4,3%), США (4,2%), Турция (3,0%).</w:t>
      </w:r>
    </w:p>
    <w:p>
      <w:pPr>
        <w:spacing w:after="120"/>
        <w:jc w:val="both"/>
      </w:pPr>
      <w:r>
        <w:rPr>
          <w:rFonts w:ascii="Arial" w:cs="Arial" w:eastAsia="Arial" w:hAnsi="Arial"/>
          <w:sz w:val="24"/>
          <w:szCs w:val="24"/>
        </w:rPr>
        <w:t xml:space="preserve">Увеличение объемов импорта обусловлено как ростом стоимостного значения, так и увеличением физических объемов, а именно: газ природный - в 1,9 раза и 113,1% соответственно, дизельное топливо - в 2,9 и 3,2 раза соответственно, автомобильный бензин - в 2,2 и 1,9 раза соответственно, уголь - в 2,1 и 1,7 раза соответственно, мука пшеничная - в 1,8 раза (в стоимостном значении), автомобили, бывшие в употреблении - в 2,8 и в 2,7 раза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Улучшение деловой среды</w:t>
      </w:r>
    </w:p>
    <w:p>
      <w:pPr>
        <w:spacing w:after="120"/>
        <w:jc w:val="both"/>
      </w:pPr>
      <w:r>
        <w:rPr>
          <w:rFonts w:ascii="Arial" w:cs="Arial" w:eastAsia="Arial" w:hAnsi="Arial"/>
          <w:sz w:val="24"/>
          <w:szCs w:val="24"/>
        </w:rPr>
        <w:t xml:space="preserve">5.1. Инвестиционная политика, исполнение Программы государственных инвестиций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эффективных средств привлечения инвестиций и реализации социально значимых проектов призвано стать государственно-частное партнерство. В этой связи разработан и принят Закон "О государственно-частном партнерстве в Кыргызской Республике" от 22 февраля 2012 года N 7.</w:t>
      </w:r>
    </w:p>
    <w:p>
      <w:pPr>
        <w:spacing w:after="120"/>
        <w:jc w:val="both"/>
      </w:pPr>
      <w:r>
        <w:rPr>
          <w:rFonts w:ascii="Arial" w:cs="Arial" w:eastAsia="Arial" w:hAnsi="Arial"/>
          <w:sz w:val="24"/>
          <w:szCs w:val="24"/>
        </w:rPr>
        <w:t xml:space="preserve">Данный Закон предусматривает распределение обязанностей между государственными органами по подготовке, отбору и реализации проектов государственно-частного партнерства, указывается сфера действия Закона, в том числе те сектора экономики, в которых возможна реализация проектов ГЧП.</w:t>
      </w:r>
    </w:p>
    <w:p>
      <w:pPr>
        <w:spacing w:after="120"/>
        <w:jc w:val="both"/>
      </w:pPr>
      <w:r>
        <w:rPr>
          <w:rFonts w:ascii="Arial" w:cs="Arial" w:eastAsia="Arial" w:hAnsi="Arial"/>
          <w:sz w:val="24"/>
          <w:szCs w:val="24"/>
        </w:rPr>
        <w:t xml:space="preserve">Активно проводится работа по созданию Кыргызско-Казахстанского, Кыргызско-Катарского инвестиционных фондов. Создание инвестиционных фондов, через которые предполагается финансирование приоритетных проектов на территории Кыргызской Республики, позволит увеличить приток иностранных инвестиций в страну, создать новые рабочие места, тем самым повлиять на улучшение социально-экономического развития.</w:t>
      </w:r>
    </w:p>
    <w:p>
      <w:pPr>
        <w:spacing w:after="120"/>
        <w:jc w:val="both"/>
      </w:pPr>
      <w:r>
        <w:rPr>
          <w:rFonts w:ascii="Arial" w:cs="Arial" w:eastAsia="Arial" w:hAnsi="Arial"/>
          <w:sz w:val="24"/>
          <w:szCs w:val="24"/>
        </w:rPr>
        <w:t xml:space="preserve">В рамках укрепления связей, взаимного доверия и определения новых форм сотрудничества между деловыми сообществами соседних стран проведены следующие мероприятия:</w:t>
      </w:r>
    </w:p>
    <w:p>
      <w:pPr>
        <w:spacing w:after="120"/>
        <w:jc w:val="both"/>
      </w:pPr>
      <w:r>
        <w:rPr>
          <w:rFonts w:ascii="Arial" w:cs="Arial" w:eastAsia="Arial" w:hAnsi="Arial"/>
          <w:sz w:val="24"/>
          <w:szCs w:val="24"/>
        </w:rPr>
        <w:t xml:space="preserve">- 3 апреля 2012 года в г.Бишкек проведен Кыргызско-монгольский бизнес-форум "Перспективы инвестиционного сотрудничества", с участием 55 предпринимателей из Монголии и 100 отечественных в сфере строительства, сельского хозяйства, туризма, промышленности, связи, транспорта, энергетики, горной добычи. Данное мероприятие послужило эффективной площадкой для бизнес-сообществ двух стран, а также для развития торгово-экономического и инвестиционного сотрудничества. Монгольские предприниматели ознакомились с условиями ведения предпринимательской деятельности на территории Кыргызской Республики;</w:t>
      </w:r>
    </w:p>
    <w:p>
      <w:pPr>
        <w:spacing w:after="120"/>
        <w:jc w:val="both"/>
      </w:pPr>
      <w:r>
        <w:rPr>
          <w:rFonts w:ascii="Arial" w:cs="Arial" w:eastAsia="Arial" w:hAnsi="Arial"/>
          <w:sz w:val="24"/>
          <w:szCs w:val="24"/>
        </w:rPr>
        <w:t xml:space="preserve">- 19 марта 2012 года проведен Кыргызско-Турецкий торгово-инвестиционный форум, в котором приняли участие 130 турецких предпринимателей, а также представители государственных органов. От кыргызской стороны приняли участие представители деловых сообществ. В ходе презентаций участники форума рассмотрели возможности инвестирования в такие отрасли, как легкая промышленность, машиностроение, пищевая промышленность, горнодобывающий сектор и др. По итогам данного мероприятия состоялось подписание двусторонних меморандумов о сотрудничестве между основными бизнес-ассоциациями Кыргызстана и Турции. В частности, между ТУСКОН и ЖИА, ТУСКОН и Кытиад.</w:t>
      </w:r>
    </w:p>
    <w:p>
      <w:pPr>
        <w:spacing w:after="120"/>
        <w:jc w:val="both"/>
      </w:pPr>
      <w:r>
        <w:rPr>
          <w:rFonts w:ascii="Arial" w:cs="Arial" w:eastAsia="Arial" w:hAnsi="Arial"/>
          <w:sz w:val="24"/>
          <w:szCs w:val="24"/>
        </w:rPr>
        <w:t xml:space="preserve">По данным экспресс-информации Национального статистического комитета Кыргызской Республики, поступление прямых иностранных инвестиций (далее - ПИИ) в 2011 году составило 849,2 млн. долл.США и к уровню 2010 года составило 127,5%.</w:t>
      </w:r>
    </w:p>
    <w:p>
      <w:pPr>
        <w:spacing w:after="120"/>
        <w:jc w:val="both"/>
      </w:pPr>
      <w:r>
        <w:rPr>
          <w:rFonts w:ascii="Arial" w:cs="Arial" w:eastAsia="Arial" w:hAnsi="Arial"/>
          <w:sz w:val="24"/>
          <w:szCs w:val="24"/>
        </w:rPr>
        <w:t xml:space="preserve">При рассмотрении структуры поступления ПИИ, приток в акционерный капитал в 2011 году составил 86,6 млн. долл.США и увеличился по сравнению с 2010 годом в 3,9 раза; реинвестированная прибыль составила 475,2 млн. долл.США и по сравнению с 2010 годом выросла в 2 раза; объем прочего капитала составил 283,0 млн. долл.США и снизился по сравнению с 2010 годом, составив 69,9%. Из них за счет торговых кредитов - 103,1 млн. долл.США, кредитов, полученных от иностранных совладельцев, 179,8 млн. долл.США.</w:t>
      </w:r>
    </w:p>
    <w:p>
      <w:pPr>
        <w:spacing w:after="120"/>
        <w:jc w:val="both"/>
      </w:pPr>
      <w:r>
        <w:rPr>
          <w:rFonts w:ascii="Arial" w:cs="Arial" w:eastAsia="Arial" w:hAnsi="Arial"/>
          <w:sz w:val="24"/>
          <w:szCs w:val="24"/>
        </w:rPr>
        <w:t xml:space="preserve">Наиболее привлекательными отраслями для инвесторов в 2011 году являлись обрабатывающая промышленность, удельный вес которой в общем объеме ПИИ составил 57,7%; операции с недвижимым имуществом, аренда и предоставление услуг потребителям - 20,0%; торговля; ремонт автомобилей, бытовых изделий и предметов личного пользования - 7,6%; финансовая деятельность - 5,7%; горнодобывающая промышленность - 3,2%.</w:t>
      </w:r>
    </w:p>
    <w:p>
      <w:pPr>
        <w:spacing w:after="120"/>
        <w:jc w:val="both"/>
      </w:pPr>
      <w:r>
        <w:rPr>
          <w:rFonts w:ascii="Arial" w:cs="Arial" w:eastAsia="Arial" w:hAnsi="Arial"/>
          <w:sz w:val="24"/>
          <w:szCs w:val="24"/>
        </w:rPr>
        <w:t xml:space="preserve">Приток прямых иностранных инвестиций из стран вне СНГ в 2011 году вырос в 1,5 раза по сравнению с уровнем 2010 года (94,9% от общего объема поступивших ПИИ). Основными странами-инвесторами являлись: Канада 52,5% от общего объема ПИИ (445,5 млн. долл.США), Китай - 17,6% (149,6 млн. долл.США), Великобритания - 6,0% (51,4 млн. долл.США), Германия 5,0% (42,7 млн. долл.США), Швейцария - 3,1% (26,4 млн. долл.США).</w:t>
      </w:r>
    </w:p>
    <w:p>
      <w:pPr>
        <w:spacing w:after="120"/>
        <w:jc w:val="both"/>
      </w:pPr>
      <w:r>
        <w:rPr>
          <w:rFonts w:ascii="Arial" w:cs="Arial" w:eastAsia="Arial" w:hAnsi="Arial"/>
          <w:sz w:val="24"/>
          <w:szCs w:val="24"/>
        </w:rPr>
        <w:t xml:space="preserve">Объем поступлений прямых иностранных инвестиций из стран СНГ по сравнению с 2010 годом снизился и составил 31,1% (5,1% от общего объема поступивших инвестиций). Основную долю вложений ПИИ осуществили инвесторы из Казахстана 2,8% (24,1 млн. долл.США от общего объема поступивших ПИИ, составив к уровню 2010 года 58,3%, а также из России - 2,2% (18,7 млн. долл.США) от общего объема поступивших ПИИ и снизились, составив к уровню 2010 года 19,2%.</w:t>
      </w:r>
    </w:p>
    <w:p>
      <w:pPr>
        <w:spacing w:after="120"/>
        <w:jc w:val="both"/>
      </w:pPr>
      <w:r>
        <w:rPr>
          <w:rFonts w:ascii="Arial" w:cs="Arial" w:eastAsia="Arial" w:hAnsi="Arial"/>
          <w:sz w:val="24"/>
          <w:szCs w:val="24"/>
        </w:rPr>
        <w:t xml:space="preserve">В 2011 году в общем объеме ПИИ наибольший удельный вес поступлений ПИИ приходится на Иссык-Кульскую - 51,5%, Чуйскую - 8,8%, Джалал-Абадскую области - 7,8%, г.Бишкек - 21,3%.</w:t>
      </w:r>
    </w:p>
    <w:p>
      <w:pPr>
        <w:spacing w:after="120"/>
        <w:jc w:val="both"/>
      </w:pPr>
      <w:r>
        <w:rPr>
          <w:rFonts w:ascii="Arial" w:cs="Arial" w:eastAsia="Arial" w:hAnsi="Arial"/>
          <w:sz w:val="24"/>
          <w:szCs w:val="24"/>
        </w:rPr>
        <w:t xml:space="preserve">Отток прямых иностранных инвестиций в 2011 году составил 155,7 млн. долл.США (18,3% поступивших ПИИ), что меньше чем за 2010 год на 72,8 млн. долл.США или на 31,9% (228,5 млн. долл.США в 2010 году).</w:t>
      </w:r>
    </w:p>
    <w:p>
      <w:pPr>
        <w:spacing w:after="120"/>
        <w:jc w:val="both"/>
      </w:pPr>
      <w:r>
        <w:rPr>
          <w:rFonts w:ascii="Arial" w:cs="Arial" w:eastAsia="Arial" w:hAnsi="Arial"/>
          <w:sz w:val="24"/>
          <w:szCs w:val="24"/>
        </w:rPr>
        <w:t xml:space="preserve">Отток ПИИ объясняется возвратом большей части полученных кредитов от зарубежных совладельцев предприятий и торговых кредитов, которые составляют в структуре оттока 89,7%. Следует отметить, что отток инвестиций прослеживается практически из всех отраслей экономики, но наибольшую долю занимают обрабатывающая промышленность - 36,8%, операции с недвижимым имуществом, аренда и предоставление услуг потребителям 20,4%, торговля; ремонт автомобилей, бытовых изделий и предметов личного пользования - 18,4%.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государственных инвестиций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расходов по инвестиционным проектам Программы государственных инвестиций за январь-март 2012 года составил 1612,6 млн. сомов, в том числе внешнее финансирование инвестиционных проектов без грантов составило 609,8 млн. сомов, или 4,7% от годового планового показателя, и в части внутреннего софинансирования инвестиционных проектов - 147,6 млн. сомов или 19,1% годового планового показателя.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официальным данным Национального статистического комитета Кыргызской Республики за 2011 год, в Кыргызской Республике функционировало(14) 11784 малых и средних предприятия (сокращение на 379 единиц относительно 2010 г.). Индивидуальную предпринимательскую деятельность осуществляли 267,8 тыс. физических лиц (прирост составил 23 тыс. физических лиц). Таким образом, общая численность работающих в сфере предпринимательства (без учета крестьянских и фермерских хозяйств) за отчетный период составила 356 тыс. человек (прирост составил 22 тыс. человек).</w:t>
      </w:r>
    </w:p>
    <w:p>
      <w:pPr>
        <w:spacing w:after="120"/>
        <w:jc w:val="both"/>
      </w:pPr>
      <w:r>
        <w:rPr>
          <w:rFonts w:ascii="Arial" w:cs="Arial" w:eastAsia="Arial" w:hAnsi="Arial"/>
          <w:sz w:val="24"/>
          <w:szCs w:val="24"/>
        </w:rPr>
        <w:t xml:space="preserve">Удельный вес малого и среднего бизнеса в общем объеме ВВП (предварительная оценка) составил - 41,4% или 113032,4 млн. сомов (2010 г. 41,2% или 90763,2 млн. сомов).</w:t>
      </w:r>
    </w:p>
    <w:p>
      <w:pPr>
        <w:spacing w:after="120"/>
        <w:jc w:val="both"/>
      </w:pPr>
      <w:r>
        <w:rPr>
          <w:rFonts w:ascii="Arial" w:cs="Arial" w:eastAsia="Arial" w:hAnsi="Arial"/>
          <w:sz w:val="24"/>
          <w:szCs w:val="24"/>
        </w:rPr>
        <w:t xml:space="preserve">В рамках Межведомственной комиссии по реформе системы государственного регулирования предпринимательской деятельности было разработано и принято постановление Правительства Кыргызской Республики "Об одобрении проекта Закона Кыргызской Республики "О внесении изменений и дополнений в некоторые законодательные акты Кыргызской Республики" от 28.02.2012 г. N 146, в котором предусматривается сокращение 72 видов лицензий и разрешений.</w:t>
      </w:r>
    </w:p>
    <w:p>
      <w:pPr>
        <w:spacing w:after="120"/>
        <w:jc w:val="both"/>
      </w:pPr>
      <w:r>
        <w:rPr>
          <w:rFonts w:ascii="Arial" w:cs="Arial" w:eastAsia="Arial" w:hAnsi="Arial"/>
          <w:sz w:val="24"/>
          <w:szCs w:val="24"/>
        </w:rPr>
        <w:t xml:space="preserve">В целях реализации Закона Кыргызской Республики "Об оптимизации нормативной правовой базы регулирования предпринимательской деятельности" принято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лицензировании" от 27.03.2012 г. N 206. В данном законопроекте предусмотрено введение нормы "молчание - знак согласия", направленной на регламентацию действий государственных органов-лицензиаров при осуществлении процедур лицензирования, связанных со сроками рассмотрения заявлений и выдачи лицензий.</w:t>
      </w:r>
    </w:p>
    <w:p>
      <w:pPr>
        <w:spacing w:after="120"/>
        <w:jc w:val="both"/>
      </w:pPr>
      <w:r>
        <w:rPr>
          <w:rFonts w:ascii="Arial" w:cs="Arial" w:eastAsia="Arial" w:hAnsi="Arial"/>
          <w:sz w:val="24"/>
          <w:szCs w:val="24"/>
        </w:rPr>
        <w:t xml:space="preserve">В целях установления перечня лиц, на которых распространяются меры государственной поддержки для субъектов предпринимательства, пострадавших в результате грабежей, мародерства и пожаров, произошедших в июне 2010 года в г.Ош, Ошской и Джалал-Абадской областях, принято постановление Правительства Кыргызской Республики "Об утверждении дополнительного реестра субъектов предпринимательства, пострадавших в результате грабежей, мародерства и пожаров, произошедших в июне 2010 года в городе Ош, Ошской и Джалал-Абадской областях" от 10 февраля 2012 года N 90.</w:t>
      </w:r>
    </w:p>
    <w:p>
      <w:pPr>
        <w:spacing w:after="120"/>
        <w:jc w:val="both"/>
      </w:pPr>
      <w:r>
        <w:rPr>
          <w:rFonts w:ascii="Arial" w:cs="Arial" w:eastAsia="Arial" w:hAnsi="Arial"/>
          <w:sz w:val="24"/>
          <w:szCs w:val="24"/>
        </w:rPr>
        <w:t xml:space="preserve">В целях оказания дополнительной поддержки заемщикам коммерческих банков и небанковских финансово-кредитных учреждений, пострадавшим в апрельских и июньских событиях в гг. Бишкек и Ош, Ошской и Джалал-Абадской областях Кыргызской Республики, и состоящим в реестрах субъектов предпринимательства, пострадавших в результате грабежей, мародерства и пожаров, произошедших в апреле-июне 2010 года в гг. Бишкек и Ош, Ошской и Джалал-Абадской областях, принято постановление Правительства Кыргызской Республики "О дополнительных мерах поддержки заемщиков, пострадавших в апрельских и июньских событиях в городах Бишкек и Ош, Ошской и Джалал-Абадской областях Кыргызской Республики" от 30 апреля 2012 года N 266.</w:t>
      </w:r>
    </w:p>
    <w:p>
      <w:pPr>
        <w:spacing w:after="120"/>
        <w:jc w:val="both"/>
      </w:pPr>
      <w:r>
        <w:rPr>
          <w:rFonts w:ascii="Arial" w:cs="Arial" w:eastAsia="Arial" w:hAnsi="Arial"/>
          <w:sz w:val="24"/>
          <w:szCs w:val="24"/>
        </w:rPr>
        <w:t xml:space="preserve">В целях урегулирования вопросов между заемщиками-залогодателями коммерческих банков и небанковских финансово-кредитных учреждений, пострадавших в результате апрельских и июньских событий 2010 года, и коммерческими банками, небанковскими финансово-кредитными учреждениями распоряжением Правительства Кыргызской Республики от 4 апреля 2012 года N 129-р образована Комиссия по урегулированию вопросов между заемщиками-залогодателями и коммерческими банками, небанковскими финансово-кредитными учреждениями.</w:t>
      </w:r>
    </w:p>
    <w:p>
      <w:pPr>
        <w:spacing w:after="120"/>
        <w:jc w:val="both"/>
      </w:pPr>
      <w:r>
        <w:rPr>
          <w:rFonts w:ascii="Arial" w:cs="Arial" w:eastAsia="Arial" w:hAnsi="Arial"/>
          <w:sz w:val="24"/>
          <w:szCs w:val="24"/>
        </w:rPr>
        <w:t xml:space="preserve">В целях реализации Закона Кыргызской Республики "О внесении изменений и дополнений в Закон Кыргызской Республики "О порядке проведения проверок субъектов предпринимательства" от 22 июля 2011 года N 121, а также недопущения необоснованных и неэффективных проверок со стороны государственных контролирующих органов, совершенствования порядка проведения проверок субъектов предпринимательства приняты постановления Правительства Кыргызской Республики: "Об утверждении критериев оценки степени риска при осуществлении предпринимательской деятельности" от 18 февраля 2012 года N 108, предусматривающее повышение эффективности работы государственных органов по проведению анализа и мониторинга проведенных проверок и регулирование периодичности плановых проверок субъектов предпринимательства в зависимости от степени оценки критериев риска, влияющее на улучшение предпринимательской деятельности и сокращение необоснованных проверок; "О внесении изменений и дополнения в постановление Правительства Кыргызской Республики "О проведении реформы системы государственного регулирования предпринимательской деятельности и совершенствовании государственной политики в сфере регулирования предпринимательской деятельности" от 3 марта 2011 года N 94" от 23 марта 2012 года N 194, предусматривающее оптимизацию в контрольно-надзорной сфере; "Об одобрении Перечня уполномоченных органов, имеющих право на проведение проверок субъектов предпринимательства" от 9 марта 2012 года N 166, предусматривающее сокращение количества государственных контролирующих органов с 21 до 13.</w:t>
      </w:r>
    </w:p>
    <w:p>
      <w:pPr>
        <w:spacing w:after="120"/>
        <w:jc w:val="both"/>
      </w:pPr>
      <w:r>
        <w:rPr>
          <w:rFonts w:ascii="Arial" w:cs="Arial" w:eastAsia="Arial" w:hAnsi="Arial"/>
          <w:sz w:val="24"/>
          <w:szCs w:val="24"/>
        </w:rPr>
        <w:t xml:space="preserve">В целях снятия напряженности по обеспечению сельхозпроизводителей удобрениями, повышения урожайности и экспорта сельскохозяйственных культур принято постановление Правительства Кыргызской Республики "Об установлении ставки сезонной (вывозной) таможенной пошлины на удобрения, вывозимые с территории Кыргызской Республики" от 9 февраля 2012 года N 84.</w:t>
      </w:r>
    </w:p>
    <w:p>
      <w:pPr>
        <w:spacing w:after="120"/>
        <w:jc w:val="both"/>
      </w:pPr>
      <w:r>
        <w:rPr>
          <w:rFonts w:ascii="Arial" w:cs="Arial" w:eastAsia="Arial" w:hAnsi="Arial"/>
          <w:sz w:val="24"/>
          <w:szCs w:val="24"/>
        </w:rPr>
        <w:t xml:space="preserve">Постановлением Правительства Кыргызской Республики "О введении временного запрета на вывоз нефтепродуктов с территории Кыргызской Республики" от 29 марта 2012 года N 218 введен временный запрет (сроком на 12 месяцев) на экспорт ГСМ, в целях недопущения критического недостатка и роста цен на данную продукцию на внутреннем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Фискальная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фискальной политики в отчетном периоде 2012 года были обеспечение устойчивого экономического роста путем создания максимально благоприятных условий для активизации деятельности хозяйствующих субъектов, ликвидация барьеров для ведения бизнеса, а также рассмотрение вопросов по снижению налогового бремени и стимулированию развития предпринимательства.</w:t>
      </w:r>
    </w:p>
    <w:p>
      <w:pPr>
        <w:spacing w:after="120"/>
        <w:jc w:val="both"/>
      </w:pPr>
      <w:r>
        <w:rPr>
          <w:rFonts w:ascii="Arial" w:cs="Arial" w:eastAsia="Arial" w:hAnsi="Arial"/>
          <w:sz w:val="24"/>
          <w:szCs w:val="24"/>
        </w:rPr>
        <w:t xml:space="preserve">Для улучшения инвестиционного климата, совершенствования проводимой налоговой политики, системы налогового и таможенного администрирования Правительством Кыргызской Республики принят ряд нормативных правовых актов:</w:t>
      </w:r>
    </w:p>
    <w:p>
      <w:pPr>
        <w:spacing w:after="120"/>
        <w:jc w:val="both"/>
      </w:pPr>
      <w:r>
        <w:rPr>
          <w:rFonts w:ascii="Arial" w:cs="Arial" w:eastAsia="Arial" w:hAnsi="Arial"/>
          <w:sz w:val="24"/>
          <w:szCs w:val="24"/>
        </w:rPr>
        <w:t xml:space="preserve">- в целях облегчения нагрузки на предпринимателей, путем отмены взимания средств в фонд оздоровления трудящихся, разработан пакет проектов законов о Социальном фонде Кыргызской Республики и сопутствующих законов о социальном страховании и страховых взносах, постановлением Правительства Кыргызской Республики одобрен проект Закона "О внесении изменений в некоторые законодательные акты Кыргызской Республики" от 18 февраля 2012 года N 107 и данный законопроект прошел второе чтение в Жогорку Кенеше Кыргызской Республики;</w:t>
      </w:r>
    </w:p>
    <w:p>
      <w:pPr>
        <w:spacing w:after="120"/>
        <w:jc w:val="both"/>
      </w:pPr>
      <w:r>
        <w:rPr>
          <w:rFonts w:ascii="Arial" w:cs="Arial" w:eastAsia="Arial" w:hAnsi="Arial"/>
          <w:sz w:val="24"/>
          <w:szCs w:val="24"/>
        </w:rPr>
        <w:t xml:space="preserve">- в целях совершенствования проводимой фискальной политики предусматривается поэтапное снижение ставок налога с продаж для плательщиков НДС и предоставление преференций для промышленных предприятий, осуществляющих деятельность в дотационных и преференциальных регионах, а также предоставление налоговых льгот в отношении средств, вкладываемых предпринимателями в развитие частных дошкольных учреждений, образовательных учреждений, учреждений здравоохранения, разработан проект Закона Кыргызской Республики "О внесении изменений и дополнений в некоторые законодательные акты Кыргызской Республики", одобрен постановлением Правительства Кыргызской Республики от 23 марта 2012 года N 200;</w:t>
      </w:r>
    </w:p>
    <w:p>
      <w:pPr>
        <w:spacing w:after="120"/>
        <w:jc w:val="both"/>
      </w:pPr>
      <w:r>
        <w:rPr>
          <w:rFonts w:ascii="Arial" w:cs="Arial" w:eastAsia="Arial" w:hAnsi="Arial"/>
          <w:sz w:val="24"/>
          <w:szCs w:val="24"/>
        </w:rPr>
        <w:t xml:space="preserve">- в целях освобождения от подоходного налога доходов лиц, получивших на международных конкурсах денежные и иные призы и выигрыши, а также премий, присвоенных международными организациями (фондами) подготовлен проект Закона Кыргызской Республики "О внесении дополнений в Налоговый кодекс Кыргызской Республики", одобрен постановлением Правительства Кыргызской Республики от 1 февраля 2012 года N 81;</w:t>
      </w:r>
    </w:p>
    <w:p>
      <w:pPr>
        <w:spacing w:after="120"/>
        <w:jc w:val="both"/>
      </w:pPr>
      <w:r>
        <w:rPr>
          <w:rFonts w:ascii="Arial" w:cs="Arial" w:eastAsia="Arial" w:hAnsi="Arial"/>
          <w:sz w:val="24"/>
          <w:szCs w:val="24"/>
        </w:rPr>
        <w:t xml:space="preserve">- в целях освобождения от уплаты таможенных сборов при ввозе оборудования используемого в текстильной, швейной и мебельной отрасли хозяйствующими субъектами непосредственно для собственных производственных целей, принято постановление Правительства Кыргызской Республики "О мерах по государственной поддержке развития текстильной, швейной и мебельной отраслей Кыргызской Республики" от 26 марта 2012 года N 204;</w:t>
      </w:r>
    </w:p>
    <w:p>
      <w:pPr>
        <w:spacing w:after="120"/>
        <w:jc w:val="both"/>
      </w:pPr>
      <w:r>
        <w:rPr>
          <w:rFonts w:ascii="Arial" w:cs="Arial" w:eastAsia="Arial" w:hAnsi="Arial"/>
          <w:sz w:val="24"/>
          <w:szCs w:val="24"/>
        </w:rPr>
        <w:t xml:space="preserve">- в целях повышения эффективности работы налоговой и таможенных служб, в рамках поставленных задач по оптимизации (упрощению) механизма возмещения, возврата НДС, утвержденного постановлением Жогорку Кенеша Кыргызской Республики N 1451-V от 23 декабря 2011 года, принято распоряжение Правительства Кыргызской Республики о внесении изменений и дополнений в распоряжение Правительства Кыргызской Республики от 30 декабря 2008 г. N 703-р об утверждении упрощенного порядка возмещения НДС от 29 марта 2012 года N 116-р;</w:t>
      </w:r>
    </w:p>
    <w:p>
      <w:pPr>
        <w:spacing w:after="120"/>
        <w:jc w:val="both"/>
      </w:pPr>
      <w:r>
        <w:rPr>
          <w:rFonts w:ascii="Arial" w:cs="Arial" w:eastAsia="Arial" w:hAnsi="Arial"/>
          <w:sz w:val="24"/>
          <w:szCs w:val="24"/>
        </w:rPr>
        <w:t xml:space="preserve">- в целях оптимизации налоговой базы по налогу на прибыль и обеспечения единого порядка определения товарных потерь, принято постановление Правительства Кыргызской Республики "Об утверждении норм естественной убыли на продовольственные товары в сфере торговли и общественного питания" от 12 января 2012 года N 17.</w:t>
      </w:r>
    </w:p>
    <w:p>
      <w:pPr>
        <w:spacing w:after="120"/>
        <w:jc w:val="both"/>
      </w:pPr>
      <w:r>
        <w:rPr>
          <w:rFonts w:ascii="Arial" w:cs="Arial" w:eastAsia="Arial" w:hAnsi="Arial"/>
          <w:sz w:val="24"/>
          <w:szCs w:val="24"/>
        </w:rPr>
        <w:t xml:space="preserve">Проведена работа по изысканию дополнительных доходов, компенсирующих сумму выпадения из доходной части бюджета 2012 года и подготовлены предложения по мерам фискальной политики и увеличению доходной части государственного бюджета на 2012 год налоговых сборов на сумму 6500,0 млн. сомов, которые впоследствии включены в Закон Кыргызской Республики "О республиканском бюджете Кыргызской Республики на 2012 год и прогнозе на 2013-2014 годы". Кроме того, направлены предложения по дополнительным источникам дохода в соответствии с распоряжением Правительства Кыргызской Республики от 2 февраля 2012 года N 30-р на сумму 1392,8 млн. сомов.</w:t>
      </w:r>
    </w:p>
    <w:p>
      <w:pPr>
        <w:spacing w:after="120"/>
        <w:jc w:val="both"/>
      </w:pPr>
      <w:r>
        <w:rPr>
          <w:rFonts w:ascii="Arial" w:cs="Arial" w:eastAsia="Arial" w:hAnsi="Arial"/>
          <w:sz w:val="24"/>
          <w:szCs w:val="24"/>
        </w:rPr>
        <w:t xml:space="preserve">Проблемным вопросом в ходе исполнения доходной части государственного бюджета является пересмотр прогнозных показателей производства золота на руднике "Кумтор", что соответственно приведет к снижению поступления налога на валовой доход от "Кумтор". Так, по данным ГНС, в I квартале 2012 года в бюджет недопоступило 205 млн. сомов. Исходя из предварительных данных "Кумтор оперейтинг компани", при снижении объемов производства золота до уровня 405 тыс. тройских унций золота, предполагаемые потери налога на валовой доход за 2012 год составят 2762,0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Конкурентная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Антимонопольное регулирование направлено на сдерживание необоснованного повышения цен и тарифов субъектов монополистов, мониторинг цен на социально-значимые товары, внесение оперативных предложений в случае их необоснованного повышения, а также защиту прав потребителей.</w:t>
      </w:r>
    </w:p>
    <w:p>
      <w:pPr>
        <w:spacing w:after="120"/>
        <w:jc w:val="both"/>
      </w:pPr>
      <w:r>
        <w:rPr>
          <w:rFonts w:ascii="Arial" w:cs="Arial" w:eastAsia="Arial" w:hAnsi="Arial"/>
          <w:sz w:val="24"/>
          <w:szCs w:val="24"/>
        </w:rPr>
        <w:t xml:space="preserve">По итогам I квартала 2012 года в целях реализации норм статьи 13 Закона Кыргызской Республики "О конкуренции", регламентирующих деятельность государственного антимонопольного органа, разработан проект постановления Правительства Кыргызской Республики "Об утверждении Правил о принудительном разделении (выделении) хозяйствующих субъектов" в целях развития конкуренции и развития предпринимательства".</w:t>
      </w:r>
    </w:p>
    <w:p>
      <w:pPr>
        <w:spacing w:after="120"/>
        <w:jc w:val="both"/>
      </w:pPr>
      <w:r>
        <w:rPr>
          <w:rFonts w:ascii="Arial" w:cs="Arial" w:eastAsia="Arial" w:hAnsi="Arial"/>
          <w:sz w:val="24"/>
          <w:szCs w:val="24"/>
        </w:rPr>
        <w:t xml:space="preserve">Проект направлен на разрешение ситуации в случаях, когда действия хозяйствующих субъектов, занимающих доминирующее положение и осуществляющих систематическую монополистическую деятельность, приводят к существенному ограничению конкуренции и разработка данного проекта утверждает право антимонопольного органа Кыргызской Республики на принятие решения о принудительном разделении этих хозяйствующих субъектов.</w:t>
      </w:r>
    </w:p>
    <w:p>
      <w:pPr>
        <w:spacing w:after="120"/>
        <w:jc w:val="both"/>
      </w:pPr>
      <w:r>
        <w:rPr>
          <w:rFonts w:ascii="Arial" w:cs="Arial" w:eastAsia="Arial" w:hAnsi="Arial"/>
          <w:sz w:val="24"/>
          <w:szCs w:val="24"/>
        </w:rPr>
        <w:t xml:space="preserve">В соответствии со статьей 22 Закона Кыргызской Республики "О естественных и разрешенных монополиях" (принят 8 августа 2011 года за N 149) разработан проект постановления Правительства Кыргызской Республики "О внесении изменений и дополнений в некоторые законодательные акты", в части уточнения функций по установлению тарифов для субъектов естественных и разрешенных монополий в области связи и энергетики:</w:t>
      </w:r>
    </w:p>
    <w:p>
      <w:pPr>
        <w:spacing w:after="120"/>
        <w:jc w:val="both"/>
      </w:pPr>
      <w:r>
        <w:rPr>
          <w:rFonts w:ascii="Arial" w:cs="Arial" w:eastAsia="Arial" w:hAnsi="Arial"/>
          <w:sz w:val="24"/>
          <w:szCs w:val="24"/>
        </w:rPr>
        <w:t xml:space="preserve">- Закон Кыргызской Республики "О почтовой связи";</w:t>
      </w:r>
    </w:p>
    <w:p>
      <w:pPr>
        <w:spacing w:after="120"/>
        <w:jc w:val="both"/>
      </w:pPr>
      <w:r>
        <w:rPr>
          <w:rFonts w:ascii="Arial" w:cs="Arial" w:eastAsia="Arial" w:hAnsi="Arial"/>
          <w:sz w:val="24"/>
          <w:szCs w:val="24"/>
        </w:rPr>
        <w:t xml:space="preserve">- Закон Кыргызской Республики "Об электрической и почтовой связи";</w:t>
      </w:r>
    </w:p>
    <w:p>
      <w:pPr>
        <w:spacing w:after="120"/>
        <w:jc w:val="both"/>
      </w:pPr>
      <w:r>
        <w:rPr>
          <w:rFonts w:ascii="Arial" w:cs="Arial" w:eastAsia="Arial" w:hAnsi="Arial"/>
          <w:sz w:val="24"/>
          <w:szCs w:val="24"/>
        </w:rPr>
        <w:t xml:space="preserve">- Закон Кыргызской Республики "Об энергетике".</w:t>
      </w:r>
    </w:p>
    <w:p>
      <w:pPr>
        <w:spacing w:after="120"/>
        <w:jc w:val="both"/>
      </w:pPr>
      <w:r>
        <w:rPr>
          <w:rFonts w:ascii="Arial" w:cs="Arial" w:eastAsia="Arial" w:hAnsi="Arial"/>
          <w:sz w:val="24"/>
          <w:szCs w:val="24"/>
        </w:rPr>
        <w:t xml:space="preserve">В соответствии со статьей 21 Закона Кыргызской Республики "О конкуренции" и статьей 22 Закона Кыргызской Республики "О естественных и разрешенных монополиях в Кыргызской Республике" подготовлен проект постановления Правительства Кыргызской Республики "Об утверждении Правил по контролю за соблюдением антимонопольного законодательства Кыргызской Республики в процессе экономической концентрации". Правила определяют механизм контроля за соблюдением антимонопольного законодательства Кыргызской Республики в процессе экономической концентрации путем проведения экспертизы учредительных и иных документов хозяйствующих субъектов на соответствие требованиям антимонопольного законодательства Кыргызской Республики, в том числе субъектов естественных и разрешенных монополий.</w:t>
      </w:r>
    </w:p>
    <w:p>
      <w:pPr>
        <w:spacing w:after="120"/>
        <w:jc w:val="both"/>
      </w:pPr>
      <w:r>
        <w:rPr>
          <w:rFonts w:ascii="Arial" w:cs="Arial" w:eastAsia="Arial" w:hAnsi="Arial"/>
          <w:sz w:val="24"/>
          <w:szCs w:val="24"/>
        </w:rPr>
        <w:t xml:space="preserve">Сфера государственных услуг и государственное управление. За январь-март 2012 года проведено экспертирование государственных услуг более 40 государственных органов, количество которых превышало на первом этапе более 20,0 тысяч услуг, в результате чего предварительно заявлено было 1089 позиций от 37 государственных органов. По итогам 11 заседаний Межведомственной комиссии, утвержденной распоряжением Правительства Кыргызской Республики от 31 мая 2011 года N 191-р, включено в единый реестр 389 услуг госорганов, из них 220 платных услуг, 166 бесплатных, 3 частично бесплатные/платные.</w:t>
      </w:r>
    </w:p>
    <w:p>
      <w:pPr>
        <w:spacing w:after="120"/>
        <w:jc w:val="both"/>
      </w:pPr>
      <w:r>
        <w:rPr>
          <w:rFonts w:ascii="Arial" w:cs="Arial" w:eastAsia="Arial" w:hAnsi="Arial"/>
          <w:sz w:val="24"/>
          <w:szCs w:val="24"/>
        </w:rPr>
        <w:t xml:space="preserve">В целях оптимизации процедур предоставления государственных услуг населению, повышения их качества и доступности, с целью закрепления системного регулирования сферы предоставления государственными органами и учреждениями Кыргызской Республики государственных услуг физическим и юридическим лицами подготовлен Единый реестр (перечень) государственных услуг, оказываемых органами исполнительной власти, их структурными подразделениями и подведомственными учреждениями и утвержден постановлением Правительства Кыргызской Республики от 10 февраля 2012 года N 85.</w:t>
      </w:r>
    </w:p>
    <w:p>
      <w:pPr>
        <w:spacing w:after="120"/>
        <w:jc w:val="both"/>
      </w:pPr>
      <w:r>
        <w:rPr>
          <w:rFonts w:ascii="Arial" w:cs="Arial" w:eastAsia="Arial" w:hAnsi="Arial"/>
          <w:sz w:val="24"/>
          <w:szCs w:val="24"/>
        </w:rPr>
        <w:t xml:space="preserve">Подготовлен проект Закона Кыргызской Республики "О государственных и муниципальных услугах", который определяет основные принципы предоставления государственных и муниципальных услуг, регулирует правоотношения в данной сфере между исполнителем и потребителем государственной и муниципальной услуги, а также регулирует порядок формирования Единого реестра государственных услуг и местных реестров муниципальных услуг, стандартов и административных регламентов их предоставления (проходит процедуру согласования).</w:t>
      </w:r>
    </w:p>
    <w:p>
      <w:pPr>
        <w:spacing w:after="120"/>
        <w:jc w:val="both"/>
      </w:pPr>
      <w:r>
        <w:rPr>
          <w:rFonts w:ascii="Arial" w:cs="Arial" w:eastAsia="Arial" w:hAnsi="Arial"/>
          <w:sz w:val="24"/>
          <w:szCs w:val="24"/>
        </w:rPr>
        <w:t xml:space="preserve">В целях осуществления системной оценки эффективности деятельности и повышения ответственности руководителей органов исполнительной власти, областных государственных администраций и местного самоуправления гг. Бишкек и Ош принято постановление Правительства Кыргызской Республики "Об оценке эффективности деятельности органов исполнительной власти и органов местного самоуправления Кыргызской Республики" от 17 февраля 2012 года N 105.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Техническое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Соглашений ВТО по техническим барьерам в торговле и о применении санитарных и фитосанитарных мер в торговле и Закона Кыргызской Республики "Об основах технического регулирования в Кыргызской Республике" для создания нормативной правовой базы по безопасности продукции, процессов производства, строительства, монтажа, реализации, эксплуатации, выполнения работ обеспечены работы по разработке и принятию:</w:t>
      </w:r>
    </w:p>
    <w:p>
      <w:pPr>
        <w:spacing w:after="120"/>
        <w:jc w:val="both"/>
      </w:pPr>
      <w:r>
        <w:rPr>
          <w:rFonts w:ascii="Arial" w:cs="Arial" w:eastAsia="Arial" w:hAnsi="Arial"/>
          <w:sz w:val="24"/>
          <w:szCs w:val="24"/>
        </w:rPr>
        <w:t xml:space="preserve">технических регламентов:</w:t>
      </w:r>
    </w:p>
    <w:p>
      <w:pPr>
        <w:spacing w:after="120"/>
        <w:jc w:val="both"/>
      </w:pPr>
      <w:r>
        <w:rPr>
          <w:rFonts w:ascii="Arial" w:cs="Arial" w:eastAsia="Arial" w:hAnsi="Arial"/>
          <w:sz w:val="24"/>
          <w:szCs w:val="24"/>
        </w:rPr>
        <w:t xml:space="preserve">- для отмены технического осмотра автомобильного транспорта в целях ликвидации коррупционных схем при прохождении технического осмотра автомобильного транспорта и сокращения расходов граждан на прохождение технического осмотра принят Закон Кыргызской Республики "О внесении изменений и дополнений в Закон Кыргызской Республики "Общий технический регламент Кыргызской Республики по безопасности наземных транспортных средств", одобренный Жогорку Кенешем Кыргызской Республики 6 апреля 2012 года;</w:t>
      </w:r>
    </w:p>
    <w:p>
      <w:pPr>
        <w:spacing w:after="120"/>
        <w:jc w:val="both"/>
      </w:pPr>
      <w:r>
        <w:rPr>
          <w:rFonts w:ascii="Arial" w:cs="Arial" w:eastAsia="Arial" w:hAnsi="Arial"/>
          <w:sz w:val="24"/>
          <w:szCs w:val="24"/>
        </w:rPr>
        <w:t xml:space="preserve">- "Об электромагнитной совместимости", постановление Правительства Кыргызской Республики от 12 января 2012 года N 24;</w:t>
      </w:r>
    </w:p>
    <w:p>
      <w:pPr>
        <w:spacing w:after="120"/>
        <w:jc w:val="both"/>
      </w:pPr>
      <w:r>
        <w:rPr>
          <w:rFonts w:ascii="Arial" w:cs="Arial" w:eastAsia="Arial" w:hAnsi="Arial"/>
          <w:sz w:val="24"/>
          <w:szCs w:val="24"/>
        </w:rPr>
        <w:t xml:space="preserve">- "О безопасности изделий медицинского назначения", постановление Правительства Кыргызской Республики от 1 февраля 2012 года N 74;</w:t>
      </w:r>
    </w:p>
    <w:p>
      <w:pPr>
        <w:spacing w:after="120"/>
        <w:jc w:val="both"/>
      </w:pPr>
      <w:r>
        <w:rPr>
          <w:rFonts w:ascii="Arial" w:cs="Arial" w:eastAsia="Arial" w:hAnsi="Arial"/>
          <w:sz w:val="24"/>
          <w:szCs w:val="24"/>
        </w:rPr>
        <w:t xml:space="preserve">- "О внесении изменений и дополнений в "Технический регламент "О безопасности сахара", постановление Правительства Кыргызской Республики от 3 февраля 2012 года N 83.</w:t>
      </w:r>
    </w:p>
    <w:p>
      <w:pPr>
        <w:spacing w:after="120"/>
        <w:jc w:val="both"/>
      </w:pPr>
      <w:r>
        <w:rPr>
          <w:rFonts w:ascii="Arial" w:cs="Arial" w:eastAsia="Arial" w:hAnsi="Arial"/>
          <w:sz w:val="24"/>
          <w:szCs w:val="24"/>
        </w:rPr>
        <w:t xml:space="preserve">Принятые технические регламенты разработаны в соответствии с международными нормами и требованиями, которые направлены на:</w:t>
      </w:r>
    </w:p>
    <w:p>
      <w:pPr>
        <w:spacing w:after="120"/>
        <w:jc w:val="both"/>
      </w:pPr>
      <w:r>
        <w:rPr>
          <w:rFonts w:ascii="Arial" w:cs="Arial" w:eastAsia="Arial" w:hAnsi="Arial"/>
          <w:sz w:val="24"/>
          <w:szCs w:val="24"/>
        </w:rPr>
        <w:t xml:space="preserve">- обеспечение населения безопасной продукцией;</w:t>
      </w:r>
    </w:p>
    <w:p>
      <w:pPr>
        <w:spacing w:after="120"/>
        <w:jc w:val="both"/>
      </w:pPr>
      <w:r>
        <w:rPr>
          <w:rFonts w:ascii="Arial" w:cs="Arial" w:eastAsia="Arial" w:hAnsi="Arial"/>
          <w:sz w:val="24"/>
          <w:szCs w:val="24"/>
        </w:rPr>
        <w:t xml:space="preserve">- создание благоприятных условий для бизнеса;</w:t>
      </w:r>
    </w:p>
    <w:p>
      <w:pPr>
        <w:spacing w:after="120"/>
        <w:jc w:val="both"/>
      </w:pPr>
      <w:r>
        <w:rPr>
          <w:rFonts w:ascii="Arial" w:cs="Arial" w:eastAsia="Arial" w:hAnsi="Arial"/>
          <w:sz w:val="24"/>
          <w:szCs w:val="24"/>
        </w:rPr>
        <w:t xml:space="preserve">- повышение благосостояния населения страны;</w:t>
      </w:r>
    </w:p>
    <w:p>
      <w:pPr>
        <w:spacing w:after="120"/>
        <w:jc w:val="both"/>
      </w:pPr>
      <w:r>
        <w:rPr>
          <w:rFonts w:ascii="Arial" w:cs="Arial" w:eastAsia="Arial" w:hAnsi="Arial"/>
          <w:sz w:val="24"/>
          <w:szCs w:val="24"/>
        </w:rPr>
        <w:t xml:space="preserve">- исключение конфликтов интересов в системе технического регулирования;</w:t>
      </w:r>
    </w:p>
    <w:p>
      <w:pPr>
        <w:spacing w:after="120"/>
        <w:jc w:val="both"/>
      </w:pPr>
      <w:r>
        <w:rPr>
          <w:rFonts w:ascii="Arial" w:cs="Arial" w:eastAsia="Arial" w:hAnsi="Arial"/>
          <w:sz w:val="24"/>
          <w:szCs w:val="24"/>
        </w:rPr>
        <w:t xml:space="preserve">- снижение неоправданных издержек производителей и повышению объема экспорта кыргызских товаров;</w:t>
      </w:r>
    </w:p>
    <w:p>
      <w:pPr>
        <w:spacing w:after="120"/>
        <w:jc w:val="both"/>
      </w:pPr>
      <w:r>
        <w:rPr>
          <w:rFonts w:ascii="Arial" w:cs="Arial" w:eastAsia="Arial" w:hAnsi="Arial"/>
          <w:sz w:val="24"/>
          <w:szCs w:val="24"/>
        </w:rPr>
        <w:t xml:space="preserve">- создание понятных и "прозрачных правил и процедур" и снижение уровня коррупции в сфере технического регулирования и метрологии;</w:t>
      </w:r>
    </w:p>
    <w:p>
      <w:pPr>
        <w:spacing w:after="120"/>
        <w:jc w:val="both"/>
      </w:pPr>
      <w:r>
        <w:rPr>
          <w:rFonts w:ascii="Arial" w:cs="Arial" w:eastAsia="Arial" w:hAnsi="Arial"/>
          <w:sz w:val="24"/>
          <w:szCs w:val="24"/>
        </w:rPr>
        <w:t xml:space="preserve">- привлечение иностранных инвестиций;</w:t>
      </w:r>
    </w:p>
    <w:p>
      <w:pPr>
        <w:spacing w:after="120"/>
        <w:jc w:val="both"/>
      </w:pPr>
      <w:r>
        <w:rPr>
          <w:rFonts w:ascii="Arial" w:cs="Arial" w:eastAsia="Arial" w:hAnsi="Arial"/>
          <w:sz w:val="24"/>
          <w:szCs w:val="24"/>
        </w:rPr>
        <w:t xml:space="preserve">- создание эффективной и надежной системы по обеспечению безопасности и качества продукции и процессов (методов) ее производства для жизни и здоровья потребителей, защиты флоры, фауны и окружающей среды;</w:t>
      </w:r>
    </w:p>
    <w:p>
      <w:pPr>
        <w:spacing w:after="120"/>
        <w:jc w:val="both"/>
      </w:pPr>
      <w:r>
        <w:rPr>
          <w:rFonts w:ascii="Arial" w:cs="Arial" w:eastAsia="Arial" w:hAnsi="Arial"/>
          <w:sz w:val="24"/>
          <w:szCs w:val="24"/>
        </w:rPr>
        <w:t xml:space="preserve">- гармонизацию системы технического регулирования и метрологии с основными торговыми партнерами (в том числе с ТС, ЕЭП и др.).</w:t>
      </w:r>
    </w:p>
    <w:p>
      <w:pPr>
        <w:spacing w:after="120"/>
        <w:jc w:val="both"/>
      </w:pPr>
      <w:r>
        <w:rPr>
          <w:rFonts w:ascii="Arial" w:cs="Arial" w:eastAsia="Arial" w:hAnsi="Arial"/>
          <w:sz w:val="24"/>
          <w:szCs w:val="24"/>
        </w:rPr>
        <w:t xml:space="preserve">- Соглашения между Министерством экономики и антимонопольной политики Кыргызской Республики и Польским комитетом по стандартизации о сотрудничестве в области стандартизации, подписанное 2 марта 2012 года в г.Варшава (Польша).</w:t>
      </w:r>
    </w:p>
    <w:p>
      <w:pPr>
        <w:spacing w:after="120"/>
        <w:jc w:val="both"/>
      </w:pPr>
      <w:r>
        <w:rPr>
          <w:rFonts w:ascii="Arial" w:cs="Arial" w:eastAsia="Arial" w:hAnsi="Arial"/>
          <w:sz w:val="24"/>
          <w:szCs w:val="24"/>
        </w:rPr>
        <w:t xml:space="preserve">Кроме того, проведена работа по проекту Закона Кыргызской Республики "О внесении изменений в Закон Кыргызской Республики "Об обеспечении единства измерений", который прошел слушания в профильных комитетах Жогорку Кенеша Кыргызской Республики. Проект разработан с целью исключения конфликта интересов, дает право уполномоченным органам по обеспечению единства измерений уполномочивать юридические лица на испытание средств измерений и аттестацию стандартных образцов, и реализации положений Закона Кыргызской Республики "О нормативных правовых актах Кыргызской Республики". Данный законопроект прошел 2 чтение в Жогорку Кенеше Кыргызской Республики.</w:t>
      </w:r>
    </w:p>
    <w:p>
      <w:pPr>
        <w:spacing w:after="120"/>
        <w:jc w:val="both"/>
      </w:pPr>
      <w:r>
        <w:rPr>
          <w:rFonts w:ascii="Arial" w:cs="Arial" w:eastAsia="Arial" w:hAnsi="Arial"/>
          <w:sz w:val="24"/>
          <w:szCs w:val="24"/>
        </w:rPr>
        <w:t xml:space="preserve">В целях создания благоприятных условий для бизнеса, в рамках МГС СНГ по инициативе кыргызской стороны подготовлен проект Соглашения об устранении технических барьеров во взаимной торговле между государствами-членами Таможенного союза и государствами-членами СНГ, не являющимися государствами-членами Таможенного союза. В настоящее время проводится рассмотрение проекта государствами-членами СНГ и ТС. Подписание этого Соглашения позволит решить множество вопросов, которые в настоящее время имеют место на границах со странами ТС.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Надзор и регулирование финансового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достаточное развитие получил финансовый рынок представлен банковским сектором и небанковскими финансово-кредитными учреждениями. Слабо развит фондовый, страховой и рынок пенсионных фондов. Необходимо решение задач по ускоренному развитию данных секторов финансового рынка.</w:t>
      </w:r>
    </w:p>
    <w:p>
      <w:pPr>
        <w:spacing w:after="120"/>
        <w:jc w:val="both"/>
      </w:pPr>
      <w:r>
        <w:rPr>
          <w:rFonts w:ascii="Arial" w:cs="Arial" w:eastAsia="Arial" w:hAnsi="Arial"/>
          <w:sz w:val="24"/>
          <w:szCs w:val="24"/>
        </w:rPr>
        <w:t xml:space="preserve">Проблемой до сих пор остается нехватка и слабое использование эффективных финансовых инструментов, сохраняется ограниченность выбора и отсутствие многообразия финансовых инструментов. В недостаточной степени используются возможности рынка государственных ценных бумаг. Через выпуск и размещение государственных ценных бумаг на внутреннем рынке капиталов можно было бы мобилизовать достаточно средств для финансирования различных проектов. Фондовый рынок еще не стал одним из основных инструментов аккумуляции средств в реальном секторе экономики, инструментом по мобилизации и привлечению капитала в экономику, как это принято в промышленно развитых государствах. Необходимо дальнейшее совершенствование инфраструктуры рынка ценных бумаг. Немаловажной задачей является организация и повышение уровня корпоративного управления в акционерных обществах (в т.ч. в акционерных обществах с государственной долей участия, в приоритетных отраслях экономики), а также постоянное повышение профессионального и образовательного уровня населения и эмитентов, профессиональных участников рынка ценных бумаг для более активного участия на финансовом рынке.</w:t>
      </w:r>
    </w:p>
    <w:p>
      <w:pPr>
        <w:spacing w:after="120"/>
        <w:jc w:val="both"/>
      </w:pPr>
      <w:r>
        <w:rPr>
          <w:rFonts w:ascii="Arial" w:cs="Arial" w:eastAsia="Arial" w:hAnsi="Arial"/>
          <w:sz w:val="24"/>
          <w:szCs w:val="24"/>
        </w:rPr>
        <w:t xml:space="preserve">По состоянию на 10 апреля 2012 года, профессиональную деятельность на рынке ценных бумаг Кыргызской Республики осуществляют 67 юридических лиц, которым выдано 86 лицензий по следующим видам деятельности. Наибольшее количество лицензий выдано по доверительному управлению ценными бумагами (21), на осуществление дилерской деятельности (17) и брокерской деятельности (15), а также на другие виды профессиональной деятельности на рынке ценных бумаг Кыргызской Республики.</w:t>
      </w:r>
    </w:p>
    <w:p>
      <w:pPr>
        <w:spacing w:after="120"/>
        <w:jc w:val="both"/>
      </w:pPr>
      <w:r>
        <w:rPr>
          <w:rFonts w:ascii="Arial" w:cs="Arial" w:eastAsia="Arial" w:hAnsi="Arial"/>
          <w:sz w:val="24"/>
          <w:szCs w:val="24"/>
        </w:rPr>
        <w:t xml:space="preserve">За период с 1 января по 31 марта 2012 года объем торгов с ценными бумагами на торговой площадке ЗАО "Кыргызская фондовая биржа" составил 168,7 млн. сомов, что на 8,2% больше объема торгов за аналогичный период 2011 года (155,9 млн. сомов). Торги с ценными бумагами осуществлялись на торговых площадках 2 фондовых бирж, ЗАО "Кыргызская фондовая биржа" и ЗАО "Фондовая биржа Кыргызстана - БТС".</w:t>
      </w:r>
    </w:p>
    <w:p>
      <w:pPr>
        <w:spacing w:after="120"/>
        <w:jc w:val="both"/>
      </w:pPr>
      <w:r>
        <w:rPr>
          <w:rFonts w:ascii="Arial" w:cs="Arial" w:eastAsia="Arial" w:hAnsi="Arial"/>
          <w:sz w:val="24"/>
          <w:szCs w:val="24"/>
        </w:rPr>
        <w:t xml:space="preserve">Количество заключенных сделок с ценными бумагами за отчетный период составило 389, или 85,1% от количества сделок за аналогичный период прошлого года (457).</w:t>
      </w:r>
    </w:p>
    <w:p>
      <w:pPr>
        <w:spacing w:after="120"/>
        <w:jc w:val="both"/>
      </w:pPr>
      <w:r>
        <w:rPr>
          <w:rFonts w:ascii="Arial" w:cs="Arial" w:eastAsia="Arial" w:hAnsi="Arial"/>
          <w:sz w:val="24"/>
          <w:szCs w:val="24"/>
        </w:rPr>
        <w:t xml:space="preserve">Анализ сделок на первичном и вторичном рынках показывает, что за 1 квартал 2012 года в структуре объема торгов преобладает объем сделок, совершенных на вторичном рынке. Объем сделок на вторичном рынке ценных бумаг, характеризующий изменение в структуре собственников, составил 115,2 млн. сомов, или 68,3% от общего объема биржевых торгов. Объем первичного рынка ценных бумаг, за счет которого происходит привлечение финансовых ресурсов или перераспределение инвестиционного капитала, составил 53,5 млн. сомов, или 31,7% от общего объема биржевых торгов.</w:t>
      </w:r>
    </w:p>
    <w:p>
      <w:pPr>
        <w:spacing w:after="120"/>
        <w:jc w:val="both"/>
      </w:pPr>
      <w:r>
        <w:rPr>
          <w:rFonts w:ascii="Arial" w:cs="Arial" w:eastAsia="Arial" w:hAnsi="Arial"/>
          <w:sz w:val="24"/>
          <w:szCs w:val="24"/>
        </w:rPr>
        <w:t xml:space="preserve">По состоянию на 01.04.2012 года, зарегистрировано всего 2638 выпусков ценных бумаг эмитентов Кыргызской Республики. Общий объем эмиссии составил 62110,7 млн. сомов, в том числе акций на сумму 61431,4 млн. сомов, облигаций - на сумму 578,3 млн. сомов и инвестиционных паев - на сумму 101 млн. сомов.</w:t>
      </w:r>
    </w:p>
    <w:p>
      <w:pPr>
        <w:spacing w:after="120"/>
        <w:jc w:val="both"/>
      </w:pPr>
      <w:r>
        <w:rPr>
          <w:rFonts w:ascii="Arial" w:cs="Arial" w:eastAsia="Arial" w:hAnsi="Arial"/>
          <w:sz w:val="24"/>
          <w:szCs w:val="24"/>
        </w:rPr>
        <w:t xml:space="preserve">За период с 01.01.2012 г. по 31.03.2012 года зарегистрировано всего 11 выпусков ценных бумаг на сумму 812,4 млн. сомов, что на 710,5 млн. сомов больше за аналогичный период 2011 года (6 выпусков ценных бумаг на сумму 101,9 млн. сомов).</w:t>
      </w:r>
    </w:p>
    <w:p>
      <w:pPr>
        <w:spacing w:after="120"/>
        <w:jc w:val="both"/>
      </w:pPr>
      <w:r>
        <w:rPr>
          <w:rFonts w:ascii="Arial" w:cs="Arial" w:eastAsia="Arial" w:hAnsi="Arial"/>
          <w:sz w:val="24"/>
          <w:szCs w:val="24"/>
        </w:rPr>
        <w:t xml:space="preserve">За отчетный период на Кыргызской фондовой бирже совершены 204 сделки с корпоративными облигациями ЗАО "Шоро" и ОсОО "Росказмет" на сумму 26,3 млн. сомов (за аналогичный период 2011 года на Кыргызской фондовой бирже совершены 50 сделок с корпоративными облигациями ОсОО "Росказмет" на сумму 15,9 млн. сомов).</w:t>
      </w:r>
    </w:p>
    <w:p>
      <w:pPr>
        <w:spacing w:after="120"/>
        <w:jc w:val="both"/>
      </w:pPr>
      <w:r>
        <w:rPr>
          <w:rFonts w:ascii="Arial" w:cs="Arial" w:eastAsia="Arial" w:hAnsi="Arial"/>
          <w:sz w:val="24"/>
          <w:szCs w:val="24"/>
        </w:rPr>
        <w:t xml:space="preserve">За январь-март 2012 года объем иностранных инвестиций в корпоративные ценные бумаги эмитентов Кыргызской Республики составил 739,8 млн. сомов, из них инвестиции на 649,3 млн. сомов - из стран дальнего зарубежья, 90,5 млн. сомов - из стран СНГ (за аналогичный период 2011 года объем иностранных инвестиций составил 75 тыс. сомов).</w:t>
      </w:r>
    </w:p>
    <w:p>
      <w:pPr>
        <w:spacing w:after="120"/>
        <w:jc w:val="both"/>
      </w:pPr>
      <w:r>
        <w:rPr>
          <w:rFonts w:ascii="Arial" w:cs="Arial" w:eastAsia="Arial" w:hAnsi="Arial"/>
          <w:sz w:val="24"/>
          <w:szCs w:val="24"/>
        </w:rPr>
        <w:t xml:space="preserve">Для достижения позитивных тенденций на фондовом рынке необходимо:</w:t>
      </w:r>
    </w:p>
    <w:p>
      <w:pPr>
        <w:spacing w:after="120"/>
        <w:jc w:val="both"/>
      </w:pPr>
      <w:r>
        <w:rPr>
          <w:rFonts w:ascii="Arial" w:cs="Arial" w:eastAsia="Arial" w:hAnsi="Arial"/>
          <w:sz w:val="24"/>
          <w:szCs w:val="24"/>
        </w:rPr>
        <w:t xml:space="preserve">- внедрение новых финансовых инструментов на рынке ценных бумаг Кыргызской Республики;</w:t>
      </w:r>
    </w:p>
    <w:p>
      <w:pPr>
        <w:spacing w:after="120"/>
        <w:jc w:val="both"/>
      </w:pPr>
      <w:r>
        <w:rPr>
          <w:rFonts w:ascii="Arial" w:cs="Arial" w:eastAsia="Arial" w:hAnsi="Arial"/>
          <w:sz w:val="24"/>
          <w:szCs w:val="24"/>
        </w:rPr>
        <w:t xml:space="preserve">- обеспечение прозрачности и доступности информации на рынке ценных бумаг для более активного участия населения на фондовом рынке;</w:t>
      </w:r>
    </w:p>
    <w:p>
      <w:pPr>
        <w:spacing w:after="120"/>
        <w:jc w:val="both"/>
      </w:pPr>
      <w:r>
        <w:rPr>
          <w:rFonts w:ascii="Arial" w:cs="Arial" w:eastAsia="Arial" w:hAnsi="Arial"/>
          <w:sz w:val="24"/>
          <w:szCs w:val="24"/>
        </w:rPr>
        <w:t xml:space="preserve">- стабилизация фондового рынка путем создания единой торговой площадки и единого депозитария;</w:t>
      </w:r>
    </w:p>
    <w:p>
      <w:pPr>
        <w:spacing w:after="120"/>
        <w:jc w:val="both"/>
      </w:pPr>
      <w:r>
        <w:rPr>
          <w:rFonts w:ascii="Arial" w:cs="Arial" w:eastAsia="Arial" w:hAnsi="Arial"/>
          <w:sz w:val="24"/>
          <w:szCs w:val="24"/>
        </w:rPr>
        <w:t xml:space="preserve">- перевод обращения государственных ценных бумаг на торговую площадку фондовой биржи.</w:t>
      </w:r>
    </w:p>
    <w:p>
      <w:pPr>
        <w:spacing w:after="120"/>
        <w:jc w:val="both"/>
      </w:pPr>
      <w:r>
        <w:rPr>
          <w:rFonts w:ascii="Arial" w:cs="Arial" w:eastAsia="Arial" w:hAnsi="Arial"/>
          <w:sz w:val="24"/>
          <w:szCs w:val="24"/>
        </w:rPr>
        <w:t xml:space="preserve">Страховой рынок. Основной целью развития страхового дела является разработка и реализация мер по удовлетворению потребностей в страховой защите граждан, юридических лиц, государства и аккумулирование долгосрочных инвестиционных ресурсов для развития экономики государства.</w:t>
      </w:r>
    </w:p>
    <w:p>
      <w:pPr>
        <w:spacing w:after="120"/>
        <w:jc w:val="both"/>
      </w:pPr>
      <w:r>
        <w:rPr>
          <w:rFonts w:ascii="Arial" w:cs="Arial" w:eastAsia="Arial" w:hAnsi="Arial"/>
          <w:sz w:val="24"/>
          <w:szCs w:val="24"/>
        </w:rPr>
        <w:t xml:space="preserve">По состоянию на 1 апреля 2012 года, в Кыргызской Республике осуществляют деятельность 15 страховых организаций, включая две перестраховочные организации ("Страховой резерв" и "Фаворит"), а также 5 компаний с участием нерезидентов (САОЗТ "Кыргызинстрах", ЗАО СК "Росстрах-Кыргызстан", ЗАО "Лондон-Бишкек", ЗАО "Страховой резерв", ЗАО Дочерняя организация "Нефтяная СК"). В основном, страховой бизнес сосредоточен в столице (14 компаний) и только одна страховая компания действует в гор. Джалал-Абад (СК "Дос-Инвест").</w:t>
      </w:r>
    </w:p>
    <w:p>
      <w:pPr>
        <w:spacing w:after="120"/>
        <w:jc w:val="both"/>
      </w:pPr>
      <w:r>
        <w:rPr>
          <w:rFonts w:ascii="Arial" w:cs="Arial" w:eastAsia="Arial" w:hAnsi="Arial"/>
          <w:sz w:val="24"/>
          <w:szCs w:val="24"/>
        </w:rPr>
        <w:t xml:space="preserve">Совокупные активы страховых организаций, по состоянию на 01.03.2012 года, составили 1117,3 млн. сомов и по сравнению с данными по состоянию на 01.03.2011 года совокупные активы увеличились на 34,5%. Совокупный собственный капитал страховых организаций, по состоянию на 01.03.2012 года, составил 897,2 млн. сомов, который увеличился по сравнению с 01.03.2011 года на 57,6%. Обязательства, по состоянию на 01.03.2012 года, увеличились на 86,4% и составили 162,4 млн. сомов.</w:t>
      </w:r>
    </w:p>
    <w:p>
      <w:pPr>
        <w:spacing w:after="120"/>
        <w:jc w:val="both"/>
      </w:pPr>
      <w:r>
        <w:rPr>
          <w:rFonts w:ascii="Arial" w:cs="Arial" w:eastAsia="Arial" w:hAnsi="Arial"/>
          <w:sz w:val="24"/>
          <w:szCs w:val="24"/>
        </w:rPr>
        <w:t xml:space="preserve">Объем страховых резервов, сформированных страховыми (перестраховочными) организациями для обеспечения исполнения принятых обязательств по действующим договорам страхования и перестрахования на 01.03.2012 года составил 103,7 млн. сомов, и увеличился на 33,8%.</w:t>
      </w:r>
    </w:p>
    <w:p>
      <w:pPr>
        <w:spacing w:after="120"/>
        <w:jc w:val="both"/>
      </w:pPr>
      <w:r>
        <w:rPr>
          <w:rFonts w:ascii="Arial" w:cs="Arial" w:eastAsia="Arial" w:hAnsi="Arial"/>
          <w:sz w:val="24"/>
          <w:szCs w:val="24"/>
        </w:rPr>
        <w:t xml:space="preserve">За январь-март 2012 года объем страховых премий составил 78,0 млн. сомов и по сравнению с январем-мартом 2011 года увеличился на 9,1%. Основную долю страховой премии за январь-март 2012 года занимает имущественное страхование, где на него приходится 47,1% от общей суммы страховой премии, страхование ответственности - 20,0%, личное страхование 21,4%, обязательное страхование гражданской ответственности - 11,5%.</w:t>
      </w:r>
    </w:p>
    <w:p>
      <w:pPr>
        <w:spacing w:after="120"/>
        <w:jc w:val="both"/>
      </w:pPr>
      <w:r>
        <w:rPr>
          <w:rFonts w:ascii="Arial" w:cs="Arial" w:eastAsia="Arial" w:hAnsi="Arial"/>
          <w:sz w:val="24"/>
          <w:szCs w:val="24"/>
        </w:rPr>
        <w:t xml:space="preserve">За отчетный период объем страховых выплат в целом по республике составил 9,0 млн. сомов и по сравнению с январем-мартом 2011 года увеличился на 7,1%. Страховыми организациями было охвачено более 165 хозяйствующих субъектов.</w:t>
      </w:r>
    </w:p>
    <w:p>
      <w:pPr>
        <w:spacing w:after="120"/>
        <w:jc w:val="both"/>
      </w:pPr>
      <w:r>
        <w:rPr>
          <w:rFonts w:ascii="Arial" w:cs="Arial" w:eastAsia="Arial" w:hAnsi="Arial"/>
          <w:sz w:val="24"/>
          <w:szCs w:val="24"/>
        </w:rPr>
        <w:t xml:space="preserve">Негосударственный пенсионный фонд. В настоящее время на рынке действует один негосударственный пенсионный фонд - НПФ "Кыргызстан", который осуществляет свою деятельность с 1995 года, аккумулирует пенсионные активы и передает их компании по управлению активами ОсОО "Интер-Бишкек" для их дальнейшего инвестирования и приращения.</w:t>
      </w:r>
    </w:p>
    <w:p>
      <w:pPr>
        <w:spacing w:after="120"/>
        <w:jc w:val="both"/>
      </w:pPr>
      <w:r>
        <w:rPr>
          <w:rFonts w:ascii="Arial" w:cs="Arial" w:eastAsia="Arial" w:hAnsi="Arial"/>
          <w:sz w:val="24"/>
          <w:szCs w:val="24"/>
        </w:rPr>
        <w:t xml:space="preserve">Основным видом деятельности НПФ "Кыргызстан" является дополнительное добровольное пенсионное обеспечение граждан на основе пенсионных договоров. Согласно представленным НПФ "Кыргызстан" сведениям, на 01.04.2012 г. пенсионные активы составили 23279,8 тыс. сомов, что на 9,8% больше показателей на начало года.</w:t>
      </w:r>
    </w:p>
    <w:p>
      <w:pPr>
        <w:spacing w:after="120"/>
        <w:jc w:val="both"/>
      </w:pPr>
      <w:r>
        <w:rPr>
          <w:rFonts w:ascii="Arial" w:cs="Arial" w:eastAsia="Arial" w:hAnsi="Arial"/>
          <w:sz w:val="24"/>
          <w:szCs w:val="24"/>
        </w:rPr>
        <w:t xml:space="preserve">Учитывая специфическую роль и перспективы накопительного пенсионного обеспечения, необходимо создание условий для развития накопительной пенсионной системы, которое предполагает возможность получения высоких размеров пенсий при выходе на пенсию, повышение доли сбережений в экономике и экономический рост за счет инвестиций пенсионных активов, выпуска среднесрочных и долгосрочных государственных ценных бумаг. Обладая рыночными свойствами капитала, накопление пенсионных средств послужит толчком к развитию финансового рынка, будет способствовать росту долгосрочных инвестиций и стимулировать создание финансовых учреждений (управляющие компании, банки), которые необходимы для экономического развития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Приватизация и управление государственной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Законом Кыргызской Республики "О внесении изменений и дополнений в Закон Кыргызской Республики "О приватизации государственной собственности в Кыргызской Республике" от 23 июня 2011 года N 54", в котором определен порядок утверждения Программы приватизации государственного имущества Жогорку Кенешем Кыргызской Республики, разработан проект Программы приватизации государственной собственности в Кыргызской Республике на 2012-2014 годы, который одобрен постановлением Правительства Кыргызской Республики от 22 февраля 2012 года N 143 и направлен на рассмотрение Жогорку Кенеша Кыргызской Республики.</w:t>
      </w:r>
    </w:p>
    <w:p>
      <w:pPr>
        <w:spacing w:after="120"/>
        <w:jc w:val="both"/>
      </w:pPr>
      <w:r>
        <w:rPr>
          <w:rFonts w:ascii="Arial" w:cs="Arial" w:eastAsia="Arial" w:hAnsi="Arial"/>
          <w:sz w:val="24"/>
          <w:szCs w:val="24"/>
        </w:rPr>
        <w:t xml:space="preserve">В проект Программы перешли объекты, оставшиеся не реализованными по предыдущей Программе, а также ряд новых объектов - непрофильные активы, предложенные к приватизации отраслевыми министерствами и ведомствами.</w:t>
      </w:r>
    </w:p>
    <w:p>
      <w:pPr>
        <w:spacing w:after="120"/>
        <w:jc w:val="both"/>
      </w:pPr>
      <w:r>
        <w:rPr>
          <w:rFonts w:ascii="Arial" w:cs="Arial" w:eastAsia="Arial" w:hAnsi="Arial"/>
          <w:sz w:val="24"/>
          <w:szCs w:val="24"/>
        </w:rPr>
        <w:t xml:space="preserve">В данной Программе содержится перечень объектов организаций и объектов, находящихся в госсобственности и не подлежащих приватизации, список объектов, приватизация которых осуществляется путем продажи государственного пакета акций и госдоли в установленном порядке и перечень объектов, подлежащих приватизации имущественных комплексов и иного государственного имущества.</w:t>
      </w:r>
    </w:p>
    <w:p>
      <w:pPr>
        <w:spacing w:after="120"/>
        <w:jc w:val="both"/>
      </w:pPr>
      <w:r>
        <w:rPr>
          <w:rFonts w:ascii="Arial" w:cs="Arial" w:eastAsia="Arial" w:hAnsi="Arial"/>
          <w:sz w:val="24"/>
          <w:szCs w:val="24"/>
        </w:rPr>
        <w:t xml:space="preserve">В соответствии с Планом мероприятий на 2012 год по реализации Программы Правительства Кыргызской Республики "Стабильная и достойная жизнь" образовано Управление учета и инвентаризации, которым проводятся работы по подготовке инвентаризации и реестра государственного имущества. На сегодняшний день имеется информация по имуществу 38 государственных органов, в бумажном формате.</w:t>
      </w:r>
    </w:p>
    <w:p>
      <w:pPr>
        <w:spacing w:after="120"/>
        <w:jc w:val="both"/>
      </w:pPr>
      <w:r>
        <w:rPr>
          <w:rFonts w:ascii="Arial" w:cs="Arial" w:eastAsia="Arial" w:hAnsi="Arial"/>
          <w:sz w:val="24"/>
          <w:szCs w:val="24"/>
        </w:rPr>
        <w:t xml:space="preserve">Поступление средств от приватизации, дивидендов, арендной платы составило 34,6 млн. сомов, в т.ч.:</w:t>
      </w:r>
    </w:p>
    <w:p>
      <w:pPr>
        <w:spacing w:after="120"/>
        <w:jc w:val="both"/>
      </w:pPr>
      <w:r>
        <w:rPr>
          <w:rFonts w:ascii="Arial" w:cs="Arial" w:eastAsia="Arial" w:hAnsi="Arial"/>
          <w:sz w:val="24"/>
          <w:szCs w:val="24"/>
        </w:rPr>
        <w:t xml:space="preserve">- от приватизации госсобственности - 0,0 млн. сомов;</w:t>
      </w:r>
    </w:p>
    <w:p>
      <w:pPr>
        <w:spacing w:after="120"/>
        <w:jc w:val="both"/>
      </w:pPr>
      <w:r>
        <w:rPr>
          <w:rFonts w:ascii="Arial" w:cs="Arial" w:eastAsia="Arial" w:hAnsi="Arial"/>
          <w:sz w:val="24"/>
          <w:szCs w:val="24"/>
        </w:rPr>
        <w:t xml:space="preserve">- дивидендов - 0,0 млн. сомов;</w:t>
      </w:r>
    </w:p>
    <w:p>
      <w:pPr>
        <w:spacing w:after="120"/>
        <w:jc w:val="both"/>
      </w:pPr>
      <w:r>
        <w:rPr>
          <w:rFonts w:ascii="Arial" w:cs="Arial" w:eastAsia="Arial" w:hAnsi="Arial"/>
          <w:sz w:val="24"/>
          <w:szCs w:val="24"/>
        </w:rPr>
        <w:t xml:space="preserve">- от сдачи в аренду государственного имущества - 3,9 млн. сомов;</w:t>
      </w:r>
    </w:p>
    <w:p>
      <w:pPr>
        <w:spacing w:after="120"/>
        <w:jc w:val="both"/>
      </w:pPr>
      <w:r>
        <w:rPr>
          <w:rFonts w:ascii="Arial" w:cs="Arial" w:eastAsia="Arial" w:hAnsi="Arial"/>
          <w:sz w:val="24"/>
          <w:szCs w:val="24"/>
        </w:rPr>
        <w:t xml:space="preserve">- от прибыли госпредприятий не менее 50% - 28,5 млн. сомов;</w:t>
      </w:r>
    </w:p>
    <w:p>
      <w:pPr>
        <w:spacing w:after="120"/>
        <w:jc w:val="both"/>
      </w:pPr>
      <w:r>
        <w:rPr>
          <w:rFonts w:ascii="Arial" w:cs="Arial" w:eastAsia="Arial" w:hAnsi="Arial"/>
          <w:sz w:val="24"/>
          <w:szCs w:val="24"/>
        </w:rPr>
        <w:t xml:space="preserve">- проценты по субординированному займу - 2,2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Работа с национализированными объектами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Программы по эффективному управлению и распоряжению национализированными объектами, утвержденной постановлением Жогорку Кенеша Кыргызской Республики от 8 июля 2011 года N 941-V, были проведены аукционы по реализации 4-х национализированных объектов. Проведен анализ национализированных объектов и разработан проект постановления Правительства Кыргызской Республики "Об одобрении проекта постановления Жогорку Кенеша Кыргызской Республики "О внесении изменений и дополнений в постановление Жогорку Кенеша Кыргызской Республики "Об утверждении Программы по эффективному управлению и распоряжению национализированными объектами" от 8 июля 2011 года N 941-V", который предусматривает включение некоторых национализированных объектов в Перечень объектов, подлежащих приватизации. Данный проект одобрен постановлением Правительства Кыргызской Республики от 22 марта 2012 года N 189 и направлен на утверждение Жогорку Кенеша Кыргызской Республики.</w:t>
      </w:r>
    </w:p>
    <w:p>
      <w:pPr>
        <w:spacing w:after="120"/>
        <w:jc w:val="both"/>
      </w:pPr>
      <w:r>
        <w:rPr>
          <w:rFonts w:ascii="Arial" w:cs="Arial" w:eastAsia="Arial" w:hAnsi="Arial"/>
          <w:sz w:val="24"/>
          <w:szCs w:val="24"/>
        </w:rPr>
        <w:t xml:space="preserve">Разработан график приватизации национализированных объектов на 2012 год, утвержденный приказом Фонда по управлению государственным имуществом при Правительстве Кыргызской Республики от 2 февраля 2012 года N 4-п, и отдельный график приватизации 49% акций ЗАО "Альфа Телеком".</w:t>
      </w:r>
    </w:p>
    <w:p>
      <w:pPr>
        <w:spacing w:after="120"/>
        <w:jc w:val="both"/>
      </w:pPr>
      <w:r>
        <w:rPr>
          <w:rFonts w:ascii="Arial" w:cs="Arial" w:eastAsia="Arial" w:hAnsi="Arial"/>
          <w:sz w:val="24"/>
          <w:szCs w:val="24"/>
        </w:rPr>
        <w:t xml:space="preserve">Согласно Программе, основная цель приватизации национализированных объектов - получение государством максимального дохода в возможно короткие сроки в целях пополнения государственного бюджета за счет продажи национализированных объектов.</w:t>
      </w:r>
    </w:p>
    <w:p>
      <w:pPr>
        <w:spacing w:after="120"/>
        <w:jc w:val="both"/>
      </w:pPr>
      <w:r>
        <w:rPr>
          <w:rFonts w:ascii="Arial" w:cs="Arial" w:eastAsia="Arial" w:hAnsi="Arial"/>
          <w:sz w:val="24"/>
          <w:szCs w:val="24"/>
        </w:rPr>
        <w:t xml:space="preserve">Все мероприятия по приватизации объектов проводились в условиях максимальной прозрачности и подотчетности гражданскому обществу, в рамках законодательства Кыргызской Республики. На всех заседаниях комиссии присутствовали представители СМИ.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Социальная сфера</w:t>
      </w:r>
    </w:p>
    <w:p>
      <w:pPr>
        <w:spacing w:after="120"/>
        <w:jc w:val="both"/>
      </w:pPr>
      <w:r>
        <w:rPr>
          <w:rFonts w:ascii="Arial" w:cs="Arial" w:eastAsia="Arial" w:hAnsi="Arial"/>
          <w:sz w:val="24"/>
          <w:szCs w:val="24"/>
        </w:rPr>
        <w:t xml:space="preserve">6.1. Социальная защита. Пенсионное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области социальной защиты населения проводится целенаправленная работа по повышению уровня жизни населения и улучшению положения социально уязвимых граждан.</w:t>
      </w:r>
    </w:p>
    <w:p>
      <w:pPr>
        <w:spacing w:after="120"/>
        <w:jc w:val="both"/>
      </w:pPr>
      <w:r>
        <w:rPr>
          <w:rFonts w:ascii="Arial" w:cs="Arial" w:eastAsia="Arial" w:hAnsi="Arial"/>
          <w:sz w:val="24"/>
          <w:szCs w:val="24"/>
        </w:rPr>
        <w:t xml:space="preserve">Государственные пособия. Численность получателей государственных пособий, по состоянию на 1 апреля 2012 года, составляет 445,3 тыс. чел., из них: получатели ежемесячных пособий малообеспеченным семьям, имеющим детей (ЕПМС), - 374,6 тыс. чел. или 6,7% от постоянного населения; получатели ежемесячных социальных пособий (ЕСП) - 70,7 тыс. чел. или 1,3% от постоянного населения.</w:t>
      </w:r>
    </w:p>
    <w:p>
      <w:pPr>
        <w:spacing w:after="120"/>
        <w:jc w:val="both"/>
      </w:pPr>
      <w:r>
        <w:rPr>
          <w:rFonts w:ascii="Arial" w:cs="Arial" w:eastAsia="Arial" w:hAnsi="Arial"/>
          <w:sz w:val="24"/>
          <w:szCs w:val="24"/>
        </w:rPr>
        <w:t xml:space="preserve">В целом по республике на 01.04.2012 года средний размер ЕПМС увеличился на 25,1% и составил 304,0 сомов, ЕСП - на 33,4% и составил 1992,5 сома.</w:t>
      </w:r>
    </w:p>
    <w:p>
      <w:pPr>
        <w:spacing w:after="120"/>
        <w:jc w:val="both"/>
      </w:pPr>
      <w:r>
        <w:rPr>
          <w:rFonts w:ascii="Arial" w:cs="Arial" w:eastAsia="Arial" w:hAnsi="Arial"/>
          <w:sz w:val="24"/>
          <w:szCs w:val="24"/>
        </w:rPr>
        <w:t xml:space="preserve">За отчетный период на выплату государственных пособий из средств республиканского бюджета профинансированы денежные средства на общую сумму 865,3 млн. сомов, где рост составил 35,8%.</w:t>
      </w:r>
    </w:p>
    <w:p>
      <w:pPr>
        <w:spacing w:after="120"/>
        <w:jc w:val="both"/>
      </w:pPr>
      <w:r>
        <w:rPr>
          <w:rFonts w:ascii="Arial" w:cs="Arial" w:eastAsia="Arial" w:hAnsi="Arial"/>
          <w:sz w:val="24"/>
          <w:szCs w:val="24"/>
        </w:rPr>
        <w:t xml:space="preserve">Предоставление социальных гарантий и компенсаций. По состоянию на 1 апреля 2012 года, средняя численность получателей ежемесячных денежных компенсаций взамен льгот составляет 55,4 тыс. чел., что на 3,5% (1,9 тыс. чел.) больше аналогичного периода 2012 года, что связано с ростом численности инвалидов по слуху и зрению.</w:t>
      </w:r>
    </w:p>
    <w:p>
      <w:pPr>
        <w:spacing w:after="120"/>
        <w:jc w:val="both"/>
      </w:pPr>
      <w:r>
        <w:rPr>
          <w:rFonts w:ascii="Arial" w:cs="Arial" w:eastAsia="Arial" w:hAnsi="Arial"/>
          <w:sz w:val="24"/>
          <w:szCs w:val="24"/>
        </w:rPr>
        <w:t xml:space="preserve">В целях оказания дополнительной социальной поддержки ветеранам Великой Отечественной войны производятся выплаты ежемесячной пожизненной стипендии Президента Кыргызской Республики в размере 3000 сомов. По состоянию на 01.04.2012 года, стипендии в среднем получили 2,4 тыс. чел. на общую сумму 21,6 млн. сомов. Численность получателей по сравнению с аналогичным периодом 2011 года сократилась на 20,0% в связи с естественной убылью.</w:t>
      </w:r>
    </w:p>
    <w:p>
      <w:pPr>
        <w:spacing w:after="120"/>
        <w:jc w:val="both"/>
      </w:pPr>
      <w:r>
        <w:rPr>
          <w:rFonts w:ascii="Arial" w:cs="Arial" w:eastAsia="Arial" w:hAnsi="Arial"/>
          <w:sz w:val="24"/>
          <w:szCs w:val="24"/>
        </w:rPr>
        <w:t xml:space="preserve">Социальное обеспечение работающих. На 1 апреля 2012 года общая численность получателей пособий по беременности и родам, пособий на погребение составила 6,7 тыс. чел. Сумма начисленных пособий составила 41,7 млн. сомов, что на 51,6% (14,2 млн. сомов) больше аналогичного периода прошлого года.</w:t>
      </w:r>
    </w:p>
    <w:p>
      <w:pPr>
        <w:spacing w:after="120"/>
        <w:jc w:val="both"/>
      </w:pPr>
      <w:r>
        <w:rPr>
          <w:rFonts w:ascii="Arial" w:cs="Arial" w:eastAsia="Arial" w:hAnsi="Arial"/>
          <w:sz w:val="24"/>
          <w:szCs w:val="24"/>
        </w:rPr>
        <w:t xml:space="preserve">Пособие по беременности и родам выплачено 6248 чел. на сумму 40,9 млн. сомов, пособие на погребение - 511 чел. на сумму 0,729 млн. сомов. Средний размер пособия по беременности и родам увеличился на 44,9% и составил 1637 сомов, пособия на погребение - на 11,1% и составил 1428 сомов.</w:t>
      </w:r>
    </w:p>
    <w:p>
      <w:pPr>
        <w:spacing w:after="120"/>
        <w:jc w:val="both"/>
      </w:pPr>
      <w:r>
        <w:rPr>
          <w:rFonts w:ascii="Arial" w:cs="Arial" w:eastAsia="Arial" w:hAnsi="Arial"/>
          <w:sz w:val="24"/>
          <w:szCs w:val="24"/>
        </w:rPr>
        <w:t xml:space="preserve">По состоянию на 10.04.2012 года(15), семьям погибших и пропавших граждан в результате трагических событий 2010 года выделена единовременная материальная помощь (ЕМП) в размере 1,0 млн. сомов. Всего такую помощь получили 525 семей на общую сумму 525,0 млн. сомов.</w:t>
      </w:r>
    </w:p>
    <w:p>
      <w:pPr>
        <w:spacing w:after="120"/>
        <w:jc w:val="both"/>
      </w:pPr>
      <w:r>
        <w:rPr>
          <w:rFonts w:ascii="Arial" w:cs="Arial" w:eastAsia="Arial" w:hAnsi="Arial"/>
          <w:sz w:val="24"/>
          <w:szCs w:val="24"/>
        </w:rPr>
        <w:t xml:space="preserve">Единовременное денежное пособие (ЕДП) в размере 20,0 тыс. сомов выделено 412 семьям погибших на общую сумму 8,2 млн. сомов. Единовременная материальная помощь (ЕМП) в размере от 50,0 до 100,0 тыс. сомов выделена 2179 пострадавшим на общую сумму 125,3 млн. сомов.</w:t>
      </w:r>
    </w:p>
    <w:p>
      <w:pPr>
        <w:spacing w:after="120"/>
        <w:jc w:val="both"/>
      </w:pPr>
      <w:r>
        <w:rPr>
          <w:rFonts w:ascii="Arial" w:cs="Arial" w:eastAsia="Arial" w:hAnsi="Arial"/>
          <w:sz w:val="24"/>
          <w:szCs w:val="24"/>
        </w:rPr>
        <w:t xml:space="preserve">Членам семей погибших, а также пострадавшим гражданам, выплачены дополнительные ежемесячные социальные пособия (ДЕСП) в размере 3700 сомов. Всего на выплату ДЕСП по апрельским, майским и июньским событиям 2010 года из средств республиканского бюджета выделено 52,3 млн. сомов (814 чел.).</w:t>
      </w:r>
    </w:p>
    <w:p>
      <w:pPr>
        <w:spacing w:after="120"/>
        <w:jc w:val="both"/>
      </w:pPr>
      <w:r>
        <w:rPr>
          <w:rFonts w:ascii="Arial" w:cs="Arial" w:eastAsia="Arial" w:hAnsi="Arial"/>
          <w:sz w:val="24"/>
          <w:szCs w:val="24"/>
        </w:rPr>
        <w:t xml:space="preserve">Социальное обслуживание. В республике функционируют 15 домов-интернатов, из которых 14 финансируются из средств республиканского бюджета, Бишкекский дом-интернат для престарелых - из средств местного бюджета. В данное время в домах-интернатах содержатся 2313 подопечных, в том числе престарелых и ЛОВЗ - 793, с психоневрологическим диагнозом - 1119 взрослых и 401 ребенок.</w:t>
      </w:r>
    </w:p>
    <w:p>
      <w:pPr>
        <w:spacing w:after="120"/>
        <w:jc w:val="both"/>
      </w:pPr>
      <w:r>
        <w:rPr>
          <w:rFonts w:ascii="Arial" w:cs="Arial" w:eastAsia="Arial" w:hAnsi="Arial"/>
          <w:sz w:val="24"/>
          <w:szCs w:val="24"/>
        </w:rPr>
        <w:t xml:space="preserve">За отчетный период дома-интернаты профинансированы на общую сумму 53,6 млн. сомов, что на 39,2% (15,1 млн. сомов) больше аналогичного периода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развития социальной сферы за январь-март 2012 года(16)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│N│      Наименование показателя     │Ед. изм.│Январь-│Январь-│Отклон.│</w:t>
      </w:r>
    </w:p>
    <w:p>
      <w:pPr>
        <w:spacing w:after="120"/>
        <w:jc w:val="center"/>
      </w:pPr>
      <w:r>
        <w:rPr>
          <w:rFonts w:ascii="Arial" w:cs="Arial" w:eastAsia="Arial" w:hAnsi="Arial"/>
          <w:sz w:val="24"/>
          <w:szCs w:val="24"/>
        </w:rPr>
        <w:t xml:space="preserve">│ │                                  │        │ март  │ март  │ (+,-) │</w:t>
      </w:r>
    </w:p>
    <w:p>
      <w:pPr>
        <w:spacing w:after="120"/>
        <w:jc w:val="center"/>
      </w:pPr>
      <w:r>
        <w:rPr>
          <w:rFonts w:ascii="Arial" w:cs="Arial" w:eastAsia="Arial" w:hAnsi="Arial"/>
          <w:sz w:val="24"/>
          <w:szCs w:val="24"/>
        </w:rPr>
        <w:t xml:space="preserve">│ │                                  │        │2011 г.│2012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│1│Среднемесячный размер номинальной │сомов   │ 7350,0│10127,0│ 2777,0│</w:t>
      </w:r>
    </w:p>
    <w:p>
      <w:pPr>
        <w:spacing w:after="120"/>
        <w:jc w:val="center"/>
      </w:pPr>
      <w:r>
        <w:rPr>
          <w:rFonts w:ascii="Arial" w:cs="Arial" w:eastAsia="Arial" w:hAnsi="Arial"/>
          <w:sz w:val="24"/>
          <w:szCs w:val="24"/>
        </w:rPr>
        <w:t xml:space="preserve">│ │заработной платы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│2│Прожиточный минимум               │сом/ме- │ 4411,3│ 4229,5│ -182  │</w:t>
      </w:r>
    </w:p>
    <w:p>
      <w:pPr>
        <w:spacing w:after="120"/>
        <w:jc w:val="center"/>
      </w:pPr>
      <w:r>
        <w:rPr>
          <w:rFonts w:ascii="Arial" w:cs="Arial" w:eastAsia="Arial" w:hAnsi="Arial"/>
          <w:sz w:val="24"/>
          <w:szCs w:val="24"/>
        </w:rPr>
        <w:t xml:space="preserve">│ │                                  │сяц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│3│Прожиточный минимум               │сом/ме- │ 4940,5│ 4717,1│ -223,4│</w:t>
      </w:r>
    </w:p>
    <w:p>
      <w:pPr>
        <w:spacing w:after="120"/>
        <w:jc w:val="center"/>
      </w:pPr>
      <w:r>
        <w:rPr>
          <w:rFonts w:ascii="Arial" w:cs="Arial" w:eastAsia="Arial" w:hAnsi="Arial"/>
          <w:sz w:val="24"/>
          <w:szCs w:val="24"/>
        </w:rPr>
        <w:t xml:space="preserve">│ │трудоспособного населения         │сяц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│4│Численность получателей государственных пособий(17)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│ЕПМС                              │тыс.    │  366,0│  374,6│    8,6│</w:t>
      </w:r>
    </w:p>
    <w:p>
      <w:pPr>
        <w:spacing w:after="120"/>
        <w:jc w:val="center"/>
      </w:pPr>
      <w:r>
        <w:rPr>
          <w:rFonts w:ascii="Arial" w:cs="Arial" w:eastAsia="Arial" w:hAnsi="Arial"/>
          <w:sz w:val="24"/>
          <w:szCs w:val="24"/>
        </w:rPr>
        <w:t xml:space="preserve">│ │                                  │чел.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│ЕСП                               │тыс.    │   68,2│   70,7│    2,5│</w:t>
      </w:r>
    </w:p>
    <w:p>
      <w:pPr>
        <w:spacing w:after="120"/>
        <w:jc w:val="center"/>
      </w:pPr>
      <w:r>
        <w:rPr>
          <w:rFonts w:ascii="Arial" w:cs="Arial" w:eastAsia="Arial" w:hAnsi="Arial"/>
          <w:sz w:val="24"/>
          <w:szCs w:val="24"/>
        </w:rPr>
        <w:t xml:space="preserve">│ │                                  │чел.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│5│Средние размеры государственных пособий(18)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│ЕПМС                              │сомов   │  243,0│  304,0│   61,0│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│ЕСП                               │сомов   │ 1493,6│ 1992,5│  498,9│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│6│Соотношение среднего размера государственных пособий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│ЕПМС к прожиточному минимуму на   │   %    │    6,5│    8,4│    1,9│</w:t>
      </w:r>
    </w:p>
    <w:p>
      <w:pPr>
        <w:spacing w:after="120"/>
        <w:jc w:val="center"/>
      </w:pPr>
      <w:r>
        <w:rPr>
          <w:rFonts w:ascii="Arial" w:cs="Arial" w:eastAsia="Arial" w:hAnsi="Arial"/>
          <w:sz w:val="24"/>
          <w:szCs w:val="24"/>
        </w:rPr>
        <w:t xml:space="preserve">│ │детей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│ЕСП к прожиточному минимуму       │   %    │   33,8│   47,1│   13,3│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│7│Финансирование социальных выплат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│Государственные пособия (ЕПМС,    │млн.    │  630,0│  855,9│  225,9│</w:t>
      </w:r>
    </w:p>
    <w:p>
      <w:pPr>
        <w:spacing w:after="120"/>
        <w:jc w:val="center"/>
      </w:pPr>
      <w:r>
        <w:rPr>
          <w:rFonts w:ascii="Arial" w:cs="Arial" w:eastAsia="Arial" w:hAnsi="Arial"/>
          <w:sz w:val="24"/>
          <w:szCs w:val="24"/>
        </w:rPr>
        <w:t xml:space="preserve">│ │ЕСП)                              │сомов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│Денежные компенсации взамен льгот │млн.    │  354,6│  348,2│   -6,4│</w:t>
      </w:r>
    </w:p>
    <w:p>
      <w:pPr>
        <w:spacing w:after="120"/>
        <w:jc w:val="center"/>
      </w:pPr>
      <w:r>
        <w:rPr>
          <w:rFonts w:ascii="Arial" w:cs="Arial" w:eastAsia="Arial" w:hAnsi="Arial"/>
          <w:sz w:val="24"/>
          <w:szCs w:val="24"/>
        </w:rPr>
        <w:t xml:space="preserve">│ │                                  │сомов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январе-марте 2012 года (без учета малых предприятий) составила 10127,0 сомов. По сравнению с январем-мартом 2011 года увеличилась на 37,8%, а ее реальный размер, исчисленный с учетом индекса потребительских цен, возрос на 35,0%. Рост заработной платы в январе-марте 2012 года в значительной мере обеспечен ее увеличением в бюджетной сфере в 1,6 раза.</w:t>
      </w:r>
    </w:p>
    <w:p>
      <w:pPr>
        <w:spacing w:after="120"/>
        <w:jc w:val="both"/>
      </w:pPr>
      <w:r>
        <w:rPr>
          <w:rFonts w:ascii="Arial" w:cs="Arial" w:eastAsia="Arial" w:hAnsi="Arial"/>
          <w:sz w:val="24"/>
          <w:szCs w:val="24"/>
        </w:rPr>
        <w:t xml:space="preserve">Увеличение размера заработной платы в январе-марте 2012 года по сравнению с соответствующим периодом прошлого года наблюдалось во всех видах экономической деятельности, но наиболее значительное - в образовании (на 71,4%) и здравоохранении (в 2,2 раза). В январе-марте 2012 года значительно превысила среднереспубликанский уровень заработная плата работников финансовой деятельности, транспорта и связи, в сфере производства и распределения электроэнергии, газа и воды. Наименьший ее уровень сложился в сельском хозяйстве, образовании, сфере предоставления коммунальных, социальных и персональных услуг.</w:t>
      </w:r>
    </w:p>
    <w:p>
      <w:pPr>
        <w:spacing w:after="120"/>
        <w:jc w:val="both"/>
      </w:pPr>
      <w:r>
        <w:rPr>
          <w:rFonts w:ascii="Arial" w:cs="Arial" w:eastAsia="Arial" w:hAnsi="Arial"/>
          <w:sz w:val="24"/>
          <w:szCs w:val="24"/>
        </w:rPr>
        <w:t xml:space="preserve">Сумма общей задолженности по выплате заработной платы в целом по республике на 1 марта 2012 года по сравнению с аналогичной датой 2011 года увеличилась на 1,5%, а по сравнению с аналогичной датой предыдущего месяца - на 0,8%.</w:t>
      </w:r>
    </w:p>
    <w:p>
      <w:pPr>
        <w:spacing w:after="120"/>
        <w:jc w:val="both"/>
      </w:pPr>
      <w:r>
        <w:rPr>
          <w:rFonts w:ascii="Arial" w:cs="Arial" w:eastAsia="Arial" w:hAnsi="Arial"/>
          <w:sz w:val="24"/>
          <w:szCs w:val="24"/>
        </w:rPr>
        <w:t xml:space="preserve">Величина прожиточного минимума в I квартале 2012 года составила 4229,49 сома. По сравнению с соответствующим периодом прошлого года снизилась на 4,2%, что связано со снижением цен на продовольственные товары (в структуре прожиточного минимума доля продовольственных товаров составляет 65%, непродовольственных - 16%, услуг - 17%, налогов 2%).</w:t>
      </w:r>
    </w:p>
    <w:p>
      <w:pPr>
        <w:spacing w:after="120"/>
        <w:jc w:val="both"/>
      </w:pPr>
      <w:r>
        <w:rPr>
          <w:rFonts w:ascii="Arial" w:cs="Arial" w:eastAsia="Arial" w:hAnsi="Arial"/>
          <w:sz w:val="24"/>
          <w:szCs w:val="24"/>
        </w:rPr>
        <w:t xml:space="preserve">Социальное обслуживание пенсионеров. Всего общая сумма доходов Социального фонда за январь-март 2012 года, по предварительным итогам, составила 6834,7 млн. сомов, что на 43,6% больше по сравнению с соответствующим периодом 2011 года.</w:t>
      </w:r>
    </w:p>
    <w:p>
      <w:pPr>
        <w:spacing w:after="120"/>
        <w:jc w:val="both"/>
      </w:pPr>
      <w:r>
        <w:rPr>
          <w:rFonts w:ascii="Arial" w:cs="Arial" w:eastAsia="Arial" w:hAnsi="Arial"/>
          <w:sz w:val="24"/>
          <w:szCs w:val="24"/>
        </w:rPr>
        <w:t xml:space="preserve">Потребность на выплату пенсий и пособий, составившая 6679,6 млн. сомов, профинансирована в полном объеме и задолженности по выплате пенсий и иных социальных выплат не имеется.</w:t>
      </w:r>
    </w:p>
    <w:p>
      <w:pPr>
        <w:spacing w:after="120"/>
        <w:jc w:val="both"/>
      </w:pPr>
      <w:r>
        <w:rPr>
          <w:rFonts w:ascii="Arial" w:cs="Arial" w:eastAsia="Arial" w:hAnsi="Arial"/>
          <w:sz w:val="24"/>
          <w:szCs w:val="24"/>
        </w:rPr>
        <w:t xml:space="preserve">В соответствии с распоряжением Правительства Кыргызской Республики от 24 марта 2012 года N 100, в целях оказания государственной поддержки животноводам Нарынской, Ошской и Джалал-Абадской областей, пострадавшим от обильных снегопадов, в марте т.г. профинансированы пенсии и иные социальные выплаты за апрель и май 2012 года в сумме 323,1 млн. сомов.</w:t>
      </w:r>
    </w:p>
    <w:p>
      <w:pPr>
        <w:spacing w:after="120"/>
        <w:jc w:val="both"/>
      </w:pPr>
      <w:r>
        <w:rPr>
          <w:rFonts w:ascii="Arial" w:cs="Arial" w:eastAsia="Arial" w:hAnsi="Arial"/>
          <w:sz w:val="24"/>
          <w:szCs w:val="24"/>
        </w:rPr>
        <w:t xml:space="preserve">За 1 квартал 2012 года Фонд обязательного медицинского страхования профинансирован в сумме 97,5 млн. сомов, а Фонд оздоровления трудящихся - в сумме 8,9 млн. сомов.</w:t>
      </w:r>
    </w:p>
    <w:p>
      <w:pPr>
        <w:spacing w:after="120"/>
        <w:jc w:val="both"/>
      </w:pPr>
      <w:r>
        <w:rPr>
          <w:rFonts w:ascii="Arial" w:cs="Arial" w:eastAsia="Arial" w:hAnsi="Arial"/>
          <w:sz w:val="24"/>
          <w:szCs w:val="24"/>
        </w:rPr>
        <w:t xml:space="preserve">На 1 января 2012 года численность пенсионеров по республике составила 545861 чел., что на 15699 чел. больше по сравнению с 2011 годом, а численность работающих составила 1183537 чел. Таким образом, соотношение работающих и пенсионеров составляет 2,17/1.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пенсионного обеспечения за 1 квартал 2011-2012 гг.(19)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│N│  Наименование показателя │ Ед. изм.│ Январь- │  Январь-  │  Откл. │</w:t>
      </w:r>
    </w:p>
    <w:p>
      <w:pPr>
        <w:spacing w:after="120"/>
        <w:jc w:val="center"/>
      </w:pPr>
      <w:r>
        <w:rPr>
          <w:rFonts w:ascii="Arial" w:cs="Arial" w:eastAsia="Arial" w:hAnsi="Arial"/>
          <w:sz w:val="24"/>
          <w:szCs w:val="24"/>
        </w:rPr>
        <w:t xml:space="preserve">│ │                          │         │  март   │   март    │от факт.│</w:t>
      </w:r>
    </w:p>
    <w:p>
      <w:pPr>
        <w:spacing w:after="120"/>
        <w:jc w:val="center"/>
      </w:pPr>
      <w:r>
        <w:rPr>
          <w:rFonts w:ascii="Arial" w:cs="Arial" w:eastAsia="Arial" w:hAnsi="Arial"/>
          <w:sz w:val="24"/>
          <w:szCs w:val="24"/>
        </w:rPr>
        <w:t xml:space="preserve">│ │                          │         │ 2011 г. │  2012 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│1│Всего доходов:            │млн.сомов│   4760,5│    6834,7 │  2074,2│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том числе: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│Поступления страховых     │млн.сомов│   2827,5│    4038,0 │  1210,5│</w:t>
      </w:r>
    </w:p>
    <w:p>
      <w:pPr>
        <w:spacing w:after="120"/>
        <w:jc w:val="center"/>
      </w:pPr>
      <w:r>
        <w:rPr>
          <w:rFonts w:ascii="Arial" w:cs="Arial" w:eastAsia="Arial" w:hAnsi="Arial"/>
          <w:sz w:val="24"/>
          <w:szCs w:val="24"/>
        </w:rPr>
        <w:t xml:space="preserve">│ │взносов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│Поступления из            │млн.сомов│   1897,2│    2720,3 │   823,1│</w:t>
      </w:r>
    </w:p>
    <w:p>
      <w:pPr>
        <w:spacing w:after="120"/>
        <w:jc w:val="center"/>
      </w:pPr>
      <w:r>
        <w:rPr>
          <w:rFonts w:ascii="Arial" w:cs="Arial" w:eastAsia="Arial" w:hAnsi="Arial"/>
          <w:sz w:val="24"/>
          <w:szCs w:val="24"/>
        </w:rPr>
        <w:t xml:space="preserve">│ │республиканского бюджета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│2│Всего расходов:           │млн.сомов│   4748,5│    7159,8 │  2411,3│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том числе: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средствам фонда ОМС    │млн.сомов│     63,2│      97,5 │    34,3│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Фонд оздоровления       │млн.сомов│      7,6│       8,9 │     1,3│</w:t>
      </w:r>
    </w:p>
    <w:p>
      <w:pPr>
        <w:spacing w:after="120"/>
        <w:jc w:val="center"/>
      </w:pPr>
      <w:r>
        <w:rPr>
          <w:rFonts w:ascii="Arial" w:cs="Arial" w:eastAsia="Arial" w:hAnsi="Arial"/>
          <w:sz w:val="24"/>
          <w:szCs w:val="24"/>
        </w:rPr>
        <w:t xml:space="preserve">│ │трудящихся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│3│Текущий статус ГНПФ       │млн.сомов│    206,8│     203,8 │    -3,0│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│4│Общее количество          │чел.     │ 530162  │  545861   │ 15699  │</w:t>
      </w:r>
    </w:p>
    <w:p>
      <w:pPr>
        <w:spacing w:after="120"/>
        <w:jc w:val="center"/>
      </w:pPr>
      <w:r>
        <w:rPr>
          <w:rFonts w:ascii="Arial" w:cs="Arial" w:eastAsia="Arial" w:hAnsi="Arial"/>
          <w:sz w:val="24"/>
          <w:szCs w:val="24"/>
        </w:rPr>
        <w:t xml:space="preserve">│ │пенсионеров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│5│Профинансированы и        │млн.сомов│   4476,4│    6679,6 │  2203,2│</w:t>
      </w:r>
    </w:p>
    <w:p>
      <w:pPr>
        <w:spacing w:after="120"/>
        <w:jc w:val="center"/>
      </w:pPr>
      <w:r>
        <w:rPr>
          <w:rFonts w:ascii="Arial" w:cs="Arial" w:eastAsia="Arial" w:hAnsi="Arial"/>
          <w:sz w:val="24"/>
          <w:szCs w:val="24"/>
        </w:rPr>
        <w:t xml:space="preserve">│ │выплачены пенсии и иные   │         │         │           │        │</w:t>
      </w:r>
    </w:p>
    <w:p>
      <w:pPr>
        <w:spacing w:after="120"/>
        <w:jc w:val="center"/>
      </w:pPr>
      <w:r>
        <w:rPr>
          <w:rFonts w:ascii="Arial" w:cs="Arial" w:eastAsia="Arial" w:hAnsi="Arial"/>
          <w:sz w:val="24"/>
          <w:szCs w:val="24"/>
        </w:rPr>
        <w:t xml:space="preserve">│ │соц. выплаты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│6│Среднемесячный размер     │сомов    │   2800,0│ 3760,0(21)│   960  │</w:t>
      </w:r>
    </w:p>
    <w:p>
      <w:pPr>
        <w:spacing w:after="120"/>
        <w:jc w:val="center"/>
      </w:pPr>
      <w:r>
        <w:rPr>
          <w:rFonts w:ascii="Arial" w:cs="Arial" w:eastAsia="Arial" w:hAnsi="Arial"/>
          <w:sz w:val="24"/>
          <w:szCs w:val="24"/>
        </w:rPr>
        <w:t xml:space="preserve">│ │пенсий(20)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│7│Соотношение пенсионеров и │чел.     │   1:1,3 │  1:2,17   │        │</w:t>
      </w:r>
    </w:p>
    <w:p>
      <w:pPr>
        <w:spacing w:after="120"/>
        <w:jc w:val="center"/>
      </w:pPr>
      <w:r>
        <w:rPr>
          <w:rFonts w:ascii="Arial" w:cs="Arial" w:eastAsia="Arial" w:hAnsi="Arial"/>
          <w:sz w:val="24"/>
          <w:szCs w:val="24"/>
        </w:rPr>
        <w:t xml:space="preserve">│ │работающих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│8│Прожиточный минимум       │сомов в  │   3958,7│    3749,2 │   209,5│</w:t>
      </w:r>
    </w:p>
    <w:p>
      <w:pPr>
        <w:spacing w:after="120"/>
        <w:jc w:val="center"/>
      </w:pPr>
      <w:r>
        <w:rPr>
          <w:rFonts w:ascii="Arial" w:cs="Arial" w:eastAsia="Arial" w:hAnsi="Arial"/>
          <w:sz w:val="24"/>
          <w:szCs w:val="24"/>
        </w:rPr>
        <w:t xml:space="preserve">│ │пенсионера(22)            │месяц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Средний размер пенсии на начало года составил 3760 сомов с учетом компенсационных выплат за электроэнергию. По сравнению с аналогичным периодом 2011 года средний размер пенсии увеличился на 34,3% или на 960 сомов.</w:t>
      </w:r>
    </w:p>
    <w:p>
      <w:pPr>
        <w:spacing w:after="120"/>
        <w:jc w:val="both"/>
      </w:pPr>
      <w:r>
        <w:rPr>
          <w:rFonts w:ascii="Arial" w:cs="Arial" w:eastAsia="Arial" w:hAnsi="Arial"/>
          <w:sz w:val="24"/>
          <w:szCs w:val="24"/>
        </w:rPr>
        <w:t xml:space="preserve">Основной задачей является обеспечение достойного уровня пенсионного обеспечения и социальной поддержки пенсионеров. В этой связи в настоящее время приоритетным вопросом является доведение среднего размера пенсии до прожиточного минимума пенсионера.</w:t>
      </w:r>
    </w:p>
    <w:p>
      <w:pPr>
        <w:spacing w:after="120"/>
        <w:jc w:val="both"/>
      </w:pPr>
      <w:r>
        <w:rPr>
          <w:rFonts w:ascii="Arial" w:cs="Arial" w:eastAsia="Arial" w:hAnsi="Arial"/>
          <w:sz w:val="24"/>
          <w:szCs w:val="24"/>
        </w:rPr>
        <w:t xml:space="preserve">В этих целях в соответствии с постановлением Правительства Кыргызской Республики от 23 марта 2012 года N 199 "О повышении страховых частей пенсий с 1 мая 2012 года" с 1 мая 2012 года повышены страховые части пенсий. На данное повышение пенсий в 2012 году в бюджете Социального фонда предусмотрены средства в сумме 1797,0 млн. сомов.</w:t>
      </w:r>
    </w:p>
    <w:p>
      <w:pPr>
        <w:spacing w:after="120"/>
        <w:jc w:val="both"/>
      </w:pPr>
      <w:r>
        <w:rPr>
          <w:rFonts w:ascii="Arial" w:cs="Arial" w:eastAsia="Arial" w:hAnsi="Arial"/>
          <w:sz w:val="24"/>
          <w:szCs w:val="24"/>
        </w:rPr>
        <w:t xml:space="preserve">Повышение страховых частей пенсии в мае т.г. осуществлено как в твердо установленных суммах в размере 150 сомов для низких размеров пенсий и 1500 сомов для высоких, так и в дифференцированных процентных повышениях для пенсий среднего уровня (от 20% до 8%). При этом механизме повышение пенсий в среднем составит 111,0% или 398 сомов, при прогнозируемом уровне инфляции в 106,3%.</w:t>
      </w:r>
    </w:p>
    <w:p>
      <w:pPr>
        <w:spacing w:after="120"/>
        <w:jc w:val="both"/>
      </w:pPr>
      <w:r>
        <w:rPr>
          <w:rFonts w:ascii="Arial" w:cs="Arial" w:eastAsia="Arial" w:hAnsi="Arial"/>
          <w:sz w:val="24"/>
          <w:szCs w:val="24"/>
        </w:rPr>
        <w:t xml:space="preserve">6.2. Рынок труда и миграция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естественных и миграционных процессов, численность населения республики в январе-феврале 2012 года увеличилась на 19,3 тыс. чел., или на 0,3%. По оценочным данным, численность постоянного населения на 1 марта 2012 года составила 5571 тыс. чел.</w:t>
      </w:r>
    </w:p>
    <w:p>
      <w:pPr>
        <w:spacing w:after="120"/>
        <w:jc w:val="both"/>
      </w:pPr>
      <w:r>
        <w:rPr>
          <w:rFonts w:ascii="Arial" w:cs="Arial" w:eastAsia="Arial" w:hAnsi="Arial"/>
          <w:sz w:val="24"/>
          <w:szCs w:val="24"/>
        </w:rPr>
        <w:t xml:space="preserve">Основным фактором роста численности населения является естественный прирост, который составил 19,9 тыс. чел., или 21,9 на 1000 населения (20,3 - в январе-феврале 2011 года). В январе-феврале 2012 года родилось 26,7 тыс. детей, или 29,3 на 1000 населения (27,7 - в январе-феврале 2011 года). Умерло 6,8 тыс. человек, или 7,4 на 1000 населения (на уровне аналогичного периода прошлого года). Умерло 500 детей в возрасте до одного года, или 18,7 на 1000 родившихся (20,2 - в январе-феврале 2011 года).</w:t>
      </w:r>
    </w:p>
    <w:p>
      <w:pPr>
        <w:spacing w:after="120"/>
        <w:jc w:val="both"/>
      </w:pPr>
      <w:r>
        <w:rPr>
          <w:rFonts w:ascii="Arial" w:cs="Arial" w:eastAsia="Arial" w:hAnsi="Arial"/>
          <w:sz w:val="24"/>
          <w:szCs w:val="24"/>
        </w:rPr>
        <w:t xml:space="preserve">Демографическая ситуация в январе-феврале 2012 года характеризовалась значительным снижением внешней миграционной активности населения. Так, в январе-феврале 2012 года в республику на постоянное место жительства прибыло 1,1 тыс. чел., выбыло 1,7 тыс. чел., миграционный отток населения составил - 0,6 тыс. чел. (-6,2 тыс. чел. - в январе-феврале 2011 года). По сравнению с январем-февралем 2011 года также значительно сократился объем внутриреспубликанской миграции населения. По-прежнему, наиболее высокая интенсивность выбытия по внешней миграции наблюдалась из Таласской и Чуйской областей (соответственно, 6 и 7 человек на 10 тыс. жителей).</w:t>
      </w:r>
    </w:p>
    <w:p>
      <w:pPr>
        <w:spacing w:after="120"/>
        <w:jc w:val="both"/>
      </w:pPr>
      <w:r>
        <w:rPr>
          <w:rFonts w:ascii="Arial" w:cs="Arial" w:eastAsia="Arial" w:hAnsi="Arial"/>
          <w:sz w:val="24"/>
          <w:szCs w:val="24"/>
        </w:rPr>
        <w:t xml:space="preserve">Занятость населения. В 2010 году экономически активное население по данным НСК Кыргызской Республики составило 2456,0 тыс. чел. Численность занятого населения составила 2243,7 тыс. чел. Уровень экономической активности населения в текущем году составил 64,2% от общей численности населения страны, значительно снизившись по сравнению с аналогичным периодом прошлого года (64,4%). Уровень общей безработицы в 2010 году сложился в размере 8,6%.</w:t>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 апреля 2012 года по сравнению с аналогичной датой 2011 года уменьшилась на 4,8%, а численность безработных - на 5,4%. Уровень официальной безработицы составил 2,5%.</w:t>
      </w:r>
    </w:p>
    <w:p>
      <w:pPr>
        <w:spacing w:after="120"/>
        <w:jc w:val="both"/>
      </w:pPr>
      <w:r>
        <w:rPr>
          <w:rFonts w:ascii="Arial" w:cs="Arial" w:eastAsia="Arial" w:hAnsi="Arial"/>
          <w:sz w:val="24"/>
          <w:szCs w:val="24"/>
        </w:rPr>
        <w:t xml:space="preserve">Число обратившихся в службы занятости за 1 квартал т.г. составило 37088 чел., что на 1960 чел., или 5% меньше, чем за аналогичный период 2011 года. Зарегистрировались в службах занятости, как ищущие работу 17478 человека, что на 714 человек, или 4% меньше, чем за аналогичный период 2011 года.</w:t>
      </w:r>
    </w:p>
    <w:p>
      <w:pPr>
        <w:spacing w:after="120"/>
        <w:jc w:val="both"/>
      </w:pPr>
      <w:r>
        <w:rPr>
          <w:rFonts w:ascii="Arial" w:cs="Arial" w:eastAsia="Arial" w:hAnsi="Arial"/>
          <w:sz w:val="24"/>
          <w:szCs w:val="24"/>
        </w:rPr>
        <w:t xml:space="preserve">По состоянию на 1 апреля т.г. в службах занятости состоит на учете 96251 чел., 42% из которых составляет молодежь в возрасте до 29 лет. Имеют официальный статус безработных 61774 чел., что на 3494 чел. меньше, чем за аналогичный период прошлого года. Из числа безработных 51% (31796) составляют женщины, около 19% (12035) являются молодыми людьми до 29 лет.</w:t>
      </w:r>
    </w:p>
    <w:p>
      <w:pPr>
        <w:spacing w:after="120"/>
        <w:jc w:val="both"/>
      </w:pPr>
      <w:r>
        <w:rPr>
          <w:rFonts w:ascii="Arial" w:cs="Arial" w:eastAsia="Arial" w:hAnsi="Arial"/>
          <w:sz w:val="24"/>
          <w:szCs w:val="24"/>
        </w:rPr>
        <w:t xml:space="preserve">В целях оказания содействия занятости на рынке труда проводились активные мероприятия, в числе которых: предложения по обучению, переобучению, временному трудоустройству (проекты общественных оплачиваемых работ), обеспечение льготными микрокредитами безработных граждан. Так, за 1 квартал т.г. активными мерами на рынке труда было охвачено 14309 безработных, однако, это меньше на 1499 безработных, или на 9% в сравнении с аналогичным периодом 2011 года.</w:t>
      </w:r>
    </w:p>
    <w:p>
      <w:pPr>
        <w:spacing w:after="120"/>
        <w:jc w:val="both"/>
      </w:pPr>
      <w:r>
        <w:rPr>
          <w:rFonts w:ascii="Arial" w:cs="Arial" w:eastAsia="Arial" w:hAnsi="Arial"/>
          <w:sz w:val="24"/>
          <w:szCs w:val="24"/>
        </w:rPr>
        <w:t xml:space="preserve">На общественные оплачиваемые работы были направлены 3260 человек, что меньше на 957 человек, или 23%, чем в прошлом году.</w:t>
      </w:r>
    </w:p>
    <w:p>
      <w:pPr>
        <w:spacing w:after="120"/>
        <w:jc w:val="both"/>
      </w:pPr>
      <w:r>
        <w:rPr>
          <w:rFonts w:ascii="Arial" w:cs="Arial" w:eastAsia="Arial" w:hAnsi="Arial"/>
          <w:sz w:val="24"/>
          <w:szCs w:val="24"/>
        </w:rPr>
        <w:t xml:space="preserve">Обучение, переобучение востребованным на рынке труда профессиям было предложено 2279 безработным, что на 12% меньше, чем в прошлый период.</w:t>
      </w:r>
    </w:p>
    <w:p>
      <w:pPr>
        <w:spacing w:after="120"/>
        <w:jc w:val="both"/>
      </w:pPr>
      <w:r>
        <w:rPr>
          <w:rFonts w:ascii="Arial" w:cs="Arial" w:eastAsia="Arial" w:hAnsi="Arial"/>
          <w:sz w:val="24"/>
          <w:szCs w:val="24"/>
        </w:rPr>
        <w:t xml:space="preserve">Льготные микрокредиты получили 497 человек, что больше на 43 человека, или на 9%, чем за аналогичный период прошлого года.</w:t>
      </w:r>
    </w:p>
    <w:p>
      <w:pPr>
        <w:spacing w:after="120"/>
        <w:jc w:val="both"/>
      </w:pPr>
      <w:r>
        <w:rPr>
          <w:rFonts w:ascii="Arial" w:cs="Arial" w:eastAsia="Arial" w:hAnsi="Arial"/>
          <w:sz w:val="24"/>
          <w:szCs w:val="24"/>
        </w:rPr>
        <w:t xml:space="preserve">Миграция. В Кыргызстане экспорт рабочей силы является распространенным явлением. По предварительным данным, чистый приток денежных переводов физических лиц за отчетный период составил 176,2 млн. долл.США, что на 14,5% превысило показатель за соответствующий период 2011 года. При этом, как и прежде, подавляющий объем притока денежных средств приходился на Российскую Федерацию и составил 194,6 млн. долл.США (95,3%)(23).</w:t>
      </w:r>
    </w:p>
    <w:p>
      <w:pPr>
        <w:spacing w:after="120"/>
        <w:jc w:val="both"/>
      </w:pPr>
      <w:r>
        <w:rPr>
          <w:rFonts w:ascii="Arial" w:cs="Arial" w:eastAsia="Arial" w:hAnsi="Arial"/>
          <w:sz w:val="24"/>
          <w:szCs w:val="24"/>
        </w:rPr>
        <w:t xml:space="preserve">Кроме того, в рамках Программы Правительства Кыргызской Республики "Стабильность и достойная жизнь", в настоящее время межведомственной рабочей группой осуществляется разработка новой редакции Трудового кодекса. Главная отличительная черта новой версии заключается в том, что трудовые правоотношения будут строиться исключительно на основе контракта, независимо, в государственной, частной, или иной сферах деятельности.</w:t>
      </w:r>
    </w:p>
    <w:p>
      <w:pPr>
        <w:spacing w:after="120"/>
        <w:jc w:val="both"/>
      </w:pPr>
      <w:r>
        <w:rPr>
          <w:rFonts w:ascii="Arial" w:cs="Arial" w:eastAsia="Arial" w:hAnsi="Arial"/>
          <w:sz w:val="24"/>
          <w:szCs w:val="24"/>
        </w:rPr>
        <w:t xml:space="preserve">Молодежная политика. Государственная молодежная политика в Кыргызской Республике реализуется через создание социально-экономических, правовых и других условий для становления, самореализации молодых граждан и защиты их интересов.</w:t>
      </w:r>
    </w:p>
    <w:p>
      <w:pPr>
        <w:spacing w:after="120"/>
        <w:jc w:val="both"/>
      </w:pPr>
      <w:r>
        <w:rPr>
          <w:rFonts w:ascii="Arial" w:cs="Arial" w:eastAsia="Arial" w:hAnsi="Arial"/>
          <w:sz w:val="24"/>
          <w:szCs w:val="24"/>
        </w:rPr>
        <w:t xml:space="preserve">В настоящее время молодежь (возрастная группа 14-28 лет) составляет 1657 тыс. чел., или 30% всего населения республики и 68% экономически активного населения. Из них численность занятой молодежи составляет 796,2 тыс. чел., или 48%. Из числа занятой молодежи имеют высшее образование 121 тыс. чел., или 15%.</w:t>
      </w:r>
    </w:p>
    <w:p>
      <w:pPr>
        <w:spacing w:after="120"/>
        <w:jc w:val="both"/>
      </w:pPr>
      <w:r>
        <w:rPr>
          <w:rFonts w:ascii="Arial" w:cs="Arial" w:eastAsia="Arial" w:hAnsi="Arial"/>
          <w:sz w:val="24"/>
          <w:szCs w:val="24"/>
        </w:rPr>
        <w:t xml:space="preserve">Среднее профессиональное образование имеют 41,4 тыс., или 5% молодых людей, начальное профессиональное образование (профтехлицеи) имеют 46,9 тыс. человек, или 6%. Таким образом, лишь 26% занятой молодежи имеют специальность. Остальные заняты в основном в сельском хозяйстве, а также на низкооплачиваемых, неквалифицированных работах.</w:t>
      </w:r>
    </w:p>
    <w:p>
      <w:pPr>
        <w:spacing w:after="120"/>
        <w:jc w:val="both"/>
      </w:pPr>
      <w:r>
        <w:rPr>
          <w:rFonts w:ascii="Arial" w:cs="Arial" w:eastAsia="Arial" w:hAnsi="Arial"/>
          <w:sz w:val="24"/>
          <w:szCs w:val="24"/>
        </w:rPr>
        <w:t xml:space="preserve">Большое значение имеет проблема молодежной безработицы, поскольку молодежь представляет собой наиболее крупный сегмент в структуре рынка труда, и это в настоящее время порождает тенденцию к росту предложения рабочей силы. По официальным данным уровень безработицы среди молодежи достигает 10,1%, при этом в возрастной группе от 15 до 19 лет уровень безработицы составляет свыше 19%, в возрастной группе от 20 до 24 лет около 16%, и только в возрасте старше 25 лет наблюдается снижение уровня безработицы до 9%. Почти 60% официально зарегистрированных безработных молодых людей не имеют работы длительное время, и среди них более 14% выпускников ВУЗов.</w:t>
      </w:r>
    </w:p>
    <w:p>
      <w:pPr>
        <w:spacing w:after="120"/>
        <w:jc w:val="both"/>
      </w:pPr>
      <w:r>
        <w:rPr>
          <w:rFonts w:ascii="Arial" w:cs="Arial" w:eastAsia="Arial" w:hAnsi="Arial"/>
          <w:sz w:val="24"/>
          <w:szCs w:val="24"/>
        </w:rPr>
        <w:t xml:space="preserve">Молодежная биржа труда. Всего по различным вопросам в Молодежную биржу труда и молодежные биржи труда в регионах за первый квартал т.г. обратилось 1539 чел., 48% из которых молодые женщины. Из общего числа обратившихся трудоустроено 615 чел., из которых 49% женщин и 20 подростков.</w:t>
      </w:r>
    </w:p>
    <w:p>
      <w:pPr>
        <w:spacing w:after="120"/>
        <w:jc w:val="both"/>
      </w:pPr>
      <w:r>
        <w:rPr>
          <w:rFonts w:ascii="Arial" w:cs="Arial" w:eastAsia="Arial" w:hAnsi="Arial"/>
          <w:sz w:val="24"/>
          <w:szCs w:val="24"/>
        </w:rPr>
        <w:t xml:space="preserve">Молодежные биржи труда ежемесячно организуют "Ярмарки вакансий". За отчетный период было проведено 5 "Ярмарок вакансий", которые посетили 981 человек, из них 359 женщин, 30 подростков. Было направлено на работу - 775 человек, из них молодых женщин - 236. Экстренно трудоустроен 71 человек, из них 31 женщина. Всего "Ярмарку вакансий" посетили 36 работодателей.</w:t>
      </w:r>
    </w:p>
    <w:p>
      <w:pPr>
        <w:spacing w:after="120"/>
        <w:jc w:val="both"/>
      </w:pPr>
      <w:r>
        <w:rPr>
          <w:rFonts w:ascii="Arial" w:cs="Arial" w:eastAsia="Arial" w:hAnsi="Arial"/>
          <w:sz w:val="24"/>
          <w:szCs w:val="24"/>
        </w:rPr>
        <w:t xml:space="preserve">Гендерная политика. Гендерное равенство - это один из индикаторов уровня демократизации общества, уровня его цивилизованности. Гендерное равенство имеет политическую, экономическую и социальную основы. Несмотря на относительно высокую правовую обеспеченность, механизмы, предоставляющие женщинам равные возможности с мужчинами, во многих существующих нормах законодательных актов не предусмотрены.</w:t>
      </w:r>
    </w:p>
    <w:p>
      <w:pPr>
        <w:spacing w:after="120"/>
        <w:jc w:val="both"/>
      </w:pPr>
      <w:r>
        <w:rPr>
          <w:rFonts w:ascii="Arial" w:cs="Arial" w:eastAsia="Arial" w:hAnsi="Arial"/>
          <w:sz w:val="24"/>
          <w:szCs w:val="24"/>
        </w:rPr>
        <w:t xml:space="preserve">В настоящее время созданной межведомственной рабочей группой ведется разработка проектов Национальной стратегии до 2020 года и Национального плана действий на 2012-2014 годы по достижению гендерного равенства. Разработка нового НПД - одно из принципиальных условий успешной интеграции в мировое сообщество, поскольку во всем мире степень развития общества определяется такими показателями, как гендерное равенство и действенное искоренение не только явных, но и скрытых форм дискриминации по половому признаку.</w:t>
      </w:r>
    </w:p>
    <w:p>
      <w:pPr>
        <w:spacing w:after="120"/>
        <w:jc w:val="both"/>
      </w:pPr>
      <w:r>
        <w:rPr>
          <w:rFonts w:ascii="Arial" w:cs="Arial" w:eastAsia="Arial" w:hAnsi="Arial"/>
          <w:sz w:val="24"/>
          <w:szCs w:val="24"/>
        </w:rPr>
        <w:t xml:space="preserve">В основу разработки национальных программ по улучшению положения женщин и достижению гендерного равенства в Кыргызской Республике легли принципы и структура Пекинской Платформы Действий по улучшению положения женщин.</w:t>
      </w:r>
    </w:p>
    <w:p>
      <w:pPr>
        <w:spacing w:after="120"/>
        <w:jc w:val="both"/>
      </w:pPr>
      <w:r>
        <w:rPr>
          <w:rFonts w:ascii="Arial" w:cs="Arial" w:eastAsia="Arial" w:hAnsi="Arial"/>
          <w:sz w:val="24"/>
          <w:szCs w:val="24"/>
        </w:rPr>
        <w:t xml:space="preserve">Во всех регионах и городах Бишкек и Ош параллельно шел процесс разработки проектов региональных планов по достижению гендерного равенства, по опыту пилотного проекта для Чуйской области. Практически все проблемы в регионах имеют сходный характер и общее происхождение. Из-за роста миграции растет число детей без присмотра, школьная преступность. Из-за плохой информированности возникают проблемы со здоровьем, как у мужчин, так и у женщин. Недостаточное гендерное образование ведет к дискриминации и нарушению прав женщин, их низкой представленности на уровне принятия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Демографическая ситуация за 1 квартал 2012 года характеризовалась тенденцией роста показателя рождаемости, который составил 29,3 на 1000 населения, по предварительным данным (2011 г. - 27,7). Продолжает сохраняться тенденция к росту показателя естественного прироста населения, составив по итогам I квартала 2012 года 21,9 на 1000 населения (2011 г. - 20,3).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здравоохранения(24)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показателя │      Ед. изм.    │Январь-│Январь-│  Откл. │</w:t>
      </w:r>
    </w:p>
    <w:p>
      <w:pPr>
        <w:spacing w:after="120"/>
        <w:jc w:val="center"/>
      </w:pPr>
      <w:r>
        <w:rPr>
          <w:rFonts w:ascii="Arial" w:cs="Arial" w:eastAsia="Arial" w:hAnsi="Arial"/>
          <w:sz w:val="24"/>
          <w:szCs w:val="24"/>
        </w:rPr>
        <w:t xml:space="preserve">│                         │                  │ март  │ март  │от факт.│</w:t>
      </w:r>
    </w:p>
    <w:p>
      <w:pPr>
        <w:spacing w:after="120"/>
        <w:jc w:val="center"/>
      </w:pPr>
      <w:r>
        <w:rPr>
          <w:rFonts w:ascii="Arial" w:cs="Arial" w:eastAsia="Arial" w:hAnsi="Arial"/>
          <w:sz w:val="24"/>
          <w:szCs w:val="24"/>
        </w:rPr>
        <w:t xml:space="preserve">│                         │                  │2011 г.│2012 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│Рождаемость              │на 1 тыс.         │  27,7 │  29,3 │   1,6  │</w:t>
      </w:r>
    </w:p>
    <w:p>
      <w:pPr>
        <w:spacing w:after="120"/>
        <w:jc w:val="center"/>
      </w:pPr>
      <w:r>
        <w:rPr>
          <w:rFonts w:ascii="Arial" w:cs="Arial" w:eastAsia="Arial" w:hAnsi="Arial"/>
          <w:sz w:val="24"/>
          <w:szCs w:val="24"/>
        </w:rPr>
        <w:t xml:space="preserve">│                         │населения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│Показатель естественного │на 1 тыс.         │  20,3 │  21,9 │   1,6  │</w:t>
      </w:r>
    </w:p>
    <w:p>
      <w:pPr>
        <w:spacing w:after="120"/>
        <w:jc w:val="center"/>
      </w:pPr>
      <w:r>
        <w:rPr>
          <w:rFonts w:ascii="Arial" w:cs="Arial" w:eastAsia="Arial" w:hAnsi="Arial"/>
          <w:sz w:val="24"/>
          <w:szCs w:val="24"/>
        </w:rPr>
        <w:t xml:space="preserve">│прироста                 │населения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│Показатель общей         │на 1 тыс.         │   7,4 │   7,4 │   0    │</w:t>
      </w:r>
    </w:p>
    <w:p>
      <w:pPr>
        <w:spacing w:after="120"/>
        <w:jc w:val="center"/>
      </w:pPr>
      <w:r>
        <w:rPr>
          <w:rFonts w:ascii="Arial" w:cs="Arial" w:eastAsia="Arial" w:hAnsi="Arial"/>
          <w:sz w:val="24"/>
          <w:szCs w:val="24"/>
        </w:rPr>
        <w:t xml:space="preserve">│смертности               │населения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│Показатель младенческой  │на 1000 родившихся│  20,2 │  18,7 │  -1,5  │</w:t>
      </w:r>
    </w:p>
    <w:p>
      <w:pPr>
        <w:spacing w:after="120"/>
        <w:jc w:val="center"/>
      </w:pPr>
      <w:r>
        <w:rPr>
          <w:rFonts w:ascii="Arial" w:cs="Arial" w:eastAsia="Arial" w:hAnsi="Arial"/>
          <w:sz w:val="24"/>
          <w:szCs w:val="24"/>
        </w:rPr>
        <w:t xml:space="preserve">│смертности               │живыми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│Коэффициент детской      │на 1000 родившихся│  23,5 │  21,6 │  -1,9  │</w:t>
      </w:r>
    </w:p>
    <w:p>
      <w:pPr>
        <w:spacing w:after="120"/>
        <w:jc w:val="center"/>
      </w:pPr>
      <w:r>
        <w:rPr>
          <w:rFonts w:ascii="Arial" w:cs="Arial" w:eastAsia="Arial" w:hAnsi="Arial"/>
          <w:sz w:val="24"/>
          <w:szCs w:val="24"/>
        </w:rPr>
        <w:t xml:space="preserve">│смертности               │живыми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│Показатель материнской   │на 100000         │  32,7 │  53,7 │  21,0  │</w:t>
      </w:r>
    </w:p>
    <w:p>
      <w:pPr>
        <w:spacing w:after="120"/>
        <w:jc w:val="center"/>
      </w:pPr>
      <w:r>
        <w:rPr>
          <w:rFonts w:ascii="Arial" w:cs="Arial" w:eastAsia="Arial" w:hAnsi="Arial"/>
          <w:sz w:val="24"/>
          <w:szCs w:val="24"/>
        </w:rPr>
        <w:t xml:space="preserve">│смертности               │родившихся живыми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 рассматриваемый период отмечается снижение показателей детской, младенческой смертности. Показатель материнской смертности остается высоким, каждый случай подвергается экспертизе.</w:t>
      </w:r>
    </w:p>
    <w:p>
      <w:pPr>
        <w:spacing w:after="120"/>
        <w:jc w:val="both"/>
      </w:pPr>
      <w:r>
        <w:rPr>
          <w:rFonts w:ascii="Arial" w:cs="Arial" w:eastAsia="Arial" w:hAnsi="Arial"/>
          <w:sz w:val="24"/>
          <w:szCs w:val="24"/>
        </w:rPr>
        <w:t xml:space="preserve">Снижение показателей детской и младенческой смертности связаны со снижением перинатальной смертности и внедрением эффективных перинатальных услуг - рациональное ведение родов, раннее прикладывание к груди, тепловая цепь, своевременная реанимация новорожденных. Анализ случаев материнской смертности показал многообразие ее причин, выходящих за рамки сектора здравоохранения и обусловленных рядом экономических, социальных и культурных факторов, поведенческими навыками, санитарной грамотностью населения.</w:t>
      </w:r>
    </w:p>
    <w:p>
      <w:pPr>
        <w:spacing w:after="120"/>
        <w:jc w:val="both"/>
      </w:pPr>
      <w:r>
        <w:rPr>
          <w:rFonts w:ascii="Arial" w:cs="Arial" w:eastAsia="Arial" w:hAnsi="Arial"/>
          <w:sz w:val="24"/>
          <w:szCs w:val="24"/>
        </w:rPr>
        <w:t xml:space="preserve">За 1 квартал 2012 года показатель общей смертности на 1000 населения по предварительным данным остался на уровне 2011 года, составив 7,4.</w:t>
      </w:r>
    </w:p>
    <w:p>
      <w:pPr>
        <w:spacing w:after="120"/>
        <w:jc w:val="both"/>
      </w:pPr>
      <w:r>
        <w:rPr>
          <w:rFonts w:ascii="Arial" w:cs="Arial" w:eastAsia="Arial" w:hAnsi="Arial"/>
          <w:sz w:val="24"/>
          <w:szCs w:val="24"/>
        </w:rPr>
        <w:t xml:space="preserve">Показатель младенческой смертности на 1000 родившихся живыми за 1 квартал 2012 года составил 18,7 (2011 г. - 20,2). Коэффициент детской смертности за 1 квартал 2012 года, по предварительным данным, составил 21,6 на 1000 родившихся живыми (2011 г. - 23,5). Показатель материнской смертности за 1 квартал 2012 года, по предварительным данным, составил 53,7 на 100000 родившихся живыми (2011 г. - 32,7).</w:t>
      </w:r>
    </w:p>
    <w:p>
      <w:pPr>
        <w:spacing w:after="120"/>
        <w:jc w:val="both"/>
      </w:pPr>
      <w:r>
        <w:rPr>
          <w:rFonts w:ascii="Arial" w:cs="Arial" w:eastAsia="Arial" w:hAnsi="Arial"/>
          <w:sz w:val="24"/>
          <w:szCs w:val="24"/>
        </w:rPr>
        <w:t xml:space="preserve">Заболеваемость. За I квартал 2012 года(25) в республике зарегистрировано 106,6 тыс. случаев инфекционных и паразитарных болезней. В структуре инфекционной паталогии 83,2% приходится на грипп и острые респираторно-вирусные инфекции, 2,6% на паразитарные заболевания, 2,6% - на острые кишечные инфекции, 3,2% - на вирусные гепатиты, 1,2% - на туберкулез, 0,8% - на бруцеллез и 6,4% - на прочие инфекции.</w:t>
      </w:r>
    </w:p>
    <w:p>
      <w:pPr>
        <w:spacing w:after="120"/>
        <w:jc w:val="both"/>
      </w:pPr>
      <w:r>
        <w:rPr>
          <w:rFonts w:ascii="Arial" w:cs="Arial" w:eastAsia="Arial" w:hAnsi="Arial"/>
          <w:sz w:val="24"/>
          <w:szCs w:val="24"/>
        </w:rPr>
        <w:t xml:space="preserve">За 3 месяца текущего года не зарегистрированы случаи дифтерии, полиомиелита, столбняка, кори, краснухи. Достигнуто снижение заболеваемости (в расчете на 100 тыс. населения) сифилисом на 9%, бруцеллезом на 37%, эпидемиологическим паротитом - на 28%, брюшным тифом - на 25%.</w:t>
      </w:r>
    </w:p>
    <w:p>
      <w:pPr>
        <w:spacing w:after="120"/>
        <w:jc w:val="both"/>
      </w:pPr>
      <w:r>
        <w:rPr>
          <w:rFonts w:ascii="Arial" w:cs="Arial" w:eastAsia="Arial" w:hAnsi="Arial"/>
          <w:sz w:val="24"/>
          <w:szCs w:val="24"/>
        </w:rPr>
        <w:t xml:space="preserve">При этом, остается высокой заболеваемость острыми кишечными инфекциями, ВИЧ-инфекцией, чесоткой, эхиноккокозом, туберкулезом, вирусным гепатитом А.</w:t>
      </w:r>
    </w:p>
    <w:p>
      <w:pPr>
        <w:spacing w:after="120"/>
        <w:jc w:val="both"/>
      </w:pPr>
      <w:r>
        <w:rPr>
          <w:rFonts w:ascii="Arial" w:cs="Arial" w:eastAsia="Arial" w:hAnsi="Arial"/>
          <w:sz w:val="24"/>
          <w:szCs w:val="24"/>
        </w:rPr>
        <w:t xml:space="preserve">За 1 квартал 2012 года зарегистрирован 1 завозной случай тропической малярии в г.Бишкек, в очаге проведены противоэпидемические и информационно-образовательные мероприятия. При финансовой поддержке проекта Глобального фонда "Программа элиминации малярии в Кыргызской Республике на 2011-2015 годы" закуплено 2140 кг инсектицида, 19 холодильников для паразитологических лабораторий территориальных ЦГСЭН.</w:t>
      </w:r>
    </w:p>
    <w:p>
      <w:pPr>
        <w:spacing w:after="120"/>
        <w:jc w:val="both"/>
      </w:pPr>
      <w:r>
        <w:rPr>
          <w:rFonts w:ascii="Arial" w:cs="Arial" w:eastAsia="Arial" w:hAnsi="Arial"/>
          <w:sz w:val="24"/>
          <w:szCs w:val="24"/>
        </w:rPr>
        <w:t xml:space="preserve">Центрами госсанэпиднадзора продолжается контроль качества ввозимой, производимой и реализуемой в республике пищевой соли, который включает лабораторное исследование на содержание йода. За 1 квартал 2012 года ЦГСЭН республики проведено исследование 612 проб соли, из них отклонения выявлены в 18,3% проб.</w:t>
      </w:r>
    </w:p>
    <w:p>
      <w:pPr>
        <w:spacing w:after="120"/>
        <w:jc w:val="both"/>
      </w:pPr>
      <w:r>
        <w:rPr>
          <w:rFonts w:ascii="Arial" w:cs="Arial" w:eastAsia="Arial" w:hAnsi="Arial"/>
          <w:sz w:val="24"/>
          <w:szCs w:val="24"/>
        </w:rPr>
        <w:t xml:space="preserve">В соответствии с Законом Кыргызской Республики "Об иммунопрофилактике" от 26 июня 2001 года N 56 неукоснительно выполняется основной принцип Закона о бесплатной иммунизации детей в рамках календаря профилактических прививок. Так, за 3 месяца 2012 года, охват всеми видами профилактических прививок составил выше 25%, что стало возможным благодаря бесперебойному поступлению вакцинных препаратов в республику, соблюдению холодовой цепи и правильной организации прививочной работы.</w:t>
      </w:r>
    </w:p>
    <w:p>
      <w:pPr>
        <w:spacing w:after="120"/>
        <w:jc w:val="both"/>
      </w:pPr>
      <w:r>
        <w:rPr>
          <w:rFonts w:ascii="Arial" w:cs="Arial" w:eastAsia="Arial" w:hAnsi="Arial"/>
          <w:sz w:val="24"/>
          <w:szCs w:val="24"/>
        </w:rPr>
        <w:t xml:space="preserve">Ведется обследование детей в Ошской и Джалал-Абадской областях, по Ошской области обследовано 87703 лица, что составляет 94,7%. Выявлено 103 ВИЧ "+". По Джалал-Абадской области обследовано 54167 лиц - 95,3%, выявлено 17 ВИЧ "+", ведется работа по диспансеризации среди выявленных.</w:t>
      </w:r>
    </w:p>
    <w:p>
      <w:pPr>
        <w:spacing w:after="120"/>
        <w:jc w:val="both"/>
      </w:pPr>
      <w:r>
        <w:rPr>
          <w:rFonts w:ascii="Arial" w:cs="Arial" w:eastAsia="Arial" w:hAnsi="Arial"/>
          <w:sz w:val="24"/>
          <w:szCs w:val="24"/>
        </w:rPr>
        <w:t xml:space="preserve">Начата работа по электродному слежению за случаями ВИЧ, прогнозированию АРВ препаратов. На 01.03.2012 г. получают APT - 547 лиц, живущих с ВИЧ/СПИДом, в т.ч. детей - 191.</w:t>
      </w:r>
    </w:p>
    <w:p>
      <w:pPr>
        <w:spacing w:after="120"/>
        <w:jc w:val="both"/>
      </w:pPr>
      <w:r>
        <w:rPr>
          <w:rFonts w:ascii="Arial" w:cs="Arial" w:eastAsia="Arial" w:hAnsi="Arial"/>
          <w:sz w:val="24"/>
          <w:szCs w:val="24"/>
        </w:rPr>
        <w:t xml:space="preserve">Кроме этого, существуют проблемы, выходящие за рамки сектора здравоохранения, к ним относятся: рост внутренней и внешней миграции, детская бедность, доступ к дошкольным учреждениям, ранние браки и ранние роды. Рост внутренней миграции приводит к появлению категории не прописанных по месту жительства женщин, соответственно, они не становятся на медицинский учет. А с ростом внешней миграции, беременные женщины с осложнениями не наблюдаются и приезжают на роды домой в преддверии родов. Тяжелые трудовые нагрузки, которые несут на себе беременные женщины (ведение домашнего хозяйства и уход за членами семьи, деятельность в неформальном секторе занятости) и неэффективная система государственной поддержки материнства, работающих матерей, оказывают влияние на рост материнской смертности и состояние репродуктивного здоровья.</w:t>
      </w:r>
    </w:p>
    <w:p>
      <w:pPr>
        <w:spacing w:after="120"/>
        <w:jc w:val="both"/>
      </w:pPr>
      <w:r>
        <w:rPr>
          <w:rFonts w:ascii="Arial" w:cs="Arial" w:eastAsia="Arial" w:hAnsi="Arial"/>
          <w:sz w:val="24"/>
          <w:szCs w:val="24"/>
        </w:rPr>
        <w:t xml:space="preserve">По итогам 1 квартала 2012 года расходы по сектору "Здравоохранение" составили 2215,8 млн. сомов с учетом капитальных вложений.</w:t>
      </w:r>
    </w:p>
    <w:p>
      <w:pPr>
        <w:spacing w:after="120"/>
        <w:jc w:val="both"/>
      </w:pPr>
      <w:r>
        <w:rPr>
          <w:rFonts w:ascii="Arial" w:cs="Arial" w:eastAsia="Arial" w:hAnsi="Arial"/>
          <w:sz w:val="24"/>
          <w:szCs w:val="24"/>
        </w:rPr>
        <w:t xml:space="preserve">Исполнение республиканского бюджета по подведомственным учреждениям Министерства здравоохранения Кыргызской Республики составило 474,9 млн. сомов, в том числе "Приобретение медикаментов" - 95,8 млн. сомов, "Приобретение продуктов питания" - 32,9 млн. сомов.</w:t>
      </w:r>
    </w:p>
    <w:p>
      <w:pPr>
        <w:spacing w:after="120"/>
        <w:jc w:val="both"/>
      </w:pPr>
      <w:r>
        <w:rPr>
          <w:rFonts w:ascii="Arial" w:cs="Arial" w:eastAsia="Arial" w:hAnsi="Arial"/>
          <w:sz w:val="24"/>
          <w:szCs w:val="24"/>
        </w:rPr>
        <w:t xml:space="preserve">Исполнение Программы Государственных гарантий по обеспечению граждан республики медико-санитарной помощью (ФОМС - Единый плательщик) профинансировано в объеме 1579,3 млн. сомов. По средствам обязательного медицинского страхования, выплачиваемым из республиканского бюджета на медстрахование детей, лиц, получающих пособие, и пенсионеров профинансировано в объеме 64,8 млн. сомов. По лечебно-оздоровительному объединению профинансировано в объеме 33,2 млн. сомов. По Ошской спецбольнице при Управлении делами Президента Кыргызской Республики профинансировано в объеме 0,8 млн. сомов(26).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Образование и наука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1 апреля 2012 года, в стране функционируют: 741 дошкольная организация, которые посещают 98,7 тыс. детей, 2204 школы с 1015,2 тыс. учащимися; 126 образовательных организаций среднего профессионального образования с численностью 72,3 тыс. студентов и 54 образовательных организаций высшего профессионального образования с контингентом 239,2 тыс. студентов.</w:t>
      </w:r>
    </w:p>
    <w:p>
      <w:pPr>
        <w:spacing w:after="120"/>
        <w:jc w:val="both"/>
      </w:pPr>
      <w:r>
        <w:rPr>
          <w:rFonts w:ascii="Arial" w:cs="Arial" w:eastAsia="Arial" w:hAnsi="Arial"/>
          <w:sz w:val="24"/>
          <w:szCs w:val="24"/>
        </w:rPr>
        <w:t xml:space="preserve">Проведена работа над Программой обязательной предшкольной подготовки детей к школе, и методическими рекомендациями к Программе из расчета 240 часов обучения.</w:t>
      </w:r>
    </w:p>
    <w:p>
      <w:pPr>
        <w:spacing w:after="120"/>
        <w:jc w:val="both"/>
      </w:pPr>
      <w:r>
        <w:rPr>
          <w:rFonts w:ascii="Arial" w:cs="Arial" w:eastAsia="Arial" w:hAnsi="Arial"/>
          <w:sz w:val="24"/>
          <w:szCs w:val="24"/>
        </w:rPr>
        <w:t xml:space="preserve">Ведется организационная работа для обеспечения проведения предшкольной подготовки для детей, которые не имеют возможности посещать детские сады, и намерены пойти в школу с 2012-2013 учебного года. За отчетный период проведен подготовительный этап общереспубликанского тестирования абитуриентов в апреле-мае 2012 года.</w:t>
      </w:r>
    </w:p>
    <w:p>
      <w:pPr>
        <w:spacing w:after="120"/>
        <w:jc w:val="both"/>
      </w:pPr>
      <w:r>
        <w:rPr>
          <w:rFonts w:ascii="Arial" w:cs="Arial" w:eastAsia="Arial" w:hAnsi="Arial"/>
          <w:sz w:val="24"/>
          <w:szCs w:val="24"/>
        </w:rPr>
        <w:t xml:space="preserve">С целью формирования плана приема студентов на 2012-2013 учебный год на основе государственных образовательных грантов в вузах и на бюджетные места в средних профессиональных учебных заведениях осуществлен сбор заявок министерств, ведомств и областных государственных администраций о потребности в специалистах с высшим и средним профессиональным образованием.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в сфере образования(27)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показателя   │   Ед. изм.  │Январь-│Январь-│  Откл. │</w:t>
      </w:r>
    </w:p>
    <w:p>
      <w:pPr>
        <w:spacing w:after="120"/>
        <w:jc w:val="center"/>
      </w:pPr>
      <w:r>
        <w:rPr>
          <w:rFonts w:ascii="Arial" w:cs="Arial" w:eastAsia="Arial" w:hAnsi="Arial"/>
          <w:sz w:val="24"/>
          <w:szCs w:val="24"/>
        </w:rPr>
        <w:t xml:space="preserve">│                              │             │ март  │ март  │от факт.│</w:t>
      </w:r>
    </w:p>
    <w:p>
      <w:pPr>
        <w:spacing w:after="120"/>
        <w:jc w:val="center"/>
      </w:pPr>
      <w:r>
        <w:rPr>
          <w:rFonts w:ascii="Arial" w:cs="Arial" w:eastAsia="Arial" w:hAnsi="Arial"/>
          <w:sz w:val="24"/>
          <w:szCs w:val="24"/>
        </w:rPr>
        <w:t xml:space="preserve">│                              │             │2011 г.│2012 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│Численность детей, получающих │тыс. учащихся│ 1018,9│ 1015,2│  -3,7  │</w:t>
      </w:r>
    </w:p>
    <w:p>
      <w:pPr>
        <w:spacing w:after="120"/>
        <w:jc w:val="center"/>
      </w:pPr>
      <w:r>
        <w:rPr>
          <w:rFonts w:ascii="Arial" w:cs="Arial" w:eastAsia="Arial" w:hAnsi="Arial"/>
          <w:sz w:val="24"/>
          <w:szCs w:val="24"/>
        </w:rPr>
        <w:t xml:space="preserve">│школьное образование в        │             │       │       │        │</w:t>
      </w:r>
    </w:p>
    <w:p>
      <w:pPr>
        <w:spacing w:after="120"/>
        <w:jc w:val="center"/>
      </w:pPr>
      <w:r>
        <w:rPr>
          <w:rFonts w:ascii="Arial" w:cs="Arial" w:eastAsia="Arial" w:hAnsi="Arial"/>
          <w:sz w:val="24"/>
          <w:szCs w:val="24"/>
        </w:rPr>
        <w:t xml:space="preserve">│возрасте 6-17 лет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│Численность детей, получающих │тыс. детей   │   85,2│   98,7│  13,5  │</w:t>
      </w:r>
    </w:p>
    <w:p>
      <w:pPr>
        <w:spacing w:after="120"/>
        <w:jc w:val="center"/>
      </w:pPr>
      <w:r>
        <w:rPr>
          <w:rFonts w:ascii="Arial" w:cs="Arial" w:eastAsia="Arial" w:hAnsi="Arial"/>
          <w:sz w:val="24"/>
          <w:szCs w:val="24"/>
        </w:rPr>
        <w:t xml:space="preserve">│дошкольное образование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│Численность студентов,        │тыс. человек │   64,3│   72,3│   8,0  │</w:t>
      </w:r>
    </w:p>
    <w:p>
      <w:pPr>
        <w:spacing w:after="120"/>
        <w:jc w:val="center"/>
      </w:pPr>
      <w:r>
        <w:rPr>
          <w:rFonts w:ascii="Arial" w:cs="Arial" w:eastAsia="Arial" w:hAnsi="Arial"/>
          <w:sz w:val="24"/>
          <w:szCs w:val="24"/>
        </w:rPr>
        <w:t xml:space="preserve">│обучающихся в образовательных │             │       │       │        │</w:t>
      </w:r>
    </w:p>
    <w:p>
      <w:pPr>
        <w:spacing w:after="120"/>
        <w:jc w:val="center"/>
      </w:pPr>
      <w:r>
        <w:rPr>
          <w:rFonts w:ascii="Arial" w:cs="Arial" w:eastAsia="Arial" w:hAnsi="Arial"/>
          <w:sz w:val="24"/>
          <w:szCs w:val="24"/>
        </w:rPr>
        <w:t xml:space="preserve">│организациях среднего         │             │       │       │        │</w:t>
      </w:r>
    </w:p>
    <w:p>
      <w:pPr>
        <w:spacing w:after="120"/>
        <w:jc w:val="center"/>
      </w:pPr>
      <w:r>
        <w:rPr>
          <w:rFonts w:ascii="Arial" w:cs="Arial" w:eastAsia="Arial" w:hAnsi="Arial"/>
          <w:sz w:val="24"/>
          <w:szCs w:val="24"/>
        </w:rPr>
        <w:t xml:space="preserve">│профессионального образования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│Численность студентов,        │тыс. человек │  230,3│  239,2│   8,9  │</w:t>
      </w:r>
    </w:p>
    <w:p>
      <w:pPr>
        <w:spacing w:after="120"/>
        <w:jc w:val="center"/>
      </w:pPr>
      <w:r>
        <w:rPr>
          <w:rFonts w:ascii="Arial" w:cs="Arial" w:eastAsia="Arial" w:hAnsi="Arial"/>
          <w:sz w:val="24"/>
          <w:szCs w:val="24"/>
        </w:rPr>
        <w:t xml:space="preserve">│обучающихся в образовательных │             │       │       │        │</w:t>
      </w:r>
    </w:p>
    <w:p>
      <w:pPr>
        <w:spacing w:after="120"/>
        <w:jc w:val="center"/>
      </w:pPr>
      <w:r>
        <w:rPr>
          <w:rFonts w:ascii="Arial" w:cs="Arial" w:eastAsia="Arial" w:hAnsi="Arial"/>
          <w:sz w:val="24"/>
          <w:szCs w:val="24"/>
        </w:rPr>
        <w:t xml:space="preserve">│организациях высшего          │             │       │       │        │</w:t>
      </w:r>
    </w:p>
    <w:p>
      <w:pPr>
        <w:spacing w:after="120"/>
        <w:jc w:val="center"/>
      </w:pPr>
      <w:r>
        <w:rPr>
          <w:rFonts w:ascii="Arial" w:cs="Arial" w:eastAsia="Arial" w:hAnsi="Arial"/>
          <w:sz w:val="24"/>
          <w:szCs w:val="24"/>
        </w:rPr>
        <w:t xml:space="preserve">│профессионального образования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рамках реформирования системы финансирования образования проделана следующая работа.</w:t>
      </w:r>
    </w:p>
    <w:p>
      <w:pPr>
        <w:spacing w:after="120"/>
        <w:jc w:val="both"/>
      </w:pPr>
      <w:r>
        <w:rPr>
          <w:rFonts w:ascii="Arial" w:cs="Arial" w:eastAsia="Arial" w:hAnsi="Arial"/>
          <w:sz w:val="24"/>
          <w:szCs w:val="24"/>
        </w:rPr>
        <w:t xml:space="preserve">В рамках внедрения подушевого финансирования - на основе базы данных по численности учащихся, а также данным по доходам и расходам местного бюджета на 2012 год в разрезе городов Бишкек и Ош произведены расчеты: потребности в средствах государственного бюджета общеобразовательных учреждений по минимальному стандарту; норматива покрытия потребности общеобразовательных учреждений по минимальному стандарту на 2011 год; доли собственных доходов местных бюджетов городов, подлежащих направлению на образование в 2012-2013 годах.</w:t>
      </w:r>
    </w:p>
    <w:p>
      <w:pPr>
        <w:spacing w:after="120"/>
        <w:jc w:val="both"/>
      </w:pPr>
      <w:r>
        <w:rPr>
          <w:rFonts w:ascii="Arial" w:cs="Arial" w:eastAsia="Arial" w:hAnsi="Arial"/>
          <w:sz w:val="24"/>
          <w:szCs w:val="24"/>
        </w:rPr>
        <w:t xml:space="preserve">В рамках модели подушевого финансирования (МПФ) для объективного оценивания работы учителя и вычисления коэффициента трудового участия разработаны стандартные критерии оценивания эффективности деятельности учителей.</w:t>
      </w:r>
    </w:p>
    <w:p>
      <w:pPr>
        <w:spacing w:after="120"/>
        <w:jc w:val="both"/>
      </w:pPr>
      <w:r>
        <w:rPr>
          <w:rFonts w:ascii="Arial" w:cs="Arial" w:eastAsia="Arial" w:hAnsi="Arial"/>
          <w:sz w:val="24"/>
          <w:szCs w:val="24"/>
        </w:rPr>
        <w:t xml:space="preserve">Постановлением Правительства Кыргызской Республики "О стратегических направлениях развития системы образования в Кыргызской Республике" от 23 марта 2012 года N 201 одобрены Стратегия развития образования в Кыргызской Республике до 2020 года, одноименная Концепция, Среднесрочная программа развития образования Кыргызской Республики на 2012-2014 годы.</w:t>
      </w:r>
    </w:p>
    <w:p>
      <w:pPr>
        <w:spacing w:after="120"/>
        <w:jc w:val="both"/>
      </w:pPr>
      <w:r>
        <w:rPr>
          <w:rFonts w:ascii="Arial" w:cs="Arial" w:eastAsia="Arial" w:hAnsi="Arial"/>
          <w:sz w:val="24"/>
          <w:szCs w:val="24"/>
        </w:rPr>
        <w:t xml:space="preserve">Основной целью стратегических документов является создание условий для устойчивого развития системы образования через эффективное использование ресурсов и повышение качества предоставляемых образовательных услуг. Основными проблемными зонами, требующими решения на всех уровнях системы, определены - управление и финансирование, работа с кадрами и создание системы мониторинга и оценки. Всего с 2012 по 2020 год включительно предстоит реализовать три трехлетних плана действий: 2012-2014 годы, 2015-2017 годы, 2018-2020 годы (в соответствии с принципом трехлетнего прогноза бюджета Кыргызской Республики).</w:t>
      </w:r>
    </w:p>
    <w:p>
      <w:pPr>
        <w:spacing w:after="120"/>
        <w:jc w:val="both"/>
      </w:pPr>
      <w:r>
        <w:rPr>
          <w:rFonts w:ascii="Arial" w:cs="Arial" w:eastAsia="Arial" w:hAnsi="Arial"/>
          <w:sz w:val="24"/>
          <w:szCs w:val="24"/>
        </w:rPr>
        <w:t xml:space="preserve">Проводится работа по апробации "Комплекта учебно-программной документации по модульной технологии обучения, основанной на компетенциях, для подготовки рабочих кадров из числа взрослого безработного населения в профессионально-технических учебных заведениях системы НПО".</w:t>
      </w:r>
    </w:p>
    <w:p>
      <w:pPr>
        <w:spacing w:after="120"/>
        <w:jc w:val="both"/>
      </w:pPr>
      <w:r>
        <w:rPr>
          <w:rFonts w:ascii="Arial" w:cs="Arial" w:eastAsia="Arial" w:hAnsi="Arial"/>
          <w:sz w:val="24"/>
          <w:szCs w:val="24"/>
        </w:rPr>
        <w:t xml:space="preserve">Систематически пополняется книжный фонд через Книжную палату Кыргызской Республики. За 1 квартал т.г. из Книжной палаты Кыргызской Республики получено 190 единиц различных учебников, учебно-методической литературы, художественных изданий и периодической печати.</w:t>
      </w:r>
    </w:p>
    <w:p>
      <w:pPr>
        <w:spacing w:after="120"/>
        <w:jc w:val="both"/>
      </w:pPr>
      <w:r>
        <w:rPr>
          <w:rFonts w:ascii="Arial" w:cs="Arial" w:eastAsia="Arial" w:hAnsi="Arial"/>
          <w:sz w:val="24"/>
          <w:szCs w:val="24"/>
        </w:rPr>
        <w:t xml:space="preserve">Продолжается сотрудничество с Общественным фондом "SOS Детские деревни Кыргызстана" и в рамках этого сотрудничества ведется работа по разработке рекомендаций "Анализ законодательства в сфере трудоустройства детей-сирот и детей, лишенных родительского попечения", направленных на способствование эффективной социальной интеграции молодежи, покидающих систему опеки.</w:t>
      </w:r>
    </w:p>
    <w:p>
      <w:pPr>
        <w:spacing w:after="120"/>
        <w:jc w:val="both"/>
      </w:pPr>
      <w:r>
        <w:rPr>
          <w:rFonts w:ascii="Arial" w:cs="Arial" w:eastAsia="Arial" w:hAnsi="Arial"/>
          <w:sz w:val="24"/>
          <w:szCs w:val="24"/>
        </w:rPr>
        <w:t xml:space="preserve">На сегодняшний день заключено соглашение с проектом МОМ (Международная Организация по Миграции) о реализации проекта "На пути к улучшенной системе ПТО Кыргызстана", который будет направлен на укрепление учебно-материальной базы (ремонт, оснащение оборудованием, обеспечение учебными методическими материалами и повышение квалификации преподавателей и мастеров производственного обучения) 5-ти учебных заведений системы ПТО.</w:t>
      </w:r>
    </w:p>
    <w:p>
      <w:pPr>
        <w:spacing w:after="120"/>
        <w:jc w:val="both"/>
      </w:pPr>
      <w:r>
        <w:rPr>
          <w:rFonts w:ascii="Arial" w:cs="Arial" w:eastAsia="Arial" w:hAnsi="Arial"/>
          <w:sz w:val="24"/>
          <w:szCs w:val="24"/>
        </w:rPr>
        <w:t xml:space="preserve">В марте т.г. в соответствии с договором между Министерством молодежи, труда и занятости Кыргызской Республики и Университетом Кыргыз-Турк "Манас" состоялось открытие учебного центра на базе ПЛ N 91 г.Бишкек по 9 направлениям в области туризма. После окончания выпускники смогут трудоустроиться в Турции и других странах.</w:t>
      </w:r>
    </w:p>
    <w:p>
      <w:pPr>
        <w:spacing w:after="120"/>
        <w:jc w:val="both"/>
      </w:pPr>
      <w:r>
        <w:rPr>
          <w:rFonts w:ascii="Arial" w:cs="Arial" w:eastAsia="Arial" w:hAnsi="Arial"/>
          <w:sz w:val="24"/>
          <w:szCs w:val="24"/>
        </w:rPr>
        <w:t xml:space="preserve">В рамках программы ЕС "Поддержка систем образования в Кыргызской Республике" начали работать пять проектов:</w:t>
      </w:r>
    </w:p>
    <w:p>
      <w:pPr>
        <w:spacing w:after="120"/>
        <w:jc w:val="both"/>
      </w:pPr>
      <w:r>
        <w:rPr>
          <w:rFonts w:ascii="Arial" w:cs="Arial" w:eastAsia="Arial" w:hAnsi="Arial"/>
          <w:sz w:val="24"/>
          <w:szCs w:val="24"/>
        </w:rPr>
        <w:t xml:space="preserve">- "Улучшение доступа к современному и инновационному профессиональному обучению для лучшей занятости и повышение дохода сельских жителей";</w:t>
      </w:r>
    </w:p>
    <w:p>
      <w:pPr>
        <w:spacing w:after="120"/>
        <w:jc w:val="both"/>
      </w:pPr>
      <w:r>
        <w:rPr>
          <w:rFonts w:ascii="Arial" w:cs="Arial" w:eastAsia="Arial" w:hAnsi="Arial"/>
          <w:sz w:val="24"/>
          <w:szCs w:val="24"/>
        </w:rPr>
        <w:t xml:space="preserve">- "Обеспечение широкого доступа к начальному профессиональному образованию и профессиональной подготовке";</w:t>
      </w:r>
    </w:p>
    <w:p>
      <w:pPr>
        <w:spacing w:after="120"/>
        <w:jc w:val="both"/>
      </w:pPr>
      <w:r>
        <w:rPr>
          <w:rFonts w:ascii="Arial" w:cs="Arial" w:eastAsia="Arial" w:hAnsi="Arial"/>
          <w:sz w:val="24"/>
          <w:szCs w:val="24"/>
        </w:rPr>
        <w:t xml:space="preserve">- "Усиление развития социального партнерства в профессиональном образовании и обучении в Кыргызстане";</w:t>
      </w:r>
    </w:p>
    <w:p>
      <w:pPr>
        <w:spacing w:after="120"/>
        <w:jc w:val="both"/>
      </w:pPr>
      <w:r>
        <w:rPr>
          <w:rFonts w:ascii="Arial" w:cs="Arial" w:eastAsia="Arial" w:hAnsi="Arial"/>
          <w:sz w:val="24"/>
          <w:szCs w:val="24"/>
        </w:rPr>
        <w:t xml:space="preserve">- "Инклюзивное профессиональное образование и обучение: создание возможностей трудоустройства для лиц с ограниченными возможностями и других уязвимых групп через улучшение сотрудничества между профессионально-техническими учебными заведениями и работодателями";</w:t>
      </w:r>
    </w:p>
    <w:p>
      <w:pPr>
        <w:spacing w:after="120"/>
        <w:jc w:val="both"/>
      </w:pPr>
      <w:r>
        <w:rPr>
          <w:rFonts w:ascii="Arial" w:cs="Arial" w:eastAsia="Arial" w:hAnsi="Arial"/>
          <w:sz w:val="24"/>
          <w:szCs w:val="24"/>
        </w:rPr>
        <w:t xml:space="preserve">- "По пути к улучшенной системе профессионально-технического образования в Кыргызстане".</w:t>
      </w:r>
    </w:p>
    <w:p>
      <w:pPr>
        <w:spacing w:after="120"/>
        <w:jc w:val="both"/>
      </w:pPr>
      <w:r>
        <w:rPr>
          <w:rFonts w:ascii="Arial" w:cs="Arial" w:eastAsia="Arial" w:hAnsi="Arial"/>
          <w:sz w:val="24"/>
          <w:szCs w:val="24"/>
        </w:rPr>
        <w:t xml:space="preserve">Расходы на образование и науку за январь-март 2012 года составили 920,9 млн. сомов с учетом капитальных вложений. По состоянию на 1 апреля т.г., расходы Министерства образования и науки Кыргызской Республики по подведомственным образовательным организациям профинансированы в целом в сумме 455,3 млн. сомов при предварительном плане I квартала 592,9 млн. сомов(28).</w:t>
      </w:r>
    </w:p>
    <w:p>
      <w:pPr>
        <w:spacing w:after="120"/>
        <w:jc w:val="both"/>
      </w:pPr>
      <w:r>
        <w:rPr>
          <w:rFonts w:ascii="Arial" w:cs="Arial" w:eastAsia="Arial" w:hAnsi="Arial"/>
          <w:sz w:val="24"/>
          <w:szCs w:val="24"/>
        </w:rPr>
        <w:t xml:space="preserve">По статье "Приобретение прочих услуг" профинансировано 13713,0 тыс. сомов или 25,8% плана. Из них 6000,0 тыс. сомов СМОР "Жаштык" на проведение спортивной универсиады, 1300,0 тыс. сомов - на проведение республиканской олимпиады школьников, 3200,2 - приобретение мыломоющих средств, канцелярских товаров, вывоз мусора для детских домов, вспомогательных школ-интернатов, школ-интернатов, 3213,0 тыс. сомов - на завершение программы "Депозит молодого учителя".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Проведена работа по сохранению и развитию историко-культурного наследия. За отчетный период подготовлен Номинационный файл трилогии эпоса "Манас" для включения в Список нематериального наследия ЮНЕСКО.</w:t>
      </w:r>
    </w:p>
    <w:p>
      <w:pPr>
        <w:spacing w:after="120"/>
        <w:jc w:val="both"/>
      </w:pPr>
      <w:r>
        <w:rPr>
          <w:rFonts w:ascii="Arial" w:cs="Arial" w:eastAsia="Arial" w:hAnsi="Arial"/>
          <w:sz w:val="24"/>
          <w:szCs w:val="24"/>
        </w:rPr>
        <w:t xml:space="preserve">В целях совершенствования законодательной базы 14 марта 2012 года проекты законов Кыргызской Республики "О внесении изменений и дополнений в Закон Кыргызской Республики "Об охране и использовании историко-культурного наследия" и "О нематериальном культурном наследии" были одобрены в первом чтении на пленарном заседании Жогорку Кенеша Кыргызской Республики.</w:t>
      </w:r>
    </w:p>
    <w:p>
      <w:pPr>
        <w:spacing w:after="120"/>
        <w:jc w:val="both"/>
      </w:pPr>
      <w:r>
        <w:rPr>
          <w:rFonts w:ascii="Arial" w:cs="Arial" w:eastAsia="Arial" w:hAnsi="Arial"/>
          <w:sz w:val="24"/>
          <w:szCs w:val="24"/>
        </w:rPr>
        <w:t xml:space="preserve">В целях оптимизации работы Художественно-экспертной комиссии (ХЭК) пересмотрено и утверждено Положение и новый состав комиссии.</w:t>
      </w:r>
    </w:p>
    <w:p>
      <w:pPr>
        <w:spacing w:after="120"/>
        <w:jc w:val="both"/>
      </w:pPr>
      <w:r>
        <w:rPr>
          <w:rFonts w:ascii="Arial" w:cs="Arial" w:eastAsia="Arial" w:hAnsi="Arial"/>
          <w:sz w:val="24"/>
          <w:szCs w:val="24"/>
        </w:rPr>
        <w:t xml:space="preserve">В рамках программы сотрудничества с Европейским Союзом стартовал проект "Укрепление музыкальной культуры в Центральной Азии посредством регионального сотрудничества, интеграции и международных сетей". Завершена реконструкция концертного зала Кыргызской Национальной консерватории, где установлено осветительное звуковое оборудование.</w:t>
      </w:r>
    </w:p>
    <w:p>
      <w:pPr>
        <w:spacing w:after="120"/>
        <w:jc w:val="both"/>
      </w:pPr>
      <w:r>
        <w:rPr>
          <w:rFonts w:ascii="Arial" w:cs="Arial" w:eastAsia="Arial" w:hAnsi="Arial"/>
          <w:sz w:val="24"/>
          <w:szCs w:val="24"/>
        </w:rPr>
        <w:t xml:space="preserve">В 1 квартале 2012 года на развитие культуры и туризма направлены средства в сумме 241,5 млн. сомов.</w:t>
      </w:r>
    </w:p>
    <w:p>
      <w:pPr>
        <w:spacing w:after="120"/>
        <w:jc w:val="both"/>
      </w:pPr>
      <w:r>
        <w:rPr>
          <w:rFonts w:ascii="Arial" w:cs="Arial" w:eastAsia="Arial" w:hAnsi="Arial"/>
          <w:sz w:val="24"/>
          <w:szCs w:val="24"/>
        </w:rPr>
        <w:t xml:space="preserve">В соответствии с постановлением Правительства Кыргызской Республики "О надбавках за выслугу лет работникам учреждений культуры, искусства и информации" от 13 сентября 2011 года N 545 с 1 января 2012 года урегулирована выплата надбавок за выслугу лет в сфере культуры, искусства и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Разработка и реализация стратегических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последовательного решения задач социально-экономического развития Кыргызской Республики, создания базовых условий для устойчивого экономического развития и определения перспективных направлений деятельности органов государственной власти по достижению задач, поставленных на 2012 год, сохранению устойчивости бюджета и финансовой системы в целом, а также во исполнение Программы Правительства Кыргызской Республики, утвержденной постановлением Жогорку Кенеша Кыргызской Республики от 23 декабря 2011 года N 1451-V, был разработан и принят План мероприятий на 2012 год по реализации Программы Правительства Кыргызской Республики "Стабильность и достойная жизнь" (постановление Правительства Кыргызской Республики от 25 января 2012 года N 55), где предложены мероприятия, направленные на создание макроэкономических условий, оптимизацию бюджетной и фискальной политики, устойчивую работу финансового рынка и банков, привлечение инвестиций и развитие предпринимательства, разработку оперативных мер по управлению реальным и социальным сектором, а также обеспечение общественной, энергетической, бюджетно-финансовой, продовольственной безопасности.</w:t>
      </w:r>
    </w:p>
    <w:p>
      <w:pPr>
        <w:spacing w:after="120"/>
        <w:jc w:val="both"/>
      </w:pPr>
      <w:r>
        <w:rPr>
          <w:rFonts w:ascii="Arial" w:cs="Arial" w:eastAsia="Arial" w:hAnsi="Arial"/>
          <w:sz w:val="24"/>
          <w:szCs w:val="24"/>
        </w:rPr>
        <w:t xml:space="preserve">Планом мероприятий на 2012 год по реализации среднесрочной Программы Правительства "Стабильность и достойная жизнь" было утверждено 162 задачи, из них 85 задач запланировано к выполнению до 15 апреля 2012 года.</w:t>
      </w:r>
    </w:p>
    <w:p>
      <w:pPr>
        <w:spacing w:after="120"/>
        <w:jc w:val="both"/>
      </w:pPr>
      <w:r>
        <w:rPr>
          <w:rFonts w:ascii="Arial" w:cs="Arial" w:eastAsia="Arial" w:hAnsi="Arial"/>
          <w:sz w:val="24"/>
          <w:szCs w:val="24"/>
        </w:rPr>
        <w:t xml:space="preserve">Мониторинг и оценка исполнения Плана мероприятий на 2012 год показывает, что, по состоянию на 15 апреля 2012 года, обеспечено решение 49 поставленных задач, что составляет 58% от общего количества задач. Частичное выполнение органы государственной власти обеспечили по 19 задачам, что составляет 22% от общего количества задач, запланированных к выполнению до 15 апреля 2012 года. Не решено 12 задач, что составляет 14% от общего количества задач, в том числе:</w:t>
      </w:r>
    </w:p>
    <w:p>
      <w:pPr>
        <w:spacing w:after="120"/>
        <w:jc w:val="both"/>
      </w:pPr>
      <w:r>
        <w:rPr>
          <w:rFonts w:ascii="Arial" w:cs="Arial" w:eastAsia="Arial" w:hAnsi="Arial"/>
          <w:sz w:val="24"/>
          <w:szCs w:val="24"/>
        </w:rPr>
        <w:t xml:space="preserve">по три задачи:</w:t>
      </w:r>
    </w:p>
    <w:p>
      <w:pPr>
        <w:spacing w:after="120"/>
        <w:jc w:val="both"/>
      </w:pPr>
      <w:r>
        <w:rPr>
          <w:rFonts w:ascii="Arial" w:cs="Arial" w:eastAsia="Arial" w:hAnsi="Arial"/>
          <w:sz w:val="24"/>
          <w:szCs w:val="24"/>
        </w:rPr>
        <w:t xml:space="preserve">- 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 Министерство энергетики и промышленности Кыргызской Республики;</w:t>
      </w:r>
    </w:p>
    <w:p>
      <w:pPr>
        <w:spacing w:after="120"/>
        <w:jc w:val="both"/>
      </w:pPr>
      <w:r>
        <w:rPr>
          <w:rFonts w:ascii="Arial" w:cs="Arial" w:eastAsia="Arial" w:hAnsi="Arial"/>
          <w:sz w:val="24"/>
          <w:szCs w:val="24"/>
        </w:rPr>
        <w:t xml:space="preserve">- Министерство экономики и антимонопольной политики Кыргызской Республики;</w:t>
      </w:r>
    </w:p>
    <w:p>
      <w:pPr>
        <w:spacing w:after="120"/>
        <w:jc w:val="both"/>
      </w:pPr>
      <w:r>
        <w:rPr>
          <w:rFonts w:ascii="Arial" w:cs="Arial" w:eastAsia="Arial" w:hAnsi="Arial"/>
          <w:sz w:val="24"/>
          <w:szCs w:val="24"/>
        </w:rPr>
        <w:t xml:space="preserve">по одной задаче:</w:t>
      </w:r>
    </w:p>
    <w:p>
      <w:pPr>
        <w:spacing w:after="120"/>
        <w:jc w:val="both"/>
      </w:pPr>
      <w:r>
        <w:rPr>
          <w:rFonts w:ascii="Arial" w:cs="Arial" w:eastAsia="Arial" w:hAnsi="Arial"/>
          <w:sz w:val="24"/>
          <w:szCs w:val="24"/>
        </w:rPr>
        <w:t xml:space="preserve">- Министерство внутренних дел Кыргызской Республики;</w:t>
      </w:r>
    </w:p>
    <w:p>
      <w:pPr>
        <w:spacing w:after="120"/>
        <w:jc w:val="both"/>
      </w:pPr>
      <w:r>
        <w:rPr>
          <w:rFonts w:ascii="Arial" w:cs="Arial" w:eastAsia="Arial" w:hAnsi="Arial"/>
          <w:sz w:val="24"/>
          <w:szCs w:val="24"/>
        </w:rPr>
        <w:t xml:space="preserve">- Министерство транспорта и коммуникаций Кыргызской Республики;</w:t>
      </w:r>
    </w:p>
    <w:p>
      <w:pPr>
        <w:spacing w:after="120"/>
        <w:jc w:val="both"/>
      </w:pPr>
      <w:r>
        <w:rPr>
          <w:rFonts w:ascii="Arial" w:cs="Arial" w:eastAsia="Arial" w:hAnsi="Arial"/>
          <w:sz w:val="24"/>
          <w:szCs w:val="24"/>
        </w:rPr>
        <w:t xml:space="preserve">- Министерство образования и науки Кыргызской Республики.</w:t>
      </w:r>
    </w:p>
    <w:p>
      <w:pPr>
        <w:spacing w:after="120"/>
        <w:jc w:val="both"/>
      </w:pPr>
      <w:r>
        <w:rPr>
          <w:rFonts w:ascii="Arial" w:cs="Arial" w:eastAsia="Arial" w:hAnsi="Arial"/>
          <w:sz w:val="24"/>
          <w:szCs w:val="24"/>
        </w:rPr>
        <w:t xml:space="preserve">В План мероприятий на 100 дней было включено 57 задач, из которых решено 52 или 92% от запланированного количества. В процессе решения 5 задач или 8%.</w:t>
      </w:r>
    </w:p>
    <w:p>
      <w:pPr>
        <w:spacing w:after="120"/>
        <w:jc w:val="both"/>
      </w:pPr>
      <w:r>
        <w:rPr>
          <w:rFonts w:ascii="Arial" w:cs="Arial" w:eastAsia="Arial" w:hAnsi="Arial"/>
          <w:sz w:val="24"/>
          <w:szCs w:val="24"/>
        </w:rPr>
        <w:t xml:space="preserve">Доработан проект Среднесрочной программы развития Кыргызской Республики на 2012-2014 годы с учетом полученных предложений и замечаний от международных донорских организаций, комитетов Жогорку Кенеша Кыргызской Республики и одобрен постановлением Правительства Кыргызской Республики "Об одобрении проекта Среднесрочной программы развития Кыргызской Республики на 2012-2014 годы" от 12 апреля 2012 года N 239. Программа нацелена на выведение экономики страны на устойчивый вектор развития и улучшение состояния бюджета для преодоления социальных последствий, повышения качества жизни и сокращения бедности в стране. В данном документе сделан акцент на следующих направлениях развития: (i) реформа системы государственного управления и борьба с коррупцией; (ii) ускоренное продвижение экономических приоритетов через запуск и реализацию крупных национальных проектов; (iii) обновление политики управления государственными активами; (iv) повышение эффективности политики социального развития и сокращение бедности.</w:t>
      </w:r>
    </w:p>
    <w:p>
      <w:pPr>
        <w:spacing w:after="120"/>
        <w:jc w:val="both"/>
      </w:pPr>
      <w:r>
        <w:rPr>
          <w:rFonts w:ascii="Arial" w:cs="Arial" w:eastAsia="Arial" w:hAnsi="Arial"/>
          <w:sz w:val="24"/>
          <w:szCs w:val="24"/>
        </w:rPr>
        <w:t xml:space="preserve">Выполнение предусмотренных Программой реформ позволит сократить дефицит государственного бюджета, усилить борьбу с коррупцией, повысить уровень жизни населения и снизить социальную напряженность в обществе. Бизнес-среда будет ориентирована на восстановление и укрепление здорового инвестиционного климата в стране, дебюрократизацию государственного регулирования и предоставление экономической свободы хозяйствующим субъектам.</w:t>
      </w:r>
    </w:p>
    <w:p>
      <w:pPr>
        <w:spacing w:after="120"/>
        <w:jc w:val="both"/>
      </w:pPr>
      <w:r>
        <w:rPr>
          <w:rFonts w:ascii="Arial" w:cs="Arial" w:eastAsia="Arial" w:hAnsi="Arial"/>
          <w:sz w:val="24"/>
          <w:szCs w:val="24"/>
        </w:rPr>
        <w:t xml:space="preserve">Основные задачи до конца текущего года:</w:t>
      </w:r>
    </w:p>
    <w:p>
      <w:pPr>
        <w:spacing w:after="120"/>
        <w:jc w:val="both"/>
      </w:pPr>
      <w:r>
        <w:rPr>
          <w:rFonts w:ascii="Arial" w:cs="Arial" w:eastAsia="Arial" w:hAnsi="Arial"/>
          <w:sz w:val="24"/>
          <w:szCs w:val="24"/>
        </w:rPr>
        <w:t xml:space="preserve">1. Постоянный мониторинг макроэкономических показателей в целях своевременного выявления угроз и предупреждения рисков.</w:t>
      </w:r>
    </w:p>
    <w:p>
      <w:pPr>
        <w:spacing w:after="120"/>
        <w:jc w:val="both"/>
      </w:pPr>
      <w:r>
        <w:rPr>
          <w:rFonts w:ascii="Arial" w:cs="Arial" w:eastAsia="Arial" w:hAnsi="Arial"/>
          <w:sz w:val="24"/>
          <w:szCs w:val="24"/>
        </w:rPr>
        <w:t xml:space="preserve">2. Оперативный мониторинг и оценка факторов, влияющих на изменение потребительских цен. Выработка пакета превентивных мер/рекомендаций, направленных на предотвращение резких колебаний цен на наиболее значимые товары.</w:t>
      </w:r>
    </w:p>
    <w:p>
      <w:pPr>
        <w:spacing w:after="120"/>
        <w:jc w:val="both"/>
      </w:pPr>
      <w:r>
        <w:rPr>
          <w:rFonts w:ascii="Arial" w:cs="Arial" w:eastAsia="Arial" w:hAnsi="Arial"/>
          <w:sz w:val="24"/>
          <w:szCs w:val="24"/>
        </w:rPr>
        <w:t xml:space="preserve">3. Оперативный мониторинг выполнения прогнозных показателей социально-экономического развития Кыргызской Республики. Подготовка Отчета результатов мониторинга, Рекомендации по внесению изменений в экономический прогноз/бюджет.</w:t>
      </w:r>
    </w:p>
    <w:p>
      <w:pPr>
        <w:spacing w:after="120"/>
        <w:jc w:val="both"/>
      </w:pPr>
      <w:r>
        <w:rPr>
          <w:rFonts w:ascii="Arial" w:cs="Arial" w:eastAsia="Arial" w:hAnsi="Arial"/>
          <w:sz w:val="24"/>
          <w:szCs w:val="24"/>
        </w:rPr>
        <w:t xml:space="preserve">4. Своевременное исполнение министерствами, ведомствами и ОГА мероприятий, предусмотренных Планом мероприятий на 2012 год по реализации Программы Правительства Кыргызской Республики "Стабильность и достойная жизнь" (постановление Правительства Кыргызской Республики от 25 января 2012 года N 55).</w:t>
      </w:r>
    </w:p>
    <w:p>
      <w:pPr>
        <w:spacing w:after="120"/>
        <w:jc w:val="both"/>
      </w:pPr>
      <w:r>
        <w:rPr>
          <w:rFonts w:ascii="Arial" w:cs="Arial" w:eastAsia="Arial" w:hAnsi="Arial"/>
          <w:sz w:val="24"/>
          <w:szCs w:val="24"/>
        </w:rPr>
        <w:t xml:space="preserve">5. Обеспечение поступлений доходов в соответствии с установленными параметрами на 2012 год.</w:t>
      </w:r>
    </w:p>
    <w:p>
      <w:pPr>
        <w:spacing w:after="120"/>
        <w:jc w:val="both"/>
      </w:pPr>
      <w:r>
        <w:rPr>
          <w:rFonts w:ascii="Arial" w:cs="Arial" w:eastAsia="Arial" w:hAnsi="Arial"/>
          <w:sz w:val="24"/>
          <w:szCs w:val="24"/>
        </w:rPr>
        <w:t xml:space="preserve">6. Недопущение снижения уровня сбора страховых взносов Социальным фондом.</w:t>
      </w:r>
    </w:p>
    <w:p>
      <w:pPr>
        <w:spacing w:after="120"/>
        <w:jc w:val="both"/>
      </w:pPr>
      <w:r>
        <w:rPr>
          <w:rFonts w:ascii="Arial" w:cs="Arial" w:eastAsia="Arial" w:hAnsi="Arial"/>
          <w:sz w:val="24"/>
          <w:szCs w:val="24"/>
        </w:rPr>
        <w:t xml:space="preserve">7. Продвижение вопросов в Правительстве и Жогорку Кенеше Кыргызской Республики по принятию внесенных проектов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данным аналитического баланса банковской системы, включают в себя только депозиты физических и юридических лиц, а также депозиты других финансово-кредитных учреждений, при этом исключаются депозиты Правительства и депозиты нерезидентов.</w:t>
      </w:r>
    </w:p>
    <w:p>
      <w:pPr>
        <w:spacing w:after="120"/>
        <w:jc w:val="both"/>
      </w:pPr>
      <w:r>
        <w:rPr>
          <w:rFonts w:ascii="Arial" w:cs="Arial" w:eastAsia="Arial" w:hAnsi="Arial"/>
          <w:sz w:val="24"/>
          <w:szCs w:val="24"/>
        </w:rPr>
        <w:t xml:space="preserve">(2) Предварительные данные, по состоянию на 29 февраля 2012 г.</w:t>
      </w:r>
    </w:p>
    <w:p>
      <w:pPr>
        <w:spacing w:after="120"/>
        <w:jc w:val="both"/>
      </w:pPr>
      <w:r>
        <w:rPr>
          <w:rFonts w:ascii="Arial" w:cs="Arial" w:eastAsia="Arial" w:hAnsi="Arial"/>
          <w:sz w:val="24"/>
          <w:szCs w:val="24"/>
        </w:rPr>
        <w:t xml:space="preserve">(3) Данные приведены согласно регулятивной отчетности коммерческих банков.</w:t>
      </w:r>
    </w:p>
    <w:p>
      <w:pPr>
        <w:spacing w:after="120"/>
        <w:jc w:val="both"/>
      </w:pPr>
      <w:r>
        <w:rPr>
          <w:rFonts w:ascii="Arial" w:cs="Arial" w:eastAsia="Arial" w:hAnsi="Arial"/>
          <w:sz w:val="24"/>
          <w:szCs w:val="24"/>
        </w:rPr>
        <w:t xml:space="preserve">(4) Из банковской системы с 1 декабря 2010 г. исключен ОАО "АзияУниверсалБанк": в связи с судебным решением о возбуждении процедуры банкротства и прекращением режима консервации (согласно постановлению правления НБКР от 1.11.2010 г. N 83/1). С 24.12.2010 г. в банковскую систему введен ОАО "Залкар Банк", получивший лицензию в соответствии с постановлением правления НБКР от 16.12.2010 г. N 91/1.</w:t>
      </w:r>
    </w:p>
    <w:p>
      <w:pPr>
        <w:spacing w:after="120"/>
        <w:jc w:val="both"/>
      </w:pPr>
      <w:r>
        <w:rPr>
          <w:rFonts w:ascii="Arial" w:cs="Arial" w:eastAsia="Arial" w:hAnsi="Arial"/>
          <w:sz w:val="24"/>
          <w:szCs w:val="24"/>
        </w:rPr>
        <w:t xml:space="preserve">(5) В данную категорию включаются депозиты предприятий и населения, депозиты банков и других ФКУ, а также депозиты органов власти.</w:t>
      </w:r>
    </w:p>
    <w:p>
      <w:pPr>
        <w:spacing w:after="120"/>
        <w:jc w:val="both"/>
      </w:pPr>
      <w:r>
        <w:rPr>
          <w:rFonts w:ascii="Arial" w:cs="Arial" w:eastAsia="Arial" w:hAnsi="Arial"/>
          <w:sz w:val="24"/>
          <w:szCs w:val="24"/>
        </w:rPr>
        <w:t xml:space="preserve">(6) По состоянию на 31.12.2011 г., депозиты привлекают 12 кредитных союзов (на основании лицензии НБКР).</w:t>
      </w:r>
    </w:p>
    <w:p>
      <w:pPr>
        <w:spacing w:after="120"/>
        <w:jc w:val="both"/>
      </w:pPr>
      <w:r>
        <w:rPr>
          <w:rFonts w:ascii="Arial" w:cs="Arial" w:eastAsia="Arial" w:hAnsi="Arial"/>
          <w:sz w:val="24"/>
          <w:szCs w:val="24"/>
        </w:rPr>
        <w:t xml:space="preserve">(7) Учитывая, что кредитные союзы представляют ПРО на ежеквартальной основе до 12 числа, информация по объему депозитной базы представлена по состоянию на 31.12.2011 г.</w:t>
      </w:r>
    </w:p>
    <w:p>
      <w:pPr>
        <w:spacing w:after="120"/>
        <w:jc w:val="both"/>
      </w:pPr>
      <w:r>
        <w:rPr>
          <w:rFonts w:ascii="Arial" w:cs="Arial" w:eastAsia="Arial" w:hAnsi="Arial"/>
          <w:sz w:val="24"/>
          <w:szCs w:val="24"/>
        </w:rPr>
        <w:t xml:space="preserve">(8) Учитывая, что МФО представляют ПРО на полугодовой основе и доля кредитного портфеля занимает 92,0% от всего кредитного портфеля небанковских учреждений, информация по кредитному портфелю НФКУ представлена по итогам 2011 г.</w:t>
      </w:r>
    </w:p>
    <w:p>
      <w:pPr>
        <w:spacing w:after="120"/>
        <w:jc w:val="both"/>
      </w:pPr>
      <w:r>
        <w:rPr>
          <w:rFonts w:ascii="Arial" w:cs="Arial" w:eastAsia="Arial" w:hAnsi="Arial"/>
          <w:sz w:val="24"/>
          <w:szCs w:val="24"/>
        </w:rPr>
        <w:t xml:space="preserve">(9) При расчете структуры суммарных доходов и суммарных расходов "доходы/убытки от операций с иностранной валютой" использованы в "чистом" виде, на нетто-основе.</w:t>
      </w:r>
    </w:p>
    <w:p>
      <w:pPr>
        <w:spacing w:after="120"/>
        <w:jc w:val="both"/>
      </w:pPr>
      <w:r>
        <w:rPr>
          <w:rFonts w:ascii="Arial" w:cs="Arial" w:eastAsia="Arial" w:hAnsi="Arial"/>
          <w:sz w:val="24"/>
          <w:szCs w:val="24"/>
        </w:rPr>
        <w:t xml:space="preserve">(10) Без учета стоимости давальческого сырья.</w:t>
      </w:r>
    </w:p>
    <w:p>
      <w:pPr>
        <w:spacing w:after="120"/>
        <w:jc w:val="both"/>
      </w:pPr>
      <w:r>
        <w:rPr>
          <w:rFonts w:ascii="Arial" w:cs="Arial" w:eastAsia="Arial" w:hAnsi="Arial"/>
          <w:sz w:val="24"/>
          <w:szCs w:val="24"/>
        </w:rPr>
        <w:t xml:space="preserve">(11) Данные Министерства сельского хозяйства и мелиорации КР.</w:t>
      </w:r>
    </w:p>
    <w:p>
      <w:pPr>
        <w:spacing w:after="120"/>
        <w:jc w:val="both"/>
      </w:pPr>
      <w:r>
        <w:rPr>
          <w:rFonts w:ascii="Arial" w:cs="Arial" w:eastAsia="Arial" w:hAnsi="Arial"/>
          <w:sz w:val="24"/>
          <w:szCs w:val="24"/>
        </w:rPr>
        <w:t xml:space="preserve">(12) По данным Пограничных войск Государственного комитета национальной безопасности КР.</w:t>
      </w:r>
    </w:p>
    <w:p>
      <w:pPr>
        <w:spacing w:after="120"/>
        <w:jc w:val="both"/>
      </w:pPr>
      <w:r>
        <w:rPr>
          <w:rFonts w:ascii="Arial" w:cs="Arial" w:eastAsia="Arial" w:hAnsi="Arial"/>
          <w:sz w:val="24"/>
          <w:szCs w:val="24"/>
        </w:rPr>
        <w:t xml:space="preserve">(13) По данным Государственной налоговой службы при Правительстве КР.</w:t>
      </w:r>
    </w:p>
    <w:p>
      <w:pPr>
        <w:spacing w:after="120"/>
        <w:jc w:val="both"/>
      </w:pPr>
      <w:r>
        <w:rPr>
          <w:rFonts w:ascii="Arial" w:cs="Arial" w:eastAsia="Arial" w:hAnsi="Arial"/>
          <w:sz w:val="24"/>
          <w:szCs w:val="24"/>
        </w:rPr>
        <w:t xml:space="preserve">(14) Отчетность за квартал/год предоставляется на 60-й день после отчетного периода.</w:t>
      </w:r>
    </w:p>
    <w:p>
      <w:pPr>
        <w:spacing w:after="120"/>
        <w:jc w:val="both"/>
      </w:pPr>
      <w:r>
        <w:rPr>
          <w:rFonts w:ascii="Arial" w:cs="Arial" w:eastAsia="Arial" w:hAnsi="Arial"/>
          <w:sz w:val="24"/>
          <w:szCs w:val="24"/>
        </w:rPr>
        <w:t xml:space="preserve">(15) Данные по нарастанию.</w:t>
      </w:r>
    </w:p>
    <w:p>
      <w:pPr>
        <w:spacing w:after="120"/>
        <w:jc w:val="both"/>
      </w:pPr>
      <w:r>
        <w:rPr>
          <w:rFonts w:ascii="Arial" w:cs="Arial" w:eastAsia="Arial" w:hAnsi="Arial"/>
          <w:sz w:val="24"/>
          <w:szCs w:val="24"/>
        </w:rPr>
        <w:t xml:space="preserve">(16) По данным Министерства социального развития КР и НСК КР.</w:t>
      </w:r>
    </w:p>
    <w:p>
      <w:pPr>
        <w:spacing w:after="120"/>
        <w:jc w:val="both"/>
      </w:pPr>
      <w:r>
        <w:rPr>
          <w:rFonts w:ascii="Arial" w:cs="Arial" w:eastAsia="Arial" w:hAnsi="Arial"/>
          <w:sz w:val="24"/>
          <w:szCs w:val="24"/>
        </w:rPr>
        <w:t xml:space="preserve">(17) От наличного населения.</w:t>
      </w:r>
    </w:p>
    <w:p>
      <w:pPr>
        <w:spacing w:after="120"/>
        <w:jc w:val="both"/>
      </w:pPr>
      <w:r>
        <w:rPr>
          <w:rFonts w:ascii="Arial" w:cs="Arial" w:eastAsia="Arial" w:hAnsi="Arial"/>
          <w:sz w:val="24"/>
          <w:szCs w:val="24"/>
        </w:rPr>
        <w:t xml:space="preserve">(18) От прожиточного минимума.</w:t>
      </w:r>
    </w:p>
    <w:p>
      <w:pPr>
        <w:spacing w:after="120"/>
        <w:jc w:val="both"/>
      </w:pPr>
      <w:r>
        <w:rPr>
          <w:rFonts w:ascii="Arial" w:cs="Arial" w:eastAsia="Arial" w:hAnsi="Arial"/>
          <w:sz w:val="24"/>
          <w:szCs w:val="24"/>
        </w:rPr>
        <w:t xml:space="preserve">(19) По данным Социального Фонда КР.</w:t>
      </w:r>
    </w:p>
    <w:p>
      <w:pPr>
        <w:spacing w:after="120"/>
        <w:jc w:val="both"/>
      </w:pPr>
      <w:r>
        <w:rPr>
          <w:rFonts w:ascii="Arial" w:cs="Arial" w:eastAsia="Arial" w:hAnsi="Arial"/>
          <w:sz w:val="24"/>
          <w:szCs w:val="24"/>
        </w:rPr>
        <w:t xml:space="preserve">(20) С учетом компенсационных выплат.</w:t>
      </w:r>
    </w:p>
    <w:p>
      <w:pPr>
        <w:spacing w:after="120"/>
        <w:jc w:val="both"/>
      </w:pPr>
      <w:r>
        <w:rPr>
          <w:rFonts w:ascii="Arial" w:cs="Arial" w:eastAsia="Arial" w:hAnsi="Arial"/>
          <w:sz w:val="24"/>
          <w:szCs w:val="24"/>
        </w:rPr>
        <w:t xml:space="preserve">(21) По данным Социального Фонда КР на 1 января 2012 года.</w:t>
      </w:r>
    </w:p>
    <w:p>
      <w:pPr>
        <w:spacing w:after="120"/>
        <w:jc w:val="both"/>
      </w:pPr>
      <w:r>
        <w:rPr>
          <w:rFonts w:ascii="Arial" w:cs="Arial" w:eastAsia="Arial" w:hAnsi="Arial"/>
          <w:sz w:val="24"/>
          <w:szCs w:val="24"/>
        </w:rPr>
        <w:t xml:space="preserve">(22) С 2009 г. по данным НСК КР.</w:t>
      </w:r>
    </w:p>
    <w:p>
      <w:pPr>
        <w:spacing w:after="120"/>
        <w:jc w:val="both"/>
      </w:pPr>
      <w:r>
        <w:rPr>
          <w:rFonts w:ascii="Arial" w:cs="Arial" w:eastAsia="Arial" w:hAnsi="Arial"/>
          <w:sz w:val="24"/>
          <w:szCs w:val="24"/>
        </w:rPr>
        <w:t xml:space="preserve">(23) По оперативным данным НБКР.</w:t>
      </w:r>
    </w:p>
    <w:p>
      <w:pPr>
        <w:spacing w:after="120"/>
        <w:jc w:val="both"/>
      </w:pPr>
      <w:r>
        <w:rPr>
          <w:rFonts w:ascii="Arial" w:cs="Arial" w:eastAsia="Arial" w:hAnsi="Arial"/>
          <w:sz w:val="24"/>
          <w:szCs w:val="24"/>
        </w:rPr>
        <w:t xml:space="preserve">(24) По данным Министерства здравоохранения КР.</w:t>
      </w:r>
    </w:p>
    <w:p>
      <w:pPr>
        <w:spacing w:after="120"/>
        <w:jc w:val="both"/>
      </w:pPr>
      <w:r>
        <w:rPr>
          <w:rFonts w:ascii="Arial" w:cs="Arial" w:eastAsia="Arial" w:hAnsi="Arial"/>
          <w:sz w:val="24"/>
          <w:szCs w:val="24"/>
        </w:rPr>
        <w:t xml:space="preserve">(25) По данным Министерства здравоохранения КР.</w:t>
      </w:r>
    </w:p>
    <w:p>
      <w:pPr>
        <w:spacing w:after="120"/>
        <w:jc w:val="both"/>
      </w:pPr>
      <w:r>
        <w:rPr>
          <w:rFonts w:ascii="Arial" w:cs="Arial" w:eastAsia="Arial" w:hAnsi="Arial"/>
          <w:sz w:val="24"/>
          <w:szCs w:val="24"/>
        </w:rPr>
        <w:t xml:space="preserve">(26) По данным Министерства финансов КР.</w:t>
      </w:r>
    </w:p>
    <w:p>
      <w:pPr>
        <w:spacing w:after="120"/>
        <w:jc w:val="both"/>
      </w:pPr>
      <w:r>
        <w:rPr>
          <w:rFonts w:ascii="Arial" w:cs="Arial" w:eastAsia="Arial" w:hAnsi="Arial"/>
          <w:sz w:val="24"/>
          <w:szCs w:val="24"/>
        </w:rPr>
        <w:t xml:space="preserve">(27) По данным Министерства образования и науки КР.</w:t>
      </w:r>
    </w:p>
    <w:p>
      <w:pPr>
        <w:spacing w:after="120"/>
        <w:jc w:val="both"/>
      </w:pPr>
      <w:r>
        <w:rPr>
          <w:rFonts w:ascii="Arial" w:cs="Arial" w:eastAsia="Arial" w:hAnsi="Arial"/>
          <w:sz w:val="24"/>
          <w:szCs w:val="24"/>
        </w:rPr>
        <w:t xml:space="preserve">(28) По данным Министерства финансов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19aljvijvxwxcosx6ggu" Type="http://schemas.openxmlformats.org/officeDocument/2006/relationships/hyperlink" Target="http://kodeks.duckdns.org/document/96105" TargetMode="External"/><Relationship Id="rIdun39kmsnaiopuyzdntfi7" Type="http://schemas.openxmlformats.org/officeDocument/2006/relationships/hyperlink" Target="http://kodeks.duckdns.org/document/96105#p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2026-09-23T06:57:33.594Z</dcterms:created>
  <dcterms:modified xsi:type="dcterms:W3CDTF">2026-09-23T06:57:33.594Z</dcterms:modified>
</cp:coreProperties>
</file>

<file path=docProps/custom.xml><?xml version="1.0" encoding="utf-8"?>
<Properties xmlns="http://schemas.openxmlformats.org/officeDocument/2006/custom-properties" xmlns:vt="http://schemas.openxmlformats.org/officeDocument/2006/docPropsVTypes"/>
</file>