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yewsbumhmwoeetlxt0g8q">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января 2012 года № 49</w:t>
      </w:r>
    </w:p>
    <w:p>
      <w:pPr>
        <w:spacing w:after="120"/>
        <w:jc w:val="both"/>
      </w:pPr>
      <w:r>
        <w:rPr>
          <w:rFonts w:ascii="Arial" w:cs="Arial" w:eastAsia="Arial" w:hAnsi="Arial"/>
          <w:sz w:val="24"/>
          <w:szCs w:val="24"/>
        </w:rPr>
        <w:t xml:space="preserve">Об утверждении проекта "Доступные кредиты фермерам - 2"</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7qgunzuwodqs4gej7jfb">
        <w:r>
          <w:rPr>
            <w:rFonts w:ascii="Arial" w:cs="Arial" w:eastAsia="Arial" w:hAnsi="Arial"/>
            <w:color w:val="1D4ED8"/>
            <w:sz w:val="24"/>
            <w:szCs w:val="24"/>
            <w:u w:val="single"/>
          </w:rPr>
          <w:t xml:space="preserve">3 декабря 2012 года № 809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оказания государственной поддержки сельскохозяйственным производителям республики для своевременного проведения весенне-полевых работ 2012 года и дальнейшего развития животноводства в 2012-2013 годах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_uvjpfjixyno1llw06vq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"Доступные кредиты фермерам - 2".</w:t>
      </w:r>
    </w:p>
    <w:p>
      <w:pPr>
        <w:spacing w:after="120"/>
        <w:jc w:val="both"/>
      </w:pPr>
      <w:r>
        <w:rPr>
          <w:rFonts w:ascii="Arial" w:cs="Arial" w:eastAsia="Arial" w:hAnsi="Arial"/>
          <w:sz w:val="24"/>
          <w:szCs w:val="24"/>
        </w:rPr>
        <w:t xml:space="preserve">2. Министерству финансов Кыргызской Республики:</w:t>
      </w:r>
    </w:p>
    <w:p>
      <w:pPr>
        <w:spacing w:after="120"/>
        <w:jc w:val="both"/>
      </w:pPr>
      <w:r>
        <w:rPr>
          <w:rFonts w:ascii="Arial" w:cs="Arial" w:eastAsia="Arial" w:hAnsi="Arial"/>
          <w:sz w:val="24"/>
          <w:szCs w:val="24"/>
        </w:rPr>
        <w:t xml:space="preserve">- предоставить открытому акционерному обществу "Айыл Банк" и открытому акционерному обществу "РСК Банк" бюджетную ссуду в размере семисот миллионов сомов из средств республиканского бюджета на 2012 год;</w:t>
      </w:r>
    </w:p>
    <w:p>
      <w:pPr>
        <w:spacing w:after="120"/>
        <w:jc w:val="both"/>
      </w:pPr>
      <w:r>
        <w:rPr>
          <w:rFonts w:ascii="Arial" w:cs="Arial" w:eastAsia="Arial" w:hAnsi="Arial"/>
          <w:sz w:val="24"/>
          <w:szCs w:val="24"/>
        </w:rPr>
        <w:t xml:space="preserve">- оформить с открытым акционерным обществом "Айыл Банк" и открытым акционерным обществом "РСК Банк" долговые обязательства на следующих условиях:</w:t>
      </w:r>
    </w:p>
    <w:p>
      <w:pPr>
        <w:spacing w:after="120"/>
        <w:jc w:val="both"/>
      </w:pPr>
      <w:r>
        <w:rPr>
          <w:rFonts w:ascii="Arial" w:cs="Arial" w:eastAsia="Arial" w:hAnsi="Arial"/>
          <w:sz w:val="24"/>
          <w:szCs w:val="24"/>
        </w:rPr>
        <w:t xml:space="preserve">а) срок возврата бюджетной ссуды на растениеводство - 1 год с момента выдачи кредита;</w:t>
      </w:r>
    </w:p>
    <w:p>
      <w:pPr>
        <w:spacing w:after="120"/>
        <w:jc w:val="both"/>
      </w:pPr>
      <w:r>
        <w:rPr>
          <w:rFonts w:ascii="Arial" w:cs="Arial" w:eastAsia="Arial" w:hAnsi="Arial"/>
          <w:sz w:val="24"/>
          <w:szCs w:val="24"/>
        </w:rPr>
        <w:t xml:space="preserve">б) срок возврата бюджетной ссуды на животноводство - 2 года с момента выдачи кредита;</w:t>
      </w:r>
    </w:p>
    <w:p>
      <w:pPr>
        <w:spacing w:after="120"/>
        <w:jc w:val="both"/>
      </w:pPr>
      <w:r>
        <w:rPr>
          <w:rFonts w:ascii="Arial" w:cs="Arial" w:eastAsia="Arial" w:hAnsi="Arial"/>
          <w:sz w:val="24"/>
          <w:szCs w:val="24"/>
        </w:rPr>
        <w:t xml:space="preserve">в) процентная ставка за пользование кредитом - беспроцентная;</w:t>
      </w:r>
    </w:p>
    <w:p>
      <w:pPr>
        <w:spacing w:after="120"/>
        <w:jc w:val="both"/>
      </w:pPr>
      <w:r>
        <w:rPr>
          <w:rFonts w:ascii="Arial" w:cs="Arial" w:eastAsia="Arial" w:hAnsi="Arial"/>
          <w:sz w:val="24"/>
          <w:szCs w:val="24"/>
        </w:rPr>
        <w:t xml:space="preserve">г) целевое направление бюджетной ссуды - растениеводство и животноводство;</w:t>
      </w:r>
    </w:p>
    <w:p>
      <w:pPr>
        <w:spacing w:after="120"/>
        <w:jc w:val="both"/>
      </w:pPr>
      <w:r>
        <w:rPr>
          <w:rFonts w:ascii="Arial" w:cs="Arial" w:eastAsia="Arial" w:hAnsi="Arial"/>
          <w:sz w:val="24"/>
          <w:szCs w:val="24"/>
        </w:rPr>
        <w:t xml:space="preserve">д) без залогового обеспечения.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w0mdst-zpepqw5klazmre">
        <w:r>
          <w:rPr>
            <w:rFonts w:ascii="Arial" w:cs="Arial" w:eastAsia="Arial" w:hAnsi="Arial"/>
            <w:color w:val="1D4ED8"/>
            <w:sz w:val="24"/>
            <w:szCs w:val="24"/>
            <w:u w:val="single"/>
          </w:rPr>
          <w:t xml:space="preserve">3 декабря 2012 года № 809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экономики и инвестиций и отдел развития агропромышленного комплекса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"Доступные кредиты фермерам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yne-yt513vkuz3mmpogl">
        <w:r>
          <w:rPr>
            <w:rFonts w:ascii="Arial" w:cs="Arial" w:eastAsia="Arial" w:hAnsi="Arial"/>
            <w:color w:val="1D4ED8"/>
            <w:sz w:val="24"/>
            <w:szCs w:val="24"/>
            <w:u w:val="single"/>
          </w:rPr>
          <w:t xml:space="preserve">3 декабря 2012 года № 809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стоимость проекта составляет 700 миллионов сомов: 350 млн. сомов на растениеводство; 350 млн. сомов - на животноводство.</w:t>
      </w:r>
    </w:p>
    <w:p>
      <w:pPr>
        <w:spacing w:after="120"/>
        <w:jc w:val="both"/>
      </w:pPr>
      <w:r>
        <w:rPr>
          <w:rFonts w:ascii="Arial" w:cs="Arial" w:eastAsia="Arial" w:hAnsi="Arial"/>
          <w:sz w:val="24"/>
          <w:szCs w:val="24"/>
        </w:rPr>
        <w:t xml:space="preserve">Цель проекта: обеспечение финансирования на проведение весенне-полевых работ 2012 года и развитие животноводства в 2012-2013 годах.</w:t>
      </w:r>
    </w:p>
    <w:p>
      <w:pPr>
        <w:spacing w:after="120"/>
        <w:jc w:val="both"/>
      </w:pPr>
      <w:r>
        <w:rPr>
          <w:rFonts w:ascii="Arial" w:cs="Arial" w:eastAsia="Arial" w:hAnsi="Arial"/>
          <w:sz w:val="24"/>
          <w:szCs w:val="24"/>
        </w:rPr>
        <w:t xml:space="preserve">Начало реализации проекта: январь 2012 года.</w:t>
      </w:r>
    </w:p>
    <w:p>
      <w:pPr>
        <w:spacing w:after="120"/>
        <w:jc w:val="both"/>
      </w:pPr>
      <w:r>
        <w:rPr>
          <w:rFonts w:ascii="Arial" w:cs="Arial" w:eastAsia="Arial" w:hAnsi="Arial"/>
          <w:sz w:val="24"/>
          <w:szCs w:val="24"/>
        </w:rPr>
        <w:t xml:space="preserve">Длительность проекта: в секторе растениеводства - 1 год, в секторе животноводства - 2 года. Финансовые средства должны быть возвращены коммерческими банками Министерству финансов Кыргызской Республики в течение 12-24 месяцев с момента выдачи, в зависимости от целевой деятельности сельхозпроизводителей.</w:t>
      </w:r>
    </w:p>
    <w:p>
      <w:pPr>
        <w:spacing w:after="120"/>
        <w:jc w:val="both"/>
      </w:pPr>
      <w:r>
        <w:rPr>
          <w:rFonts w:ascii="Arial" w:cs="Arial" w:eastAsia="Arial" w:hAnsi="Arial"/>
          <w:sz w:val="24"/>
          <w:szCs w:val="24"/>
        </w:rPr>
        <w:t xml:space="preserve">Описание проекта. В рамках проекта дешевые оборотные финансовые средства будут предоставляться сельскохозяйственным производителям на проведение весенне-полевых работ 2012 года и развитие животноводства в 2012-2013 годах. Предоставление финансовых средств предусмотрено через открытое акционерное общество "Айыл Банк" и открытое акционерное общество "РСК Банк" (далее - коммерческие банки).</w:t>
      </w:r>
    </w:p>
    <w:p>
      <w:pPr>
        <w:spacing w:after="120"/>
        <w:jc w:val="both"/>
      </w:pPr>
      <w:r>
        <w:rPr>
          <w:rFonts w:ascii="Arial" w:cs="Arial" w:eastAsia="Arial" w:hAnsi="Arial"/>
          <w:sz w:val="24"/>
          <w:szCs w:val="24"/>
        </w:rPr>
        <w:t xml:space="preserve">Коммерческие банки получат финансовые средства через Министерство финансов Кыргызской Республики на следующих условиях:</w:t>
      </w:r>
    </w:p>
    <w:p>
      <w:pPr>
        <w:spacing w:after="120"/>
        <w:jc w:val="both"/>
      </w:pPr>
      <w:r>
        <w:rPr>
          <w:rFonts w:ascii="Arial" w:cs="Arial" w:eastAsia="Arial" w:hAnsi="Arial"/>
          <w:sz w:val="24"/>
          <w:szCs w:val="24"/>
        </w:rPr>
        <w:t xml:space="preserve">- стоимость ресурсов для коммерческих банков - 0%;</w:t>
      </w:r>
    </w:p>
    <w:p>
      <w:pPr>
        <w:spacing w:after="120"/>
        <w:jc w:val="both"/>
      </w:pPr>
      <w:r>
        <w:rPr>
          <w:rFonts w:ascii="Arial" w:cs="Arial" w:eastAsia="Arial" w:hAnsi="Arial"/>
          <w:sz w:val="24"/>
          <w:szCs w:val="24"/>
        </w:rPr>
        <w:t xml:space="preserve">- льготный период - основная сумма погашается вместе с процентами в конце срока;</w:t>
      </w:r>
    </w:p>
    <w:p>
      <w:pPr>
        <w:spacing w:after="120"/>
        <w:jc w:val="both"/>
      </w:pPr>
      <w:r>
        <w:rPr>
          <w:rFonts w:ascii="Arial" w:cs="Arial" w:eastAsia="Arial" w:hAnsi="Arial"/>
          <w:sz w:val="24"/>
          <w:szCs w:val="24"/>
        </w:rPr>
        <w:t xml:space="preserve">- маржа коммерческого банка - 7%;</w:t>
      </w:r>
    </w:p>
    <w:p>
      <w:pPr>
        <w:spacing w:after="120"/>
        <w:jc w:val="both"/>
      </w:pPr>
      <w:r>
        <w:rPr>
          <w:rFonts w:ascii="Arial" w:cs="Arial" w:eastAsia="Arial" w:hAnsi="Arial"/>
          <w:sz w:val="24"/>
          <w:szCs w:val="24"/>
        </w:rPr>
        <w:t xml:space="preserve">- средства предоставляются на 12-24 месяца;</w:t>
      </w:r>
    </w:p>
    <w:p>
      <w:pPr>
        <w:spacing w:after="120"/>
        <w:jc w:val="both"/>
      </w:pPr>
      <w:r>
        <w:rPr>
          <w:rFonts w:ascii="Arial" w:cs="Arial" w:eastAsia="Arial" w:hAnsi="Arial"/>
          <w:sz w:val="24"/>
          <w:szCs w:val="24"/>
        </w:rPr>
        <w:t xml:space="preserve">- целевое финансирование - растениеводство, животноводство.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для конечного получателя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Банки, участвующие в проекте, обязаны кредитовать сельскохозяйственных производителей на следующих условиях: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Целевая отрасль     │   Растениеводство    │    Животноводство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кредита           │до 200000 сомов       │до 300000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7%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 кредита            │до 12 месяцев         │до 24 месяцев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│Льготный период         │до 6 месяцев на       │до 9 месяцев на      │</w:t>
      </w:r>
    </w:p>
    <w:p>
      <w:pPr>
        <w:spacing w:after="120"/>
        <w:jc w:val="both"/>
      </w:pPr>
      <w:r>
        <w:rPr>
          <w:rFonts w:ascii="Arial" w:cs="Arial" w:eastAsia="Arial" w:hAnsi="Arial"/>
          <w:sz w:val="24"/>
          <w:szCs w:val="24"/>
        </w:rPr>
        <w:t xml:space="preserve">│                        │основную сумму        │основную сумму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банкам запрещается проводить рефинансирование кредитов, уже выданных сельским товаропроизводителям на весенне-полевые работы 2012 года и развитие животноводства в 2012-2013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схема реализации проекта</w:t>
      </w:r>
    </w:p>
    <w:p>
      <w:pPr>
        <w:spacing w:after="120"/>
        <w:jc w:val="both"/>
      </w:pPr>
      <w:r>
        <w:rPr>
          <w:rFonts w:ascii="Arial" w:cs="Arial" w:eastAsia="Arial" w:hAnsi="Arial"/>
          <w:sz w:val="24"/>
          <w:szCs w:val="24"/>
        </w:rPr>
        <w:t xml:space="preserve">"Доступные кредиты фермерам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МФ КР   │</w:t>
      </w:r>
    </w:p>
    <w:p>
      <w:pPr>
        <w:spacing w:after="120"/>
        <w:jc w:val="both"/>
      </w:pPr>
      <w:r>
        <w:rPr>
          <w:rFonts w:ascii="Arial" w:cs="Arial" w:eastAsia="Arial" w:hAnsi="Arial"/>
          <w:sz w:val="24"/>
          <w:szCs w:val="24"/>
        </w:rPr>
        <w:t xml:space="preserve">          Бюджетное │        └───────────┘</w:t>
      </w:r>
    </w:p>
    <w:p>
      <w:pPr>
        <w:spacing w:after="120"/>
        <w:jc w:val="both"/>
      </w:pPr>
      <w:r>
        <w:rPr>
          <w:rFonts w:ascii="Arial" w:cs="Arial" w:eastAsia="Arial" w:hAnsi="Arial"/>
          <w:sz w:val="24"/>
          <w:szCs w:val="24"/>
        </w:rPr>
        <w:t xml:space="preserve">          поручение │             ^  Включение в</w:t>
      </w:r>
    </w:p>
    <w:p>
      <w:pPr>
        <w:spacing w:after="120"/>
        <w:jc w:val="both"/>
      </w:pPr>
      <w:r>
        <w:rPr>
          <w:rFonts w:ascii="Arial" w:cs="Arial" w:eastAsia="Arial" w:hAnsi="Arial"/>
          <w:sz w:val="24"/>
          <w:szCs w:val="24"/>
        </w:rPr>
        <w:t xml:space="preserve">                    v             │  финансовый план</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ЦК  │      │  ГФРЭ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0% │ Денежные    │  Долговое</w:t>
      </w:r>
    </w:p>
    <w:p>
      <w:pPr>
        <w:spacing w:after="120"/>
        <w:jc w:val="both"/>
      </w:pPr>
      <w:r>
        <w:rPr>
          <w:rFonts w:ascii="Arial" w:cs="Arial" w:eastAsia="Arial" w:hAnsi="Arial"/>
          <w:sz w:val="24"/>
          <w:szCs w:val="24"/>
        </w:rPr>
        <w:t xml:space="preserve">                    │ средства    │  обязательство</w:t>
      </w:r>
    </w:p>
    <w:p>
      <w:pPr>
        <w:spacing w:after="120"/>
        <w:jc w:val="both"/>
      </w:pPr>
      <w:r>
        <w:rPr>
          <w:rFonts w:ascii="Arial" w:cs="Arial" w:eastAsia="Arial" w:hAnsi="Arial"/>
          <w:sz w:val="24"/>
          <w:szCs w:val="24"/>
        </w:rPr>
        <w:t xml:space="preserve">                    │             v</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└────&gt;│ ОАО "Айыл Банк" │</w:t>
      </w:r>
    </w:p>
    <w:p>
      <w:pPr>
        <w:spacing w:after="120"/>
        <w:jc w:val="both"/>
      </w:pPr>
      <w:r>
        <w:rPr>
          <w:rFonts w:ascii="Arial" w:cs="Arial" w:eastAsia="Arial" w:hAnsi="Arial"/>
          <w:sz w:val="24"/>
          <w:szCs w:val="24"/>
        </w:rPr>
        <w:t xml:space="preserve">                          │ ОАО "РСК Банк"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кредит │          │ кредит</w:t>
      </w:r>
    </w:p>
    <w:p>
      <w:pPr>
        <w:spacing w:after="120"/>
        <w:jc w:val="both"/>
      </w:pPr>
      <w:r>
        <w:rPr>
          <w:rFonts w:ascii="Arial" w:cs="Arial" w:eastAsia="Arial" w:hAnsi="Arial"/>
          <w:sz w:val="24"/>
          <w:szCs w:val="24"/>
        </w:rPr>
        <w:t xml:space="preserve">        Процентная ставка 7%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фермеры │ │ фермеры │</w:t>
      </w:r>
    </w:p>
    <w:p>
      <w:pPr>
        <w:spacing w:after="120"/>
        <w:jc w:val="both"/>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Описание реализации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предоставит беспроцентную бюджетную ссуду коммерческим банкам в размере 700 миллионов сомов, на условиях срочности и возвратности. Министерство финансов Кыргызской Республики заключит соглашение с коммерческими банками об открытии кредитной линии и осуществит перевод средств из республиканского бюджета на 2012 год.</w:t>
      </w:r>
    </w:p>
    <w:p>
      <w:pPr>
        <w:spacing w:after="120"/>
        <w:jc w:val="both"/>
      </w:pPr>
      <w:r>
        <w:rPr>
          <w:rFonts w:ascii="Arial" w:cs="Arial" w:eastAsia="Arial" w:hAnsi="Arial"/>
          <w:sz w:val="24"/>
          <w:szCs w:val="24"/>
        </w:rPr>
        <w:t xml:space="preserve">2. Для получения средств в рамках второй фазы проекта коммерческий банк в установленном порядке заполняет заявку и представляет ее в Государственный фонд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3. После заключения соответствующих договоров с коммерческими банками, Министерством финансов Кыргызской Республики готовится финансовый план на соответствующий месяц с учетом заявок коммерческих банков. Средства переводятся Центральным казначейством из средств республиканского бюджета на 2012 год в коммерческие банки в соответствии с внутренними актами Министерства финансов Кыргызской Республики.</w:t>
      </w:r>
    </w:p>
    <w:p>
      <w:pPr>
        <w:spacing w:after="120"/>
        <w:jc w:val="both"/>
      </w:pPr>
      <w:r>
        <w:rPr>
          <w:rFonts w:ascii="Arial" w:cs="Arial" w:eastAsia="Arial" w:hAnsi="Arial"/>
          <w:sz w:val="24"/>
          <w:szCs w:val="24"/>
        </w:rPr>
        <w:t xml:space="preserve">4. Коммерческие банки для покрытия операционных расходов и доходов имеют право установить маржу в 7%, при этом предоставленные финансовые средства должны направляться на кредиты сельскохозяйственным производителям на следующих условиях:</w:t>
      </w:r>
    </w:p>
    <w:p>
      <w:pPr>
        <w:spacing w:after="120"/>
        <w:jc w:val="both"/>
      </w:pPr>
      <w:r>
        <w:rPr>
          <w:rFonts w:ascii="Arial" w:cs="Arial" w:eastAsia="Arial" w:hAnsi="Arial"/>
          <w:sz w:val="24"/>
          <w:szCs w:val="24"/>
        </w:rPr>
        <w:t xml:space="preserve">- процентная ставка - 7% годовых;</w:t>
      </w:r>
    </w:p>
    <w:p>
      <w:pPr>
        <w:spacing w:after="120"/>
        <w:jc w:val="both"/>
      </w:pPr>
      <w:r>
        <w:rPr>
          <w:rFonts w:ascii="Arial" w:cs="Arial" w:eastAsia="Arial" w:hAnsi="Arial"/>
          <w:sz w:val="24"/>
          <w:szCs w:val="24"/>
        </w:rPr>
        <w:t xml:space="preserve">- сумма: до 200 тыс. сомов - в секторе растениеводства, до 300 тыс. сомов - в секторе животноводства;</w:t>
      </w:r>
    </w:p>
    <w:p>
      <w:pPr>
        <w:spacing w:after="120"/>
        <w:jc w:val="both"/>
      </w:pPr>
      <w:r>
        <w:rPr>
          <w:rFonts w:ascii="Arial" w:cs="Arial" w:eastAsia="Arial" w:hAnsi="Arial"/>
          <w:sz w:val="24"/>
          <w:szCs w:val="24"/>
        </w:rPr>
        <w:t xml:space="preserve">- срок: до 12 месяцев - в секторе растениеводства, до 24 месяцев в секторе животноводства;</w:t>
      </w:r>
    </w:p>
    <w:p>
      <w:pPr>
        <w:spacing w:after="120"/>
        <w:jc w:val="both"/>
      </w:pPr>
      <w:r>
        <w:rPr>
          <w:rFonts w:ascii="Arial" w:cs="Arial" w:eastAsia="Arial" w:hAnsi="Arial"/>
          <w:sz w:val="24"/>
          <w:szCs w:val="24"/>
        </w:rPr>
        <w:t xml:space="preserve">- выплаты основной суммы и процентов по кредиту производятся согласно кредитному соглашению, но с обязательным предоставлением льготного периода в секторе растениеводства до 6 месяцев, в секторе животноводства - до 9 месяцев по основной сумме кредита.</w:t>
      </w:r>
    </w:p>
    <w:p>
      <w:pPr>
        <w:spacing w:after="120"/>
        <w:jc w:val="both"/>
      </w:pPr>
      <w:r>
        <w:rPr>
          <w:rFonts w:ascii="Arial" w:cs="Arial" w:eastAsia="Arial" w:hAnsi="Arial"/>
          <w:sz w:val="24"/>
          <w:szCs w:val="24"/>
        </w:rPr>
        <w:t xml:space="preserve">5. Для получения кредита сельскохозяйственные производители должны предоставить залоговое обеспечение. Конечные заемщики будут нести кредитные обязательства перед коммерческим банком, коммерческий банк будет нести кредитные обязательства перед Государственным фондом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6. По результатам мониторинга использования кредитов, Государственный фонд развития экономики при Министерстве финансов Кыргызской Республики на периодической основе будет готовить отчет о распределении и возврате средств.</w:t>
      </w:r>
    </w:p>
    <w:p>
      <w:pPr>
        <w:spacing w:after="120"/>
        <w:jc w:val="both"/>
      </w:pPr>
      <w:r>
        <w:rPr>
          <w:rFonts w:ascii="Arial" w:cs="Arial" w:eastAsia="Arial" w:hAnsi="Arial"/>
          <w:sz w:val="24"/>
          <w:szCs w:val="24"/>
        </w:rPr>
        <w:t xml:space="preserve">Риски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Риск нецелевого использования средств сельскохозяйственными производителями.</w:t>
      </w:r>
    </w:p>
    <w:p>
      <w:pPr>
        <w:spacing w:after="120"/>
        <w:jc w:val="both"/>
      </w:pPr>
      <w:r>
        <w:rPr>
          <w:rFonts w:ascii="Arial" w:cs="Arial" w:eastAsia="Arial" w:hAnsi="Arial"/>
          <w:sz w:val="24"/>
          <w:szCs w:val="24"/>
        </w:rPr>
        <w:t xml:space="preserve">Минимизация риска нецелевого использования средств сельскохозяйственными производителями осуществляется коммерческими банками в установленном порядке.</w:t>
      </w:r>
    </w:p>
    <w:p>
      <w:pPr>
        <w:spacing w:after="120"/>
        <w:jc w:val="both"/>
      </w:pPr>
      <w:r>
        <w:rPr>
          <w:rFonts w:ascii="Arial" w:cs="Arial" w:eastAsia="Arial" w:hAnsi="Arial"/>
          <w:sz w:val="24"/>
          <w:szCs w:val="24"/>
        </w:rPr>
        <w:t xml:space="preserve">2. Риск нецелевого использования средств коммерческими банками.</w:t>
      </w:r>
    </w:p>
    <w:p>
      <w:pPr>
        <w:spacing w:after="120"/>
        <w:jc w:val="both"/>
      </w:pPr>
      <w:r>
        <w:rPr>
          <w:rFonts w:ascii="Arial" w:cs="Arial" w:eastAsia="Arial" w:hAnsi="Arial"/>
          <w:sz w:val="24"/>
          <w:szCs w:val="24"/>
        </w:rPr>
        <w:t xml:space="preserve">Принимая во внимание низкую процентную ставку, коммерческие банки могут быть заинтересованы в проведении операции по рефинансированию уже выданных кредитов.</w:t>
      </w:r>
    </w:p>
    <w:p>
      <w:pPr>
        <w:spacing w:after="120"/>
        <w:jc w:val="both"/>
      </w:pPr>
      <w:r>
        <w:rPr>
          <w:rFonts w:ascii="Arial" w:cs="Arial" w:eastAsia="Arial" w:hAnsi="Arial"/>
          <w:sz w:val="24"/>
          <w:szCs w:val="24"/>
        </w:rPr>
        <w:t xml:space="preserve">Для снижения данного риска необходимо проведение следующей работы:</w:t>
      </w:r>
    </w:p>
    <w:p>
      <w:pPr>
        <w:spacing w:after="120"/>
        <w:jc w:val="both"/>
      </w:pPr>
      <w:r>
        <w:rPr>
          <w:rFonts w:ascii="Arial" w:cs="Arial" w:eastAsia="Arial" w:hAnsi="Arial"/>
          <w:sz w:val="24"/>
          <w:szCs w:val="24"/>
        </w:rPr>
        <w:t xml:space="preserve">- проведение постоянного мониторинга целевого использования средств по проекту Государственным фондом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 установление финансовых санкций путем применения процентной ставки по выданной ссуде в размере 36% годовых;</w:t>
      </w:r>
    </w:p>
    <w:p>
      <w:pPr>
        <w:spacing w:after="120"/>
        <w:jc w:val="both"/>
      </w:pPr>
      <w:r>
        <w:rPr>
          <w:rFonts w:ascii="Arial" w:cs="Arial" w:eastAsia="Arial" w:hAnsi="Arial"/>
          <w:sz w:val="24"/>
          <w:szCs w:val="24"/>
        </w:rPr>
        <w:t xml:space="preserve">- отзыв средств, выданных банку в рамках проекта "Доступные кредиты фермерам - 2", Государственным фондом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3. Риск неполной выборки коммерческими банками ресурсов, выделенных Министерством финансов Кыргызской Республики.</w:t>
      </w:r>
    </w:p>
    <w:p>
      <w:pPr>
        <w:spacing w:after="120"/>
        <w:jc w:val="both"/>
      </w:pPr>
      <w:r>
        <w:rPr>
          <w:rFonts w:ascii="Arial" w:cs="Arial" w:eastAsia="Arial" w:hAnsi="Arial"/>
          <w:sz w:val="24"/>
          <w:szCs w:val="24"/>
        </w:rPr>
        <w:t xml:space="preserve">В рамках реализации проекта коммерческие банки будут нести кредитные обязательства перед Государственным фондом развития экономики при Министерстве финансов Кыргызской Республики, что потребует наличия залогового обеспечения заемщиков. Отсутствие залога может привести к отказу в выделении средств; таким образом, может возникнуть дефицит количества потенциальных заемщиков, что в целом может повлиять на общую сумму выборки средств коммерческими банками.</w:t>
      </w:r>
    </w:p>
    <w:p>
      <w:pPr>
        <w:spacing w:after="120"/>
        <w:jc w:val="both"/>
      </w:pPr>
      <w:r>
        <w:rPr>
          <w:rFonts w:ascii="Arial" w:cs="Arial" w:eastAsia="Arial" w:hAnsi="Arial"/>
          <w:sz w:val="24"/>
          <w:szCs w:val="24"/>
        </w:rPr>
        <w:t xml:space="preserve">4. Форс-мажорные обстоятельства.</w:t>
      </w:r>
    </w:p>
    <w:p>
      <w:pPr>
        <w:spacing w:after="120"/>
        <w:jc w:val="both"/>
      </w:pPr>
      <w:r>
        <w:rPr>
          <w:rFonts w:ascii="Arial" w:cs="Arial" w:eastAsia="Arial" w:hAnsi="Arial"/>
          <w:sz w:val="24"/>
          <w:szCs w:val="24"/>
        </w:rPr>
        <w:t xml:space="preserve">В случае возникновения форс-мажорных обстоятельств и других факторов, Министерство финансов Кыргызской Республики вправе внести предложение по реструктуризации задолженности в соответствии с Положением о порядке рассмотрения предложений по изменению условий возврата заемных средств по бюджетным ссудам и иностранным кредитам, рекредитованным Правительством Кыргызской Республики, утвержденным постановлением Правительства Кыргызской Республики от 2 июня 2008 года N 258.</w:t>
      </w:r>
    </w:p>
    <w:p>
      <w:pPr>
        <w:spacing w:after="120"/>
        <w:jc w:val="both"/>
      </w:pPr>
      <w:r>
        <w:rPr>
          <w:rFonts w:ascii="Arial" w:cs="Arial" w:eastAsia="Arial" w:hAnsi="Arial"/>
          <w:sz w:val="24"/>
          <w:szCs w:val="24"/>
        </w:rPr>
        <w:t xml:space="preserve">Процентная ставка и сумма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Процентная ставка в рамках проекта для конечных пользователей складывается следующим образом:</w:t>
      </w:r>
    </w:p>
    <w:p>
      <w:pPr>
        <w:spacing w:after="120"/>
        <w:jc w:val="both"/>
      </w:pPr>
      <w:r>
        <w:rPr>
          <w:rFonts w:ascii="Arial" w:cs="Arial" w:eastAsia="Arial" w:hAnsi="Arial"/>
          <w:sz w:val="24"/>
          <w:szCs w:val="24"/>
        </w:rPr>
        <w:t xml:space="preserve">- 2% - на создание коммерческими банками резерва на покрытие потенциальных убытков;</w:t>
      </w:r>
    </w:p>
    <w:p>
      <w:pPr>
        <w:spacing w:after="120"/>
        <w:jc w:val="both"/>
      </w:pPr>
      <w:r>
        <w:rPr>
          <w:rFonts w:ascii="Arial" w:cs="Arial" w:eastAsia="Arial" w:hAnsi="Arial"/>
          <w:sz w:val="24"/>
          <w:szCs w:val="24"/>
        </w:rPr>
        <w:t xml:space="preserve">- 5% - операционные расходы и доходы коммерческого банка, включая выплаты по примененным налогам.</w:t>
      </w:r>
    </w:p>
    <w:p>
      <w:pPr>
        <w:spacing w:after="120"/>
        <w:jc w:val="both"/>
      </w:pPr>
      <w:r>
        <w:rPr>
          <w:rFonts w:ascii="Arial" w:cs="Arial" w:eastAsia="Arial" w:hAnsi="Arial"/>
          <w:sz w:val="24"/>
          <w:szCs w:val="24"/>
        </w:rPr>
        <w:t xml:space="preserve">Таким образом, общая процентная ставка составит 7%.</w:t>
      </w:r>
    </w:p>
    <w:p>
      <w:pPr>
        <w:spacing w:after="120"/>
        <w:jc w:val="both"/>
      </w:pPr>
      <w:r>
        <w:rPr>
          <w:rFonts w:ascii="Arial" w:cs="Arial" w:eastAsia="Arial" w:hAnsi="Arial"/>
          <w:sz w:val="24"/>
          <w:szCs w:val="24"/>
        </w:rPr>
        <w:t xml:space="preserve">Сумма кредита. В рамках проекта сельскохозяйственные производители могут получить кредит на сумму до 200000 сомов для растениеводства, до 300000 сомов - для животноводства. Устанавливается только максимальное пороговое значение суммы. Банки имеют право выдавать кредиты, не превышающие пороговую сумму.</w:t>
      </w:r>
    </w:p>
    <w:p>
      <w:pPr>
        <w:spacing w:after="120"/>
        <w:jc w:val="both"/>
      </w:pPr>
      <w:r>
        <w:rPr>
          <w:rFonts w:ascii="Arial" w:cs="Arial" w:eastAsia="Arial" w:hAnsi="Arial"/>
          <w:sz w:val="24"/>
          <w:szCs w:val="24"/>
        </w:rPr>
        <w:t xml:space="preserve">Мониторинг целевого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целевого использования будет проводиться следующим образом:</w:t>
      </w:r>
    </w:p>
    <w:p>
      <w:pPr>
        <w:spacing w:after="120"/>
        <w:jc w:val="both"/>
      </w:pPr>
      <w:r>
        <w:rPr>
          <w:rFonts w:ascii="Arial" w:cs="Arial" w:eastAsia="Arial" w:hAnsi="Arial"/>
          <w:sz w:val="24"/>
          <w:szCs w:val="24"/>
        </w:rPr>
        <w:t xml:space="preserve">- в течение 1 месяца с момента получения кредита сельхозпроизводители должны представлять отчеты о целевом использовании, с приложениями документальных подтверждений (контракты/договоры, сертификаты, счета-фактуры и/или накладные, платежные документы об оплате и другие);</w:t>
      </w:r>
    </w:p>
    <w:p>
      <w:pPr>
        <w:spacing w:after="120"/>
        <w:jc w:val="both"/>
      </w:pPr>
      <w:r>
        <w:rPr>
          <w:rFonts w:ascii="Arial" w:cs="Arial" w:eastAsia="Arial" w:hAnsi="Arial"/>
          <w:sz w:val="24"/>
          <w:szCs w:val="24"/>
        </w:rPr>
        <w:t xml:space="preserve">- в течение последующих 3-х месяцев, после получения отчета от заемщика о целевом использовании, уполномоченные сотрудники банка с выездом на место будут проводить мониторинг, который будет оформляться внутренним отчетом проверки. В случаях нецелевого использования кредита, должен быть составлен соответствующий акт и процентная ставка по данному кредиту должна быть повышена до 36%.</w:t>
      </w:r>
    </w:p>
    <w:p>
      <w:pPr>
        <w:spacing w:after="120"/>
        <w:jc w:val="both"/>
      </w:pPr>
      <w:r>
        <w:rPr>
          <w:rFonts w:ascii="Arial" w:cs="Arial" w:eastAsia="Arial" w:hAnsi="Arial"/>
          <w:sz w:val="24"/>
          <w:szCs w:val="24"/>
        </w:rPr>
        <w:t xml:space="preserve">Сельскохозяйственные производители обязаны представить в банк следующие документы, подтверждающие целевое использование кредита:</w:t>
      </w:r>
    </w:p>
    <w:p>
      <w:pPr>
        <w:spacing w:after="120"/>
        <w:jc w:val="both"/>
      </w:pPr>
      <w:r>
        <w:rPr>
          <w:rFonts w:ascii="Arial" w:cs="Arial" w:eastAsia="Arial" w:hAnsi="Arial"/>
          <w:sz w:val="24"/>
          <w:szCs w:val="24"/>
        </w:rPr>
        <w:t xml:space="preserve">- копии контрактов/договоров и/или счетов-фактур, накладных и подтверждающих платежных документов об оплате за приобретенные семена, минеральные удобрения, горюче-смазочные материалы и запасные части на сельскохозяйственную технику, об оплате услуг (должны быть представлены вместе с отчетом об использовании средств);</w:t>
      </w:r>
    </w:p>
    <w:p>
      <w:pPr>
        <w:spacing w:after="120"/>
        <w:jc w:val="both"/>
      </w:pPr>
      <w:r>
        <w:rPr>
          <w:rFonts w:ascii="Arial" w:cs="Arial" w:eastAsia="Arial" w:hAnsi="Arial"/>
          <w:sz w:val="24"/>
          <w:szCs w:val="24"/>
        </w:rPr>
        <w:t xml:space="preserve">в особых случаях:</w:t>
      </w:r>
    </w:p>
    <w:p>
      <w:pPr>
        <w:spacing w:after="120"/>
        <w:jc w:val="both"/>
      </w:pPr>
      <w:r>
        <w:rPr>
          <w:rFonts w:ascii="Arial" w:cs="Arial" w:eastAsia="Arial" w:hAnsi="Arial"/>
          <w:sz w:val="24"/>
          <w:szCs w:val="24"/>
        </w:rPr>
        <w:t xml:space="preserve">- в случае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120"/>
        <w:jc w:val="both"/>
      </w:pPr>
      <w:r>
        <w:rPr>
          <w:rFonts w:ascii="Arial" w:cs="Arial" w:eastAsia="Arial" w:hAnsi="Arial"/>
          <w:sz w:val="24"/>
          <w:szCs w:val="24"/>
        </w:rPr>
        <w:t xml:space="preserve">- в случае совершения сделок купли-продажи семян, минеральных удобрений, горюче-смазочных материалов и запасных частей на сельскохозяйственную технику,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на оказание услуг, заверенный в айыл окмоту айылного аймака,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120"/>
        <w:jc w:val="both"/>
      </w:pPr>
      <w:r>
        <w:rPr>
          <w:rFonts w:ascii="Arial" w:cs="Arial" w:eastAsia="Arial" w:hAnsi="Arial"/>
          <w:sz w:val="24"/>
          <w:szCs w:val="24"/>
        </w:rPr>
        <w:t xml:space="preserve">- в случае приобретения горюче-смазочных материалов жителями отдаленных сел совместно через одно лицо - копии платежных документов автозаправочных станций прилагаются к отчету об использовании средств каждого такого кредита, с указанием совместного приобретения.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wsbumhmwoeetlxt0g8q" Type="http://schemas.openxmlformats.org/officeDocument/2006/relationships/hyperlink" Target="http://kodeks.duckdns.org/document/158975" TargetMode="External"/><Relationship Id="rIdq7qgunzuwodqs4gej7jfb" Type="http://schemas.openxmlformats.org/officeDocument/2006/relationships/hyperlink" Target="http://kodeks.duckdns.org/document/93198" TargetMode="External"/><Relationship Id="rId_uvjpfjixyno1llw06vqx" Type="http://schemas.openxmlformats.org/officeDocument/2006/relationships/hyperlink" Target="http://kodeks.duckdns.org/document/93413#p1" TargetMode="External"/><Relationship Id="rIdw0mdst-zpepqw5klazmre" Type="http://schemas.openxmlformats.org/officeDocument/2006/relationships/hyperlink" Target="http://kodeks.duckdns.org/document/93198" TargetMode="External"/><Relationship Id="rId3yne-yt513vkuz3mmpogl" Type="http://schemas.openxmlformats.org/officeDocument/2006/relationships/hyperlink" Target="http://kodeks.duckdns.org/document/93198"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2026-09-23T12:37:39.464Z</dcterms:created>
  <dcterms:modified xsi:type="dcterms:W3CDTF">2026-09-23T12:37:39.464Z</dcterms:modified>
</cp:coreProperties>
</file>

<file path=docProps/custom.xml><?xml version="1.0" encoding="utf-8"?>
<Properties xmlns="http://schemas.openxmlformats.org/officeDocument/2006/custom-properties" xmlns:vt="http://schemas.openxmlformats.org/officeDocument/2006/docPropsVTypes"/>
</file>