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2-b-0hai_r9gydso-ecjb">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hyperlink w:history="1" r:id="rIdco__qgh31lz6iw97ufv5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26 января 2012 года № 61/68/2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СОВМЕСТНОЕ ЗАЯВЛЕНИЕ
 Правительства Кыргызской Республики и Национального банка Кыргызской Республики об экономической политике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1. Макроэкономическая политика</w:t>
      </w:r>
    </w:p>
    <w:p>
      <w:pPr>
        <w:spacing w:after="120"/>
        <w:jc w:val="both"/>
      </w:pPr>
      <w:r>
        <w:rPr>
          <w:rFonts w:ascii="Arial" w:cs="Arial" w:eastAsia="Arial" w:hAnsi="Arial"/>
          <w:sz w:val="24"/>
          <w:szCs w:val="24"/>
        </w:rPr>
        <w:t xml:space="preserve">2. Денежно-кредитная политика</w:t>
      </w:r>
    </w:p>
    <w:p>
      <w:pPr>
        <w:spacing w:after="120"/>
        <w:jc w:val="both"/>
      </w:pPr>
      <w:r>
        <w:rPr>
          <w:rFonts w:ascii="Arial" w:cs="Arial" w:eastAsia="Arial" w:hAnsi="Arial"/>
          <w:sz w:val="24"/>
          <w:szCs w:val="24"/>
        </w:rPr>
        <w:t xml:space="preserve">3. Фискальная политика</w:t>
      </w:r>
    </w:p>
    <w:p>
      <w:pPr>
        <w:spacing w:after="120"/>
        <w:jc w:val="both"/>
      </w:pPr>
      <w:r>
        <w:rPr>
          <w:rFonts w:ascii="Arial" w:cs="Arial" w:eastAsia="Arial" w:hAnsi="Arial"/>
          <w:sz w:val="24"/>
          <w:szCs w:val="24"/>
        </w:rPr>
        <w:t xml:space="preserve">4. Бюджетная политика</w:t>
      </w:r>
    </w:p>
    <w:p>
      <w:pPr>
        <w:spacing w:after="120"/>
        <w:jc w:val="both"/>
      </w:pPr>
      <w:r>
        <w:rPr>
          <w:rFonts w:ascii="Arial" w:cs="Arial" w:eastAsia="Arial" w:hAnsi="Arial"/>
          <w:sz w:val="24"/>
          <w:szCs w:val="24"/>
        </w:rPr>
        <w:t xml:space="preserve">5. Государственный долг</w:t>
      </w:r>
    </w:p>
    <w:p>
      <w:pPr>
        <w:spacing w:after="120"/>
        <w:jc w:val="both"/>
      </w:pPr>
      <w:r>
        <w:rPr>
          <w:rFonts w:ascii="Arial" w:cs="Arial" w:eastAsia="Arial" w:hAnsi="Arial"/>
          <w:sz w:val="24"/>
          <w:szCs w:val="24"/>
        </w:rPr>
        <w:t xml:space="preserve">6. Развитие реального сектора</w:t>
      </w:r>
    </w:p>
    <w:p>
      <w:pPr>
        <w:spacing w:after="120"/>
        <w:jc w:val="both"/>
      </w:pPr>
      <w:r>
        <w:rPr>
          <w:rFonts w:ascii="Arial" w:cs="Arial" w:eastAsia="Arial" w:hAnsi="Arial"/>
          <w:sz w:val="24"/>
          <w:szCs w:val="24"/>
        </w:rPr>
        <w:t xml:space="preserve">7. Социальная политика</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Экономическая и социальная политика Кыргызской Республики после событий 2010 года была ориентирована на преодоление социальных последствий и выведение экономики страны на устойчивый вектор развития, улучшение состояния бюджета.</w:t>
      </w:r>
    </w:p>
    <w:p>
      <w:pPr>
        <w:spacing w:after="120"/>
        <w:jc w:val="both"/>
      </w:pPr>
      <w:r>
        <w:rPr>
          <w:rFonts w:ascii="Arial" w:cs="Arial" w:eastAsia="Arial" w:hAnsi="Arial"/>
          <w:sz w:val="24"/>
          <w:szCs w:val="24"/>
        </w:rPr>
        <w:t xml:space="preserve">Основным результатом деятельности Правительства Кыргызской Республики стало преодоление угрозы спада экономического роста и выход на устойчивые тенденции в социально-экономическом развитии на фоне улучшения параметров макроэкономической стабильности и снижения внутриполитической напряженности в стране.</w:t>
      </w:r>
    </w:p>
    <w:p>
      <w:pPr>
        <w:spacing w:after="120"/>
        <w:jc w:val="both"/>
      </w:pPr>
      <w:r>
        <w:rPr>
          <w:rFonts w:ascii="Arial" w:cs="Arial" w:eastAsia="Arial" w:hAnsi="Arial"/>
          <w:sz w:val="24"/>
          <w:szCs w:val="24"/>
        </w:rPr>
        <w:t xml:space="preserve">В 2011 году удалось достигнуть роста экономики. По итогам за январь-декабрь 2011 года, по предварительной оценке, объем валового внутреннего продукта (ВВП) сложился в сумме 273,1 млрд. сомов, реальный рост составил 105,7%, в то время как за аналогичный период 2010 года данный показатель составлял 99,5%. Без учета предприятий по разработке месторождения "Кумтор", реальный рост ВВП составил 105,6% (2010 г. 99,0%).</w:t>
      </w:r>
    </w:p>
    <w:p>
      <w:pPr>
        <w:spacing w:after="120"/>
        <w:jc w:val="both"/>
      </w:pPr>
      <w:r>
        <w:rPr>
          <w:rFonts w:ascii="Arial" w:cs="Arial" w:eastAsia="Arial" w:hAnsi="Arial"/>
          <w:sz w:val="24"/>
          <w:szCs w:val="24"/>
        </w:rPr>
        <w:t xml:space="preserve">Основными секторами, повлиявшими на достижение положительных темпов экономического роста в январе-декабре 2011 года стали промышленность и сфера услуг, а вклад строительства оказался отрицательным.</w:t>
      </w:r>
    </w:p>
    <w:p>
      <w:pPr>
        <w:spacing w:after="120"/>
        <w:jc w:val="both"/>
      </w:pPr>
      <w:r>
        <w:rPr>
          <w:rFonts w:ascii="Arial" w:cs="Arial" w:eastAsia="Arial" w:hAnsi="Arial"/>
          <w:sz w:val="24"/>
          <w:szCs w:val="24"/>
        </w:rPr>
        <w:t xml:space="preserve">Уровень инфляции за 2011 год (декабрь 2011 года к декабрю 2010 года) сложился на уровне 5,7%, тогда как за 2010 год данный показатель составил 19,2%.</w:t>
      </w:r>
    </w:p>
    <w:p>
      <w:pPr>
        <w:spacing w:after="120"/>
        <w:jc w:val="both"/>
      </w:pPr>
      <w:r>
        <w:rPr>
          <w:rFonts w:ascii="Arial" w:cs="Arial" w:eastAsia="Arial" w:hAnsi="Arial"/>
          <w:sz w:val="24"/>
          <w:szCs w:val="24"/>
        </w:rPr>
        <w:t xml:space="preserve">Основными факторами, повлиявшими на улучшение экономической ситуации в стране, стали:</w:t>
      </w:r>
    </w:p>
    <w:p>
      <w:pPr>
        <w:spacing w:after="120"/>
        <w:jc w:val="both"/>
      </w:pPr>
      <w:r>
        <w:rPr>
          <w:rFonts w:ascii="Arial" w:cs="Arial" w:eastAsia="Arial" w:hAnsi="Arial"/>
          <w:sz w:val="24"/>
          <w:szCs w:val="24"/>
        </w:rPr>
        <w:t xml:space="preserve">- устойчивый экономический рост в странах - основных торговых партнерах Кыргызской Республики (Россия - 4,2%, Казахстан - 7,5%, Китай - 9,2%);</w:t>
      </w:r>
    </w:p>
    <w:p>
      <w:pPr>
        <w:spacing w:after="120"/>
        <w:jc w:val="both"/>
      </w:pPr>
      <w:r>
        <w:rPr>
          <w:rFonts w:ascii="Arial" w:cs="Arial" w:eastAsia="Arial" w:hAnsi="Arial"/>
          <w:sz w:val="24"/>
          <w:szCs w:val="24"/>
        </w:rPr>
        <w:t xml:space="preserve">- умеренные показатели инфляции в странах - основных торговых партнерах (Россия, Казахстан);</w:t>
      </w:r>
    </w:p>
    <w:p>
      <w:pPr>
        <w:spacing w:after="120"/>
        <w:jc w:val="both"/>
      </w:pPr>
      <w:r>
        <w:rPr>
          <w:rFonts w:ascii="Arial" w:cs="Arial" w:eastAsia="Arial" w:hAnsi="Arial"/>
          <w:sz w:val="24"/>
          <w:szCs w:val="24"/>
        </w:rPr>
        <w:t xml:space="preserve">- умеренная динамика цен на мировых товарно-сырьевых рынках (продовольствие, энергоносители);</w:t>
      </w:r>
    </w:p>
    <w:p>
      <w:pPr>
        <w:spacing w:after="120"/>
        <w:jc w:val="both"/>
      </w:pPr>
      <w:r>
        <w:rPr>
          <w:rFonts w:ascii="Arial" w:cs="Arial" w:eastAsia="Arial" w:hAnsi="Arial"/>
          <w:sz w:val="24"/>
          <w:szCs w:val="24"/>
        </w:rPr>
        <w:t xml:space="preserve">- налоговые преференции для субъектов предпринимательства (облегчение и упрощение налогообложения швейной и текстильной отраслей, освобождение от НДС: специализированных товаров для строительства и реконструкции стекловаренной печи, поставок и экспорта золотого и серебряного сплавов, аффинированных золота и серебра, включение общества с ограниченной ответственностью (ОсОО) "Майлуу-Сууйский электроламповый завод" в Перечень облагаемых субъектов и т.д.);</w:t>
      </w:r>
    </w:p>
    <w:p>
      <w:pPr>
        <w:spacing w:after="120"/>
        <w:jc w:val="both"/>
      </w:pPr>
      <w:r>
        <w:rPr>
          <w:rFonts w:ascii="Arial" w:cs="Arial" w:eastAsia="Arial" w:hAnsi="Arial"/>
          <w:sz w:val="24"/>
          <w:szCs w:val="24"/>
        </w:rPr>
        <w:t xml:space="preserve">- упрощение условий ведения бизнеса через сокращение проверок, количества лицензий и другие меры государственного регулирования в целях снижения коррупции и теневой экономики;</w:t>
      </w:r>
    </w:p>
    <w:p>
      <w:pPr>
        <w:spacing w:after="120"/>
        <w:jc w:val="both"/>
      </w:pPr>
      <w:r>
        <w:rPr>
          <w:rFonts w:ascii="Arial" w:cs="Arial" w:eastAsia="Arial" w:hAnsi="Arial"/>
          <w:sz w:val="24"/>
          <w:szCs w:val="24"/>
        </w:rPr>
        <w:t xml:space="preserve">- реструктуризация кредиторских задолженностей ряда предприятий (открытое акционерное общество (ОАО) "Касиет", ОАО "Ак-Тилек", Завод "Достук");</w:t>
      </w:r>
    </w:p>
    <w:p>
      <w:pPr>
        <w:spacing w:after="120"/>
        <w:jc w:val="both"/>
      </w:pPr>
      <w:r>
        <w:rPr>
          <w:rFonts w:ascii="Arial" w:cs="Arial" w:eastAsia="Arial" w:hAnsi="Arial"/>
          <w:sz w:val="24"/>
          <w:szCs w:val="24"/>
        </w:rPr>
        <w:t xml:space="preserve">- рост цен на золото на уровне 1326 - 1652,3 долл. за 1 унцию (январь-декабрь 2011 г.);</w:t>
      </w:r>
    </w:p>
    <w:p>
      <w:pPr>
        <w:spacing w:after="120"/>
        <w:jc w:val="both"/>
      </w:pPr>
      <w:r>
        <w:rPr>
          <w:rFonts w:ascii="Arial" w:cs="Arial" w:eastAsia="Arial" w:hAnsi="Arial"/>
          <w:sz w:val="24"/>
          <w:szCs w:val="24"/>
        </w:rPr>
        <w:t xml:space="preserve">- отмена экспортных пошлин на нефтепродукты, поставляемые в Кыргызстан, со стороны России;</w:t>
      </w:r>
    </w:p>
    <w:p>
      <w:pPr>
        <w:spacing w:after="120"/>
        <w:jc w:val="both"/>
      </w:pPr>
      <w:r>
        <w:rPr>
          <w:rFonts w:ascii="Arial" w:cs="Arial" w:eastAsia="Arial" w:hAnsi="Arial"/>
          <w:sz w:val="24"/>
          <w:szCs w:val="24"/>
        </w:rPr>
        <w:t xml:space="preserve">- рост объемов кредитования в экономике и притока инвестиций в обрабатывающую и горнодобывающую промышленность.</w:t>
      </w:r>
    </w:p>
    <w:p>
      <w:pPr>
        <w:spacing w:after="120"/>
        <w:jc w:val="both"/>
      </w:pPr>
      <w:r>
        <w:rPr>
          <w:rFonts w:ascii="Arial" w:cs="Arial" w:eastAsia="Arial" w:hAnsi="Arial"/>
          <w:sz w:val="24"/>
          <w:szCs w:val="24"/>
        </w:rPr>
        <w:t xml:space="preserve">В целях оперативного решения неотложных проблем и предотвращения спада экономического роста, сохранения устойчивости бюджета и финансовой системы в целом, а также восстановления деловой активности в течение 2011 года Правительством Кыргызской Республики реализовывался краткосрочный </w:t>
      </w:r>
      <w:hyperlink w:history="1" r:id="rId6xliejkvbefl5kx4iqtci">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на 2011 год "Экономика и безопасность". Социальная политика была направлена на повышение размеров заработной платы и пенсий, в частности, размер заработной платы учителей и врачей повысился в два и более раза, пенсий - на 30%. Рядом нормативных документов установлены налоговые и таможенные преференции для хозяйствующих субъектов, пострадавших в южных регионах, приняты нормативные правовые акты, направленные на поддержку субъектов предпринимательства и др.</w:t>
      </w:r>
    </w:p>
    <w:p>
      <w:pPr>
        <w:spacing w:after="120"/>
        <w:jc w:val="both"/>
      </w:pPr>
      <w:r>
        <w:rPr>
          <w:rFonts w:ascii="Arial" w:cs="Arial" w:eastAsia="Arial" w:hAnsi="Arial"/>
          <w:sz w:val="24"/>
          <w:szCs w:val="24"/>
        </w:rPr>
        <w:t xml:space="preserve">Обществу и бизнесу сегодня необходимы как среднесрочные, так и долгосрочные ориентиры развития Кыргызской Республики. Поэтому, постановлением Жогорку Кенеша Кыргызской Республики одобрена Программа Правительства Кыргызской Республики "Стабильность и достойная жизнь" (от 23 декабря 2011 года № 1451-V). Данная Программа определяет цели, задачи и ключевые меры, которые Правительство Кыргызской Республики будет осуществлять в период своей деятельности. Программа разработана на принципах преемственности и отражения интересов общества. Она также учитывает Среднесрочную </w:t>
      </w:r>
      <w:hyperlink w:history="1" r:id="rId_bywrbylnlrt_gn8bmhzf">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Кыргызской Республики на 2012-2014 годы, утвержденную </w:t>
      </w:r>
      <w:hyperlink w:history="1" r:id="rId8yatzmarwm96hnrix6aj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сентября 2011 года № 540, предвыборные программы партий, вошедших в коалицию большинства Жогорку Кенеша Кыргызской Республики, и предвыборную программу Президента Кыргызской Республики.</w:t>
      </w:r>
    </w:p>
    <w:p>
      <w:pPr>
        <w:spacing w:after="120"/>
        <w:jc w:val="both"/>
      </w:pPr>
      <w:r>
        <w:rPr>
          <w:rFonts w:ascii="Arial" w:cs="Arial" w:eastAsia="Arial" w:hAnsi="Arial"/>
          <w:sz w:val="24"/>
          <w:szCs w:val="24"/>
        </w:rPr>
        <w:t xml:space="preserve">Учитывая вышеизложенное, а также в целях сохранения и поддержания экономической стабильности в различных секторах экономики разработано настоящее Совместное заявление Правительства Кыргызской Республики (далее - Правительство) и Национального банка Кыргызской Республики (далее - Национальный банк) об экономической политике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макроэкономической политики на 2012 год является закрепление макроэкономической стабильности для устойчивого экономического роста, создание базовых условий для экономического и социального развития в среднесрочном периоде.</w:t>
      </w:r>
    </w:p>
    <w:p>
      <w:pPr>
        <w:spacing w:after="120"/>
        <w:jc w:val="both"/>
      </w:pPr>
      <w:r>
        <w:rPr>
          <w:rFonts w:ascii="Arial" w:cs="Arial" w:eastAsia="Arial" w:hAnsi="Arial"/>
          <w:sz w:val="24"/>
          <w:szCs w:val="24"/>
        </w:rPr>
        <w:t xml:space="preserve">Макроэкономическая политика в 2012 году будет нацелена на решение следующих основных задач:</w:t>
      </w:r>
    </w:p>
    <w:p>
      <w:pPr>
        <w:spacing w:after="120"/>
        <w:jc w:val="both"/>
      </w:pPr>
      <w:r>
        <w:rPr>
          <w:rFonts w:ascii="Arial" w:cs="Arial" w:eastAsia="Arial" w:hAnsi="Arial"/>
          <w:sz w:val="24"/>
          <w:szCs w:val="24"/>
        </w:rPr>
        <w:t xml:space="preserve">- обеспечение реального темпа прироста валового внутреннего продукта (ВВП) не ниже 7,5%, в том числе за счет:</w:t>
      </w:r>
    </w:p>
    <w:p>
      <w:pPr>
        <w:spacing w:after="120"/>
        <w:jc w:val="both"/>
      </w:pPr>
      <w:r>
        <w:rPr>
          <w:rFonts w:ascii="Arial" w:cs="Arial" w:eastAsia="Arial" w:hAnsi="Arial"/>
          <w:sz w:val="24"/>
          <w:szCs w:val="24"/>
        </w:rPr>
        <w:t xml:space="preserve">роста продукции промышленного сектора - на 7,6%;</w:t>
      </w:r>
    </w:p>
    <w:p>
      <w:pPr>
        <w:spacing w:after="120"/>
        <w:jc w:val="both"/>
      </w:pPr>
      <w:r>
        <w:rPr>
          <w:rFonts w:ascii="Arial" w:cs="Arial" w:eastAsia="Arial" w:hAnsi="Arial"/>
          <w:sz w:val="24"/>
          <w:szCs w:val="24"/>
        </w:rPr>
        <w:t xml:space="preserve">роста производства сельского хозяйства - на 3,5%;</w:t>
      </w:r>
    </w:p>
    <w:p>
      <w:pPr>
        <w:spacing w:after="120"/>
        <w:jc w:val="both"/>
      </w:pPr>
      <w:r>
        <w:rPr>
          <w:rFonts w:ascii="Arial" w:cs="Arial" w:eastAsia="Arial" w:hAnsi="Arial"/>
          <w:sz w:val="24"/>
          <w:szCs w:val="24"/>
        </w:rPr>
        <w:t xml:space="preserve">роста строительного сектора - на 24,6%;</w:t>
      </w:r>
    </w:p>
    <w:p>
      <w:pPr>
        <w:spacing w:after="120"/>
        <w:jc w:val="both"/>
      </w:pPr>
      <w:r>
        <w:rPr>
          <w:rFonts w:ascii="Arial" w:cs="Arial" w:eastAsia="Arial" w:hAnsi="Arial"/>
          <w:sz w:val="24"/>
          <w:szCs w:val="24"/>
        </w:rPr>
        <w:t xml:space="preserve">роста сектора услуг - не менее чем на 7,5%;</w:t>
      </w:r>
    </w:p>
    <w:p>
      <w:pPr>
        <w:spacing w:after="120"/>
        <w:jc w:val="both"/>
      </w:pPr>
      <w:r>
        <w:rPr>
          <w:rFonts w:ascii="Arial" w:cs="Arial" w:eastAsia="Arial" w:hAnsi="Arial"/>
          <w:sz w:val="24"/>
          <w:szCs w:val="24"/>
        </w:rPr>
        <w:t xml:space="preserve">- сохранение инфляции на уровне - не выше 9%;</w:t>
      </w:r>
    </w:p>
    <w:p>
      <w:pPr>
        <w:spacing w:after="120"/>
        <w:jc w:val="both"/>
      </w:pPr>
      <w:r>
        <w:rPr>
          <w:rFonts w:ascii="Arial" w:cs="Arial" w:eastAsia="Arial" w:hAnsi="Arial"/>
          <w:sz w:val="24"/>
          <w:szCs w:val="24"/>
        </w:rPr>
        <w:t xml:space="preserve">- удержание дефицита бюджета - в пределах 5,0% к ВВП;</w:t>
      </w:r>
    </w:p>
    <w:p>
      <w:pPr>
        <w:spacing w:after="120"/>
        <w:jc w:val="both"/>
      </w:pPr>
      <w:r>
        <w:rPr>
          <w:rFonts w:ascii="Arial" w:cs="Arial" w:eastAsia="Arial" w:hAnsi="Arial"/>
          <w:sz w:val="24"/>
          <w:szCs w:val="24"/>
        </w:rPr>
        <w:t xml:space="preserve">- рост среднемесячной заработной платы - на 15,5%;</w:t>
      </w:r>
    </w:p>
    <w:p>
      <w:pPr>
        <w:spacing w:after="120"/>
        <w:jc w:val="both"/>
      </w:pPr>
      <w:r>
        <w:rPr>
          <w:rFonts w:ascii="Arial" w:cs="Arial" w:eastAsia="Arial" w:hAnsi="Arial"/>
          <w:sz w:val="24"/>
          <w:szCs w:val="24"/>
        </w:rPr>
        <w:t xml:space="preserve">- полное и своевременное выполнение всех социальных гарантий государства.</w:t>
      </w:r>
    </w:p>
    <w:p>
      <w:pPr>
        <w:spacing w:after="120"/>
        <w:jc w:val="both"/>
      </w:pPr>
      <w:r>
        <w:rPr>
          <w:rFonts w:ascii="Arial" w:cs="Arial" w:eastAsia="Arial" w:hAnsi="Arial"/>
          <w:sz w:val="24"/>
          <w:szCs w:val="24"/>
        </w:rPr>
        <w:t xml:space="preserve">Улучшение макроэкономической стабильности в стране, устойчивый экономический рост, снижение цен на мировых продовольственных и сырьевых рынках создают предпосылки для невысокого инфляционного фона в 2012 году. Правительство и Национальный банк осознают, что фактическое значение инфляции может оказаться выше обозначенного инфляционного ориентира, поэтому будет предпринят комплекс мер, направленных на сдерживание темпов роста цен в стране в 2012 году, что позволит в последующем снизить инфляцию до однозначного уровня.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Восстановление экономики в 2011 году начало приобретать устойчивый характер. Усилия Правительства и Национального банка, направленные на выработку и реализацию комплекса мер экономической политики для восстановления макроэкономической стабильности, внесли свой вклад в экономический рост. Одновременно произошло заметное снижение темпов роста общего уровня цен, но ситуация с инфляцией все еще требует пристального внимания. Наблюдаемая в последние годы динамика потребительских цен показывает, что происходившие значительные колебания инфляции были обусловлены, в большей степени, не монетарными факторами, а именно волатильностью цен на продовольственные товары, главным образом, из-за колебаний цен на мировых товарных и сырьевых рынках.</w:t>
      </w:r>
    </w:p>
    <w:p>
      <w:pPr>
        <w:spacing w:after="120"/>
        <w:jc w:val="both"/>
      </w:pPr>
      <w:r>
        <w:rPr>
          <w:rFonts w:ascii="Arial" w:cs="Arial" w:eastAsia="Arial" w:hAnsi="Arial"/>
          <w:sz w:val="24"/>
          <w:szCs w:val="24"/>
        </w:rPr>
        <w:t xml:space="preserve">Несмотря на некоторое снижение цен на группу продовольственных товаров, в среднесрочной перспективе цены на важные продукты питания все еще остаются на относительно высоких уровнях. Помимо фактора сохранения зависимости от внешней ценовой конъюнктуры, внутренняя ценовая ситуация будет предопределяться, во многом, такими факторами, как структурные реформы сельскохозяйственного сектора, повышение производственного потенциала и конкурентоспособности отечественных товаров, изменения во внешнеэкономической позиции страны, в том числе в связи с процессом вступления в Таможенный союз, баланс между спросом и предложением товаров и услуг, административно-устанавливаемые тарифы. Воздействие монетарных инфляционных факторов будет происходить в большей степени за счет показателей бюджетного дефицита сектора государственных финансов.</w:t>
      </w:r>
    </w:p>
    <w:p>
      <w:pPr>
        <w:spacing w:after="120"/>
        <w:jc w:val="both"/>
      </w:pPr>
      <w:r>
        <w:rPr>
          <w:rFonts w:ascii="Arial" w:cs="Arial" w:eastAsia="Arial" w:hAnsi="Arial"/>
          <w:sz w:val="24"/>
          <w:szCs w:val="24"/>
        </w:rPr>
        <w:t xml:space="preserve">В этих условиях действия Национального банка будут направлены на сдерживание монетарных факторов инфляции посредством применения инструментов денежно-кредитной политики с тем, чтобы сохранить инфляцию к концу 2012 года на уровне не выше 9%. При этом, первоочередными задачами являются формирование адекватных инфляционных ожиданий и восстановление доверия к банковской системе.</w:t>
      </w:r>
    </w:p>
    <w:p>
      <w:pPr>
        <w:spacing w:after="120"/>
        <w:jc w:val="both"/>
      </w:pPr>
      <w:r>
        <w:rPr>
          <w:rFonts w:ascii="Arial" w:cs="Arial" w:eastAsia="Arial" w:hAnsi="Arial"/>
          <w:sz w:val="24"/>
          <w:szCs w:val="24"/>
        </w:rPr>
        <w:t xml:space="preserve">Одной из основных среднесрочных задач Национального банка является дальнейшее повышение эффективности денежно-кредитной политики, в том числе через улучшение работы процентного трансмиссионного механизма, развитие финансовых рынков и усиление конкуренции в банковском секторе. Будет сохраняться политика плавающего обменного курса, при которой валютные интервенции будут проводиться в целях недопущения резких колебаний обменного курса. В случае усиления давления на обменный курс Национальный банк будет избегать значительного сокращения международных резервов, управление которыми осуществляется с соблюдением основных принципов обеспечения ликвидности и безопасности.</w:t>
      </w:r>
    </w:p>
    <w:p>
      <w:pPr>
        <w:spacing w:after="120"/>
        <w:jc w:val="both"/>
      </w:pPr>
      <w:r>
        <w:rPr>
          <w:rFonts w:ascii="Arial" w:cs="Arial" w:eastAsia="Arial" w:hAnsi="Arial"/>
          <w:sz w:val="24"/>
          <w:szCs w:val="24"/>
        </w:rPr>
        <w:t xml:space="preserve">Необходимость развития системы раннего реагирования на предупреждение системных рисков в банковском секторе и совершенствования нормативной правовой базы для проведения процедуры санации проблемных банков в короткие сроки определяет следующие приоритетные направления в деятельности Национального банка в области реализации надзорных функций: а) разработка Банковского кодекса; б) совершенствование регулятивной нормативной базы по вопросам надзора за деятельностью коммерческих банков; в) развитие системы консолидированного надзора; г) внедрение отдельных элементов риск-ориентированного надзора; д) совершенствование системы оценки, анализа и предупреждения банковских рисков.</w:t>
      </w:r>
    </w:p>
    <w:p>
      <w:pPr>
        <w:spacing w:after="120"/>
        <w:jc w:val="both"/>
      </w:pPr>
      <w:r>
        <w:rPr>
          <w:rFonts w:ascii="Arial" w:cs="Arial" w:eastAsia="Arial" w:hAnsi="Arial"/>
          <w:sz w:val="24"/>
          <w:szCs w:val="24"/>
        </w:rPr>
        <w:t xml:space="preserve">В целях оздоровления банковской системы Национальный банк будет решать проблемы с банками, находящимися в особых режимах, до достижения ими полного соответствия регуляторным требованиям или до начала ликвидации.</w:t>
      </w:r>
    </w:p>
    <w:p>
      <w:pPr>
        <w:spacing w:after="120"/>
        <w:jc w:val="both"/>
      </w:pPr>
      <w:r>
        <w:rPr>
          <w:rFonts w:ascii="Arial" w:cs="Arial" w:eastAsia="Arial" w:hAnsi="Arial"/>
          <w:sz w:val="24"/>
          <w:szCs w:val="24"/>
        </w:rPr>
        <w:t xml:space="preserve">В 2012 году ожидается сохранение положительных трендов роста основных показателей деятельности сектора микрофинансирования. В связи с расширением перечня оказываемых микрофинансовых услуг, внедрением принципов защиты прав потребителей, в целях повышения транспарентности оказываемых услуг и конкуренции на рынке микрофинансирования ключевым направлением развития будет совершенствование нормативной правовой базы, регулирующей деятельность небанковских финансово-кредитных учреждений. В части совершенствования надзорной функции будут осуществлены мероприятия по внедрению метода риск-ориентированного надзора за деятельностью небанковских финансово-кредитных учреждений.</w:t>
      </w:r>
    </w:p>
    <w:p>
      <w:pPr>
        <w:spacing w:after="120"/>
        <w:jc w:val="both"/>
      </w:pPr>
      <w:r>
        <w:rPr>
          <w:rFonts w:ascii="Arial" w:cs="Arial" w:eastAsia="Arial" w:hAnsi="Arial"/>
          <w:sz w:val="24"/>
          <w:szCs w:val="24"/>
        </w:rPr>
        <w:t xml:space="preserve">Национальный банк продолжит планомерную работу по развитию рынка розничных платежей в республике, улучшению качества банковского обслуживания населения. Совершенствование нормативной правовой базы, тесное взаимодействие с государственными органами и бизнес-средой будут направлены на поддержку конкуренции и обеспечение защиты конечного пользователя. Возобновление второго этапа реализации Государственной программы мероприятий по увеличению доли безналичных платежей и расчетов на период с 2012 по 2017 годы послужит обеспечению прозрачности денежного обращения и достижению оптимального соотношения наличного и безналичного денежного обращения.</w:t>
      </w:r>
    </w:p>
    <w:p>
      <w:pPr>
        <w:spacing w:after="120"/>
        <w:jc w:val="both"/>
      </w:pPr>
      <w:r>
        <w:rPr>
          <w:rFonts w:ascii="Arial" w:cs="Arial" w:eastAsia="Arial" w:hAnsi="Arial"/>
          <w:sz w:val="24"/>
          <w:szCs w:val="24"/>
        </w:rPr>
        <w:t xml:space="preserve">В целях защиты прав потребителей и снижения финансовых рисков в платежной системе Национальный банк будет осуществлять мероприятия по надзору за функционированием платежной системы страны и обеспечению контроля за корреспондентскими отношениями и технической инфраструктурой платежной системы Кыргызской Республики. Политика в области надзора (оверсайт) за платежной системой будет совершенствоваться с учетом появляющихся на рынке инновационных технологий.</w:t>
      </w:r>
    </w:p>
    <w:p>
      <w:pPr>
        <w:spacing w:after="120"/>
        <w:jc w:val="both"/>
      </w:pPr>
      <w:r>
        <w:rPr>
          <w:rFonts w:ascii="Arial" w:cs="Arial" w:eastAsia="Arial" w:hAnsi="Arial"/>
          <w:sz w:val="24"/>
          <w:szCs w:val="24"/>
        </w:rPr>
        <w:t xml:space="preserve">В 2012 году Национальный банк планирует завершение проекта по внедрению автоматизированной банковской информационной системы и модернизации инфраструктуры финансового рынка, а в среднесрочной перспективе - обновление информационных систем и технологий.</w:t>
      </w:r>
    </w:p>
    <w:p>
      <w:pPr>
        <w:spacing w:after="120"/>
        <w:jc w:val="both"/>
      </w:pPr>
      <w:r>
        <w:rPr>
          <w:rFonts w:ascii="Arial" w:cs="Arial" w:eastAsia="Arial" w:hAnsi="Arial"/>
          <w:sz w:val="24"/>
          <w:szCs w:val="24"/>
        </w:rPr>
        <w:t xml:space="preserve">Согласование действий Правительства и Национального банка в обеспечении макроэкономической стабильности будет проводиться, как минимум, по двум направлениям: разработка согласованных макроэкономических прогнозов в рамках межведомственной рабочей группы и координация денежно-кредитной и налогово-бюджетной политик в рамках межведомственного координационного совета Министерства экономики и антимонопольной политики Кыргызской Республики, Министерства финансов Кыргызской Республики и Национального банка.</w:t>
      </w:r>
    </w:p>
    <w:p>
      <w:pPr>
        <w:spacing w:after="120"/>
        <w:jc w:val="both"/>
      </w:pPr>
      <w:r>
        <w:rPr>
          <w:rFonts w:ascii="Arial" w:cs="Arial" w:eastAsia="Arial" w:hAnsi="Arial"/>
          <w:sz w:val="24"/>
          <w:szCs w:val="24"/>
        </w:rPr>
        <w:t xml:space="preserve">Параметры денежно-кредитной политики зависят от показателей сектора государственных финансов. На момент принятия настоящего заявления законопроект, определяющий параметры республиканского бюджета на 2012 год, еще не прошел процедуру утверждения. Еще одним существенным фактором неопределенности является незавершенность процесса согласования условий вступления страны в Таможенный союз. Данные обстоятельства предопределяют, что прогнозы макроэкономических показателей, включая оценку инфляции, могут быть пересмотрены.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Фискальная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фискальной политики в 2012 году будут: а) совершенствование системы налогового и таможенного администрирования; б) достижение разумного баланса прав предпринимателя и контролирующих органов; в) снижение коррупции; г) обеспечение прозрачности и повышение эффективности деятельности контролирующих органов, повышение качества предоставляемых услуг таможенными органами и сокращение издержек участников внешнеэкономической деятельности, связанных с таможенным оформлением.</w:t>
      </w:r>
    </w:p>
    <w:p>
      <w:pPr>
        <w:spacing w:after="120"/>
        <w:jc w:val="both"/>
      </w:pPr>
      <w:r>
        <w:rPr>
          <w:rFonts w:ascii="Arial" w:cs="Arial" w:eastAsia="Arial" w:hAnsi="Arial"/>
          <w:sz w:val="24"/>
          <w:szCs w:val="24"/>
        </w:rPr>
        <w:t xml:space="preserve">Налоговая политика будет направлена на обеспечение полноты поступления налогов, создания эффективной системы управления. Для достижения данной цели необходимо:</w:t>
      </w:r>
    </w:p>
    <w:p>
      <w:pPr>
        <w:spacing w:after="120"/>
        <w:jc w:val="both"/>
      </w:pPr>
      <w:r>
        <w:rPr>
          <w:rFonts w:ascii="Arial" w:cs="Arial" w:eastAsia="Arial" w:hAnsi="Arial"/>
          <w:sz w:val="24"/>
          <w:szCs w:val="24"/>
        </w:rPr>
        <w:t xml:space="preserve">- применение унифицированного и упрощенного налогообложения с точки зрения его администрирования, стимулирующего легальный бизнес;</w:t>
      </w:r>
    </w:p>
    <w:p>
      <w:pPr>
        <w:spacing w:after="120"/>
        <w:jc w:val="both"/>
      </w:pPr>
      <w:r>
        <w:rPr>
          <w:rFonts w:ascii="Arial" w:cs="Arial" w:eastAsia="Arial" w:hAnsi="Arial"/>
          <w:sz w:val="24"/>
          <w:szCs w:val="24"/>
        </w:rPr>
        <w:t xml:space="preserve">- совершенствование режима патентирования, направленного на качественное администрирование;</w:t>
      </w:r>
    </w:p>
    <w:p>
      <w:pPr>
        <w:spacing w:after="120"/>
        <w:jc w:val="both"/>
      </w:pPr>
      <w:r>
        <w:rPr>
          <w:rFonts w:ascii="Arial" w:cs="Arial" w:eastAsia="Arial" w:hAnsi="Arial"/>
          <w:sz w:val="24"/>
          <w:szCs w:val="24"/>
        </w:rPr>
        <w:t xml:space="preserve">- перевести большинство импортируемых товаров с оценки на основе веса на стоимостную оценку;</w:t>
      </w:r>
    </w:p>
    <w:p>
      <w:pPr>
        <w:spacing w:after="120"/>
        <w:jc w:val="both"/>
      </w:pPr>
      <w:r>
        <w:rPr>
          <w:rFonts w:ascii="Arial" w:cs="Arial" w:eastAsia="Arial" w:hAnsi="Arial"/>
          <w:sz w:val="24"/>
          <w:szCs w:val="24"/>
        </w:rPr>
        <w:t xml:space="preserve">- сосредоточение администрирования социальных сборов и отчетности в Государственной налоговой службе при Правительстве, что приведет к сокращению количества проверяющих органов и нагрузки на бизнес;</w:t>
      </w:r>
    </w:p>
    <w:p>
      <w:pPr>
        <w:spacing w:after="120"/>
        <w:jc w:val="both"/>
      </w:pPr>
      <w:r>
        <w:rPr>
          <w:rFonts w:ascii="Arial" w:cs="Arial" w:eastAsia="Arial" w:hAnsi="Arial"/>
          <w:sz w:val="24"/>
          <w:szCs w:val="24"/>
        </w:rPr>
        <w:t xml:space="preserve">- переход от проведения проверок к системе управления рисками в таможенном и налоговом деле;</w:t>
      </w:r>
    </w:p>
    <w:p>
      <w:pPr>
        <w:spacing w:after="120"/>
        <w:jc w:val="both"/>
      </w:pPr>
      <w:r>
        <w:rPr>
          <w:rFonts w:ascii="Arial" w:cs="Arial" w:eastAsia="Arial" w:hAnsi="Arial"/>
          <w:sz w:val="24"/>
          <w:szCs w:val="24"/>
        </w:rPr>
        <w:t xml:space="preserve">- оптимизировать контроль таможенной стоимости ввозимых товаров;</w:t>
      </w:r>
    </w:p>
    <w:p>
      <w:pPr>
        <w:spacing w:after="120"/>
        <w:jc w:val="both"/>
      </w:pPr>
      <w:r>
        <w:rPr>
          <w:rFonts w:ascii="Arial" w:cs="Arial" w:eastAsia="Arial" w:hAnsi="Arial"/>
          <w:sz w:val="24"/>
          <w:szCs w:val="24"/>
        </w:rPr>
        <w:t xml:space="preserve">- усиление контроля за достоверностью декларирования товаров;</w:t>
      </w:r>
    </w:p>
    <w:p>
      <w:pPr>
        <w:spacing w:after="120"/>
        <w:jc w:val="both"/>
      </w:pPr>
      <w:r>
        <w:rPr>
          <w:rFonts w:ascii="Arial" w:cs="Arial" w:eastAsia="Arial" w:hAnsi="Arial"/>
          <w:sz w:val="24"/>
          <w:szCs w:val="24"/>
        </w:rPr>
        <w:t xml:space="preserve">- проведение масштабных операций по пресечению контрабандного перемещения товаров и транспортных средств через таможенную границу.</w:t>
      </w:r>
    </w:p>
    <w:p>
      <w:pPr>
        <w:spacing w:after="120"/>
        <w:jc w:val="both"/>
      </w:pPr>
      <w:r>
        <w:rPr>
          <w:rFonts w:ascii="Arial" w:cs="Arial" w:eastAsia="Arial" w:hAnsi="Arial"/>
          <w:sz w:val="24"/>
          <w:szCs w:val="24"/>
        </w:rPr>
        <w:t xml:space="preserve">Для модернизации налоговой и таможенной служб предусматривается:</w:t>
      </w:r>
    </w:p>
    <w:p>
      <w:pPr>
        <w:spacing w:after="120"/>
        <w:jc w:val="both"/>
      </w:pPr>
      <w:r>
        <w:rPr>
          <w:rFonts w:ascii="Arial" w:cs="Arial" w:eastAsia="Arial" w:hAnsi="Arial"/>
          <w:sz w:val="24"/>
          <w:szCs w:val="24"/>
        </w:rPr>
        <w:t xml:space="preserve">1) внедрение автоматизированной информационной системы таможенной службы, включающей систему электронной подачи таможенных деклараций и облегчающей обмен информацией между участниками внешнеэкономической деятельности (ВЭД) и таможенными органами;</w:t>
      </w:r>
    </w:p>
    <w:p>
      <w:pPr>
        <w:spacing w:after="120"/>
        <w:jc w:val="both"/>
      </w:pPr>
      <w:r>
        <w:rPr>
          <w:rFonts w:ascii="Arial" w:cs="Arial" w:eastAsia="Arial" w:hAnsi="Arial"/>
          <w:sz w:val="24"/>
          <w:szCs w:val="24"/>
        </w:rPr>
        <w:t xml:space="preserve">2) внедрение автоматизированной информационной системы налоговой службы для подачи налоговой отчетности в электронной форме и современных технологий в налоговое администрирование для упрощения процедур исполнения налогоплательщиками налоговых обязательств;</w:t>
      </w:r>
    </w:p>
    <w:p>
      <w:pPr>
        <w:spacing w:after="120"/>
        <w:jc w:val="both"/>
      </w:pPr>
      <w:r>
        <w:rPr>
          <w:rFonts w:ascii="Arial" w:cs="Arial" w:eastAsia="Arial" w:hAnsi="Arial"/>
          <w:sz w:val="24"/>
          <w:szCs w:val="24"/>
        </w:rPr>
        <w:t xml:space="preserve">3) автоматизация процедур налогового контроля с внедрением эффективной системы налоговых проверок с учетом факторов риска (создание системы электронного мониторинга по проверкам налогоплательщиков);</w:t>
      </w:r>
    </w:p>
    <w:p>
      <w:pPr>
        <w:spacing w:after="120"/>
        <w:jc w:val="both"/>
      </w:pPr>
      <w:r>
        <w:rPr>
          <w:rFonts w:ascii="Arial" w:cs="Arial" w:eastAsia="Arial" w:hAnsi="Arial"/>
          <w:sz w:val="24"/>
          <w:szCs w:val="24"/>
        </w:rPr>
        <w:t xml:space="preserve">4) выявление на системной основе новых способов и схем, использующихся для уклонения от налогообложения, и дальнейшее внедрение мер по устранению причин, способствовавших их появлению;</w:t>
      </w:r>
    </w:p>
    <w:p>
      <w:pPr>
        <w:spacing w:after="120"/>
        <w:jc w:val="both"/>
      </w:pPr>
      <w:r>
        <w:rPr>
          <w:rFonts w:ascii="Arial" w:cs="Arial" w:eastAsia="Arial" w:hAnsi="Arial"/>
          <w:sz w:val="24"/>
          <w:szCs w:val="24"/>
        </w:rPr>
        <w:t xml:space="preserve">5) внедрение новых прогрессивных технологий таможенного администрирования.</w:t>
      </w:r>
    </w:p>
    <w:p>
      <w:pPr>
        <w:spacing w:after="120"/>
        <w:jc w:val="both"/>
      </w:pPr>
      <w:r>
        <w:rPr>
          <w:rFonts w:ascii="Arial" w:cs="Arial" w:eastAsia="Arial" w:hAnsi="Arial"/>
          <w:sz w:val="24"/>
          <w:szCs w:val="24"/>
        </w:rPr>
        <w:t xml:space="preserve">Для повышения доверия общественности к налоговой и таможенной службам и снижения уровня коррупции планируется:</w:t>
      </w:r>
    </w:p>
    <w:p>
      <w:pPr>
        <w:spacing w:after="120"/>
        <w:jc w:val="both"/>
      </w:pPr>
      <w:r>
        <w:rPr>
          <w:rFonts w:ascii="Arial" w:cs="Arial" w:eastAsia="Arial" w:hAnsi="Arial"/>
          <w:sz w:val="24"/>
          <w:szCs w:val="24"/>
        </w:rPr>
        <w:t xml:space="preserve">1) создать 3 центра обработки налоговых деклараций (по южному, северному и восточному регионам);</w:t>
      </w:r>
    </w:p>
    <w:p>
      <w:pPr>
        <w:spacing w:after="120"/>
        <w:jc w:val="both"/>
      </w:pPr>
      <w:r>
        <w:rPr>
          <w:rFonts w:ascii="Arial" w:cs="Arial" w:eastAsia="Arial" w:hAnsi="Arial"/>
          <w:sz w:val="24"/>
          <w:szCs w:val="24"/>
        </w:rPr>
        <w:t xml:space="preserve">2) оснастить многосторонние пункты пропуска системами видеонаблюдения;</w:t>
      </w:r>
    </w:p>
    <w:p>
      <w:pPr>
        <w:spacing w:after="120"/>
        <w:jc w:val="both"/>
      </w:pPr>
      <w:r>
        <w:rPr>
          <w:rFonts w:ascii="Arial" w:cs="Arial" w:eastAsia="Arial" w:hAnsi="Arial"/>
          <w:sz w:val="24"/>
          <w:szCs w:val="24"/>
        </w:rPr>
        <w:t xml:space="preserve">3) разработать и внедрить в органах налоговой и таможенной служб информационные программы по профилактике коррупционных аспектов прохождения службы;</w:t>
      </w:r>
    </w:p>
    <w:p>
      <w:pPr>
        <w:spacing w:after="120"/>
        <w:jc w:val="both"/>
      </w:pPr>
      <w:r>
        <w:rPr>
          <w:rFonts w:ascii="Arial" w:cs="Arial" w:eastAsia="Arial" w:hAnsi="Arial"/>
          <w:sz w:val="24"/>
          <w:szCs w:val="24"/>
        </w:rPr>
        <w:t xml:space="preserve">4) внедрить систематическое анкетирование налогоплательщиков и субъектов ВЭД о степени коррупции в налоговых и таможенных органах;</w:t>
      </w:r>
    </w:p>
    <w:p>
      <w:pPr>
        <w:spacing w:after="120"/>
        <w:jc w:val="both"/>
      </w:pPr>
      <w:r>
        <w:rPr>
          <w:rFonts w:ascii="Arial" w:cs="Arial" w:eastAsia="Arial" w:hAnsi="Arial"/>
          <w:sz w:val="24"/>
          <w:szCs w:val="24"/>
        </w:rPr>
        <w:t xml:space="preserve">5) обеспечить открытость административных процессов налоговой службы путем информирования налогоплательщиков о ее услугах, образцах заполняемых форм документов, возможностях заполнения и подачи документов в электронной форме, порядке оборота документов, порядке оспаривания и обжалования решений.</w:t>
      </w:r>
    </w:p>
    <w:p>
      <w:pPr>
        <w:spacing w:after="120"/>
        <w:jc w:val="both"/>
      </w:pPr>
      <w:r>
        <w:rPr>
          <w:rFonts w:ascii="Arial" w:cs="Arial" w:eastAsia="Arial" w:hAnsi="Arial"/>
          <w:sz w:val="24"/>
          <w:szCs w:val="24"/>
        </w:rPr>
        <w:t xml:space="preserve">Для повышения качества предоставляемых услуг таможенными органами и сокращения издержек участников ВЭД, связанных с таможенным оформлением и таможенным контролем, предусматривается:</w:t>
      </w:r>
    </w:p>
    <w:p>
      <w:pPr>
        <w:spacing w:after="120"/>
        <w:jc w:val="both"/>
      </w:pPr>
      <w:r>
        <w:rPr>
          <w:rFonts w:ascii="Arial" w:cs="Arial" w:eastAsia="Arial" w:hAnsi="Arial"/>
          <w:sz w:val="24"/>
          <w:szCs w:val="24"/>
        </w:rPr>
        <w:t xml:space="preserve">- увеличение пропускной способности пунктов пропуска через государственную границу, в частности, многостороннего пункта пропуска "Ак-жол автодорожный";</w:t>
      </w:r>
    </w:p>
    <w:p>
      <w:pPr>
        <w:spacing w:after="120"/>
        <w:jc w:val="both"/>
      </w:pPr>
      <w:r>
        <w:rPr>
          <w:rFonts w:ascii="Arial" w:cs="Arial" w:eastAsia="Arial" w:hAnsi="Arial"/>
          <w:sz w:val="24"/>
          <w:szCs w:val="24"/>
        </w:rPr>
        <w:t xml:space="preserve">- разделение пассажирского и грузового потока для сокращения времени при переходе границы;</w:t>
      </w:r>
    </w:p>
    <w:p>
      <w:pPr>
        <w:spacing w:after="120"/>
        <w:jc w:val="both"/>
      </w:pPr>
      <w:r>
        <w:rPr>
          <w:rFonts w:ascii="Arial" w:cs="Arial" w:eastAsia="Arial" w:hAnsi="Arial"/>
          <w:sz w:val="24"/>
          <w:szCs w:val="24"/>
        </w:rPr>
        <w:t xml:space="preserve">- установление максимального времени ожидания и проверки;</w:t>
      </w:r>
    </w:p>
    <w:p>
      <w:pPr>
        <w:spacing w:after="120"/>
        <w:jc w:val="both"/>
      </w:pPr>
      <w:r>
        <w:rPr>
          <w:rFonts w:ascii="Arial" w:cs="Arial" w:eastAsia="Arial" w:hAnsi="Arial"/>
          <w:sz w:val="24"/>
          <w:szCs w:val="24"/>
        </w:rPr>
        <w:t xml:space="preserve">- расширение практики информирования и консультирования участников ВЭД;</w:t>
      </w:r>
    </w:p>
    <w:p>
      <w:pPr>
        <w:spacing w:after="120"/>
        <w:jc w:val="both"/>
      </w:pPr>
      <w:r>
        <w:rPr>
          <w:rFonts w:ascii="Arial" w:cs="Arial" w:eastAsia="Arial" w:hAnsi="Arial"/>
          <w:sz w:val="24"/>
          <w:szCs w:val="24"/>
        </w:rPr>
        <w:t xml:space="preserve">- рассмотрение вопроса внедрения GPS системы (Global Positio№i№g System - глобальная система позиционирования) и полный отказ от таможенного сопровождения.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Бюджетная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политики государственных расходов в 2012 году будет полное и своевременное финансирование социальных гарантий государства, создание благоприятных условий для экономического роста, повышение эффективности использования государственных ресурсов с внедрением системы их экономической оценки.</w:t>
      </w:r>
    </w:p>
    <w:p>
      <w:pPr>
        <w:spacing w:after="120"/>
        <w:jc w:val="both"/>
      </w:pPr>
      <w:r>
        <w:rPr>
          <w:rFonts w:ascii="Arial" w:cs="Arial" w:eastAsia="Arial" w:hAnsi="Arial"/>
          <w:sz w:val="24"/>
          <w:szCs w:val="24"/>
        </w:rPr>
        <w:t xml:space="preserve">Основными направлениями бюджетной политики на 2012 год являются:</w:t>
      </w:r>
    </w:p>
    <w:p>
      <w:pPr>
        <w:spacing w:after="120"/>
        <w:jc w:val="both"/>
      </w:pPr>
      <w:r>
        <w:rPr>
          <w:rFonts w:ascii="Arial" w:cs="Arial" w:eastAsia="Arial" w:hAnsi="Arial"/>
          <w:sz w:val="24"/>
          <w:szCs w:val="24"/>
        </w:rPr>
        <w:t xml:space="preserve">- повышение эффективности использования государственных ресурсов;</w:t>
      </w:r>
    </w:p>
    <w:p>
      <w:pPr>
        <w:spacing w:after="120"/>
        <w:jc w:val="both"/>
      </w:pPr>
      <w:r>
        <w:rPr>
          <w:rFonts w:ascii="Arial" w:cs="Arial" w:eastAsia="Arial" w:hAnsi="Arial"/>
          <w:sz w:val="24"/>
          <w:szCs w:val="24"/>
        </w:rPr>
        <w:t xml:space="preserve">- выполнение государственных обязательств и социальных гарантий;</w:t>
      </w:r>
    </w:p>
    <w:p>
      <w:pPr>
        <w:spacing w:after="120"/>
        <w:jc w:val="both"/>
      </w:pPr>
      <w:r>
        <w:rPr>
          <w:rFonts w:ascii="Arial" w:cs="Arial" w:eastAsia="Arial" w:hAnsi="Arial"/>
          <w:sz w:val="24"/>
          <w:szCs w:val="24"/>
        </w:rPr>
        <w:t xml:space="preserve">- уменьшение межрегиональной дифференциации уровня жизни населения;</w:t>
      </w:r>
    </w:p>
    <w:p>
      <w:pPr>
        <w:spacing w:after="120"/>
        <w:jc w:val="both"/>
      </w:pPr>
      <w:r>
        <w:rPr>
          <w:rFonts w:ascii="Arial" w:cs="Arial" w:eastAsia="Arial" w:hAnsi="Arial"/>
          <w:sz w:val="24"/>
          <w:szCs w:val="24"/>
        </w:rPr>
        <w:t xml:space="preserve">- снижение дефицита бюджета;</w:t>
      </w:r>
    </w:p>
    <w:p>
      <w:pPr>
        <w:spacing w:after="120"/>
        <w:jc w:val="both"/>
      </w:pPr>
      <w:r>
        <w:rPr>
          <w:rFonts w:ascii="Arial" w:cs="Arial" w:eastAsia="Arial" w:hAnsi="Arial"/>
          <w:sz w:val="24"/>
          <w:szCs w:val="24"/>
        </w:rPr>
        <w:t xml:space="preserve">- активизация инвестиционного процесса.</w:t>
      </w:r>
    </w:p>
    <w:p>
      <w:pPr>
        <w:spacing w:after="120"/>
        <w:jc w:val="both"/>
      </w:pPr>
      <w:r>
        <w:rPr>
          <w:rFonts w:ascii="Arial" w:cs="Arial" w:eastAsia="Arial" w:hAnsi="Arial"/>
          <w:sz w:val="24"/>
          <w:szCs w:val="24"/>
        </w:rPr>
        <w:t xml:space="preserve">В 2012 году будет продолжена работа по совершенствованию формата и процедур разработки Среднесрочного прогноза бюджета, определяющего бюджетную политику страны. Будет продолжено внедрение программного формата представления расходов, позволяющего повысить эффективность и прозрачность расходования бюджетных средств.</w:t>
      </w:r>
    </w:p>
    <w:p>
      <w:pPr>
        <w:spacing w:after="120"/>
        <w:jc w:val="both"/>
      </w:pPr>
      <w:r>
        <w:rPr>
          <w:rFonts w:ascii="Arial" w:cs="Arial" w:eastAsia="Arial" w:hAnsi="Arial"/>
          <w:sz w:val="24"/>
          <w:szCs w:val="24"/>
        </w:rPr>
        <w:t xml:space="preserve">В настоящее время сохраняется тенденция роста расходных обязательств государства, что приводит к увеличению бюджетного дефицита из года в год. Значительный бюджетный дефицит диктует необходимость его оптимизации, как путем улучшения традиционных механизмов, так и путем поиска альтернативных источников доходов. Это - увеличение бюджетных поступлений через привлечение дополнительных инвестиций в реальный сектор экономики, пересмотр налоговых льгот, упрощение налоговых процедур, улучшение всей системы управления.</w:t>
      </w:r>
    </w:p>
    <w:p>
      <w:pPr>
        <w:spacing w:after="120"/>
        <w:jc w:val="both"/>
      </w:pPr>
      <w:r>
        <w:rPr>
          <w:rFonts w:ascii="Arial" w:cs="Arial" w:eastAsia="Arial" w:hAnsi="Arial"/>
          <w:sz w:val="24"/>
          <w:szCs w:val="24"/>
        </w:rPr>
        <w:t xml:space="preserve">Политика по сокращению расходов будет направлена на сокращение количества лицензий и разрешений, на реформу контрольно-надзорной сферы, упорядочение в сфере государственных услуг и сокращение штатной численности государственных служащих.</w:t>
      </w:r>
    </w:p>
    <w:p>
      <w:pPr>
        <w:spacing w:after="120"/>
        <w:jc w:val="both"/>
      </w:pPr>
      <w:r>
        <w:rPr>
          <w:rFonts w:ascii="Arial" w:cs="Arial" w:eastAsia="Arial" w:hAnsi="Arial"/>
          <w:sz w:val="24"/>
          <w:szCs w:val="24"/>
        </w:rPr>
        <w:t xml:space="preserve">Для эффективного управления государственными финансами будет усовершенствован Среднесрочный план действий по реформированию системы управления государственными финансами Кыргызской Республики на 2009-2013 годы.</w:t>
      </w:r>
    </w:p>
    <w:p>
      <w:pPr>
        <w:spacing w:after="120"/>
        <w:jc w:val="both"/>
      </w:pPr>
      <w:r>
        <w:rPr>
          <w:rFonts w:ascii="Arial" w:cs="Arial" w:eastAsia="Arial" w:hAnsi="Arial"/>
          <w:sz w:val="24"/>
          <w:szCs w:val="24"/>
        </w:rPr>
        <w:t xml:space="preserve">В рамках реформирования системы управления государственными финансами будет разработан Бюджетный кодекс Кыргызской Республики, проведена работа по автоматизации бюджетного процесса и совершенствованию системы межбюджетных отношений.</w:t>
      </w:r>
    </w:p>
    <w:p>
      <w:pPr>
        <w:spacing w:after="120"/>
        <w:jc w:val="both"/>
      </w:pPr>
      <w:r>
        <w:rPr>
          <w:rFonts w:ascii="Arial" w:cs="Arial" w:eastAsia="Arial" w:hAnsi="Arial"/>
          <w:sz w:val="24"/>
          <w:szCs w:val="24"/>
        </w:rPr>
        <w:t xml:space="preserve">Реформа структуры неналоговых платежей будет направлена на оптимизацию государственных платных услуг и эффективное управление государственной собственностью и природными ресурсами.</w:t>
      </w:r>
    </w:p>
    <w:p>
      <w:pPr>
        <w:spacing w:after="120"/>
        <w:jc w:val="both"/>
      </w:pPr>
      <w:r>
        <w:rPr>
          <w:rFonts w:ascii="Arial" w:cs="Arial" w:eastAsia="Arial" w:hAnsi="Arial"/>
          <w:sz w:val="24"/>
          <w:szCs w:val="24"/>
        </w:rPr>
        <w:t xml:space="preserve">Будут принята специальная программа по улучшению администрирования со стороны налоговых и таможенных органов, а также выполнены все обязательства Правительства для обеспечения поступления грантов в бюджет по линии договоров с международными организациями. Доходы бюджета будут учитывать положения Меморандума с МВФ.</w:t>
      </w:r>
    </w:p>
    <w:p>
      <w:pPr>
        <w:spacing w:after="120"/>
        <w:jc w:val="both"/>
      </w:pPr>
      <w:r>
        <w:rPr>
          <w:rFonts w:ascii="Arial" w:cs="Arial" w:eastAsia="Arial" w:hAnsi="Arial"/>
          <w:sz w:val="24"/>
          <w:szCs w:val="24"/>
        </w:rPr>
        <w:t xml:space="preserve">В целях эффективного управления государственными финансами, помимо сокращения структуры государственного аппарата, будет введен механизм результативности бюджетных затрат, предполагающий планирование и использование бюджетных расходов под конкретные программы и проекты. Это позволит направить освободившиеся средства на развитие экономики, что в последующем приведет к росту поступления доходов.</w:t>
      </w:r>
    </w:p>
    <w:p>
      <w:pPr>
        <w:spacing w:after="120"/>
        <w:jc w:val="both"/>
      </w:pPr>
      <w:r>
        <w:rPr>
          <w:rFonts w:ascii="Arial" w:cs="Arial" w:eastAsia="Arial" w:hAnsi="Arial"/>
          <w:sz w:val="24"/>
          <w:szCs w:val="24"/>
        </w:rPr>
        <w:t xml:space="preserve">В рамках совершенствования бюджетной политики будут пересмотрены подходы к управлению государственным долгом. Для улучшения ситуации с внешним долгом в 2012 году будет разработана и принята новая Стратегия по управлению государственным долгом.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Государственный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государственным долгом будет осуществляться в направлении постепенного снижения бремени долга, в том числе за счет сокращения внешних заимствований при одновременном соблюдении установленного графика выплат по внешнему долгу. В рамках новой Стратегии управления государственным долгом Кыргызской Республики на среднесрочную перспективу и в целях достижения устойчивого уровня государственного долга, оптимизации его структуры и создания основы для эффективного управления государственным долгом предполагается:</w:t>
      </w:r>
    </w:p>
    <w:p>
      <w:pPr>
        <w:spacing w:after="120"/>
        <w:jc w:val="both"/>
      </w:pPr>
      <w:r>
        <w:rPr>
          <w:rFonts w:ascii="Arial" w:cs="Arial" w:eastAsia="Arial" w:hAnsi="Arial"/>
          <w:sz w:val="24"/>
          <w:szCs w:val="24"/>
        </w:rPr>
        <w:t xml:space="preserve">- уменьшение бремени государственного внешнего долга;</w:t>
      </w:r>
    </w:p>
    <w:p>
      <w:pPr>
        <w:spacing w:after="120"/>
        <w:jc w:val="both"/>
      </w:pPr>
      <w:r>
        <w:rPr>
          <w:rFonts w:ascii="Arial" w:cs="Arial" w:eastAsia="Arial" w:hAnsi="Arial"/>
          <w:sz w:val="24"/>
          <w:szCs w:val="24"/>
        </w:rPr>
        <w:t xml:space="preserve">- своевременное обслуживание государственного долга;</w:t>
      </w:r>
    </w:p>
    <w:p>
      <w:pPr>
        <w:spacing w:after="120"/>
        <w:jc w:val="both"/>
      </w:pPr>
      <w:r>
        <w:rPr>
          <w:rFonts w:ascii="Arial" w:cs="Arial" w:eastAsia="Arial" w:hAnsi="Arial"/>
          <w:sz w:val="24"/>
          <w:szCs w:val="24"/>
        </w:rPr>
        <w:t xml:space="preserve">- рассмотрение возможности дальнейшей реструктуризации внешнего долга;</w:t>
      </w:r>
    </w:p>
    <w:p>
      <w:pPr>
        <w:spacing w:after="120"/>
        <w:jc w:val="both"/>
      </w:pPr>
      <w:r>
        <w:rPr>
          <w:rFonts w:ascii="Arial" w:cs="Arial" w:eastAsia="Arial" w:hAnsi="Arial"/>
          <w:sz w:val="24"/>
          <w:szCs w:val="24"/>
        </w:rPr>
        <w:t xml:space="preserve">- проведение конверсионных операций с двусторонними кредиторами;</w:t>
      </w:r>
    </w:p>
    <w:p>
      <w:pPr>
        <w:spacing w:after="120"/>
        <w:jc w:val="both"/>
      </w:pPr>
      <w:r>
        <w:rPr>
          <w:rFonts w:ascii="Arial" w:cs="Arial" w:eastAsia="Arial" w:hAnsi="Arial"/>
          <w:sz w:val="24"/>
          <w:szCs w:val="24"/>
        </w:rPr>
        <w:t xml:space="preserve">- привлечение льготных внешних кредитов с грант-элементом не менее 35% на эффективные и экономически обоснованные проекты;</w:t>
      </w:r>
    </w:p>
    <w:p>
      <w:pPr>
        <w:spacing w:after="120"/>
        <w:jc w:val="both"/>
      </w:pPr>
      <w:r>
        <w:rPr>
          <w:rFonts w:ascii="Arial" w:cs="Arial" w:eastAsia="Arial" w:hAnsi="Arial"/>
          <w:sz w:val="24"/>
          <w:szCs w:val="24"/>
        </w:rPr>
        <w:t xml:space="preserve">- расширение круга держателей государственных ценных бумаг посредством развития как первичного, так и вторичного рынка государственных ценных бумаг;</w:t>
      </w:r>
    </w:p>
    <w:p>
      <w:pPr>
        <w:spacing w:after="120"/>
        <w:jc w:val="both"/>
      </w:pPr>
      <w:r>
        <w:rPr>
          <w:rFonts w:ascii="Arial" w:cs="Arial" w:eastAsia="Arial" w:hAnsi="Arial"/>
          <w:sz w:val="24"/>
          <w:szCs w:val="24"/>
        </w:rPr>
        <w:t xml:space="preserve">- рост объема внутренних заимствований посредством выпуска и размещения государственных ценных бумаг;</w:t>
      </w:r>
    </w:p>
    <w:p>
      <w:pPr>
        <w:spacing w:after="120"/>
        <w:jc w:val="both"/>
      </w:pPr>
      <w:r>
        <w:rPr>
          <w:rFonts w:ascii="Arial" w:cs="Arial" w:eastAsia="Arial" w:hAnsi="Arial"/>
          <w:sz w:val="24"/>
          <w:szCs w:val="24"/>
        </w:rPr>
        <w:t xml:space="preserve">- внедрение практики управления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Развитие реального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промышленном секторе(1) в 2012 году прогнозируется прирост на 7,6% с удельным весом 19,9% к ВВП. Без учета предприятий по разработке месторождения "Кумтор", рост промышленного производства прогнозируется на уровне 10,8% за счет устойчивой работы производств горнодобывающей и обрабатывающей отраслей.</w:t>
      </w:r>
    </w:p>
    <w:p>
      <w:pPr>
        <w:spacing w:after="120"/>
        <w:jc w:val="both"/>
      </w:pPr>
      <w:r>
        <w:rPr>
          <w:rFonts w:ascii="Arial" w:cs="Arial" w:eastAsia="Arial" w:hAnsi="Arial"/>
          <w:sz w:val="24"/>
          <w:szCs w:val="24"/>
        </w:rPr>
        <w:t xml:space="preserve">В обрабатывающей промышленности прогнозируется рост производства на 8,0%, за счет увеличения объемов производства пищевых продуктов, включая напитки и табак, на 6,8%, в текстильном и швейном производстве - на 7,8%, химическом производстве - на 29,7%, производстве прочих неметаллических минеральных продуктов - на 26,1%, металлургическом производстве - на 6,9%.</w:t>
      </w:r>
    </w:p>
    <w:p>
      <w:pPr>
        <w:spacing w:after="120"/>
        <w:jc w:val="both"/>
      </w:pPr>
      <w:r>
        <w:rPr>
          <w:rFonts w:ascii="Arial" w:cs="Arial" w:eastAsia="Arial" w:hAnsi="Arial"/>
          <w:sz w:val="24"/>
          <w:szCs w:val="24"/>
        </w:rPr>
        <w:t xml:space="preserve">Увеличение переработки сельскохозяйственной продукции прогнозируется за счет роста производства пищевых продуктов, включая напитки и табак, сахар, муку, растительное масло, а также за счет сокращения объемов теневой деятельности в алкогольной и табачной отраслях. Выполнение прогнозируемых показателей предусматривается осуществлять в рамках Программы развития пищевой и перерабатывающей промышленности на 2012-2015 годы.</w:t>
      </w:r>
    </w:p>
    <w:p>
      <w:pPr>
        <w:spacing w:after="120"/>
        <w:jc w:val="both"/>
      </w:pPr>
      <w:r>
        <w:rPr>
          <w:rFonts w:ascii="Arial" w:cs="Arial" w:eastAsia="Arial" w:hAnsi="Arial"/>
          <w:sz w:val="24"/>
          <w:szCs w:val="24"/>
        </w:rPr>
        <w:t xml:space="preserve">Прогнозные показатели текстильного и швейного производства в 2012 году планируется обеспечить за счет наращивания объемов производства действующих предприятий: акционерного общества ОАО "Касиет", ОсОО "Розквит", Бишкекской кенафной фабрики, АО "Илбирс", ОсОО "Кара-Балта Килем" и др., расширения рынков сбыта и увеличения экспортных поставок, создания новых производств.</w:t>
      </w:r>
    </w:p>
    <w:p>
      <w:pPr>
        <w:spacing w:after="120"/>
        <w:jc w:val="both"/>
      </w:pPr>
      <w:r>
        <w:rPr>
          <w:rFonts w:ascii="Arial" w:cs="Arial" w:eastAsia="Arial" w:hAnsi="Arial"/>
          <w:sz w:val="24"/>
          <w:szCs w:val="24"/>
        </w:rPr>
        <w:t xml:space="preserve">В целях выполнения прогнозных показателей предусматривается продолжение реализации Стратегии развития текстильной и швейной промышленности на 2011-2013 годы, а также мер по расширению действующих и введению новых швейных производств, продвижение швейной продукции на международные рынки, создание благоприятных условий по увеличению экспорта.</w:t>
      </w:r>
    </w:p>
    <w:p>
      <w:pPr>
        <w:spacing w:after="120"/>
        <w:jc w:val="both"/>
      </w:pPr>
      <w:r>
        <w:rPr>
          <w:rFonts w:ascii="Arial" w:cs="Arial" w:eastAsia="Arial" w:hAnsi="Arial"/>
          <w:sz w:val="24"/>
          <w:szCs w:val="24"/>
        </w:rPr>
        <w:t xml:space="preserve">Увеличение объемов производства в химическом производстве прогнозируется за счет активизации деятельности закрытого акционерного общества (ЗАО) "Таш-Кумыр Солар" (ОАО "Кристалл") и стабилизации деятельности предприятий ОсОО "КХМЗ-Астра" и Хайдарканское ртутное АО.</w:t>
      </w:r>
    </w:p>
    <w:p>
      <w:pPr>
        <w:spacing w:after="120"/>
        <w:jc w:val="both"/>
      </w:pPr>
      <w:r>
        <w:rPr>
          <w:rFonts w:ascii="Arial" w:cs="Arial" w:eastAsia="Arial" w:hAnsi="Arial"/>
          <w:sz w:val="24"/>
          <w:szCs w:val="24"/>
        </w:rPr>
        <w:t xml:space="preserve">В производстве строительных материалов прогнозируемый существенный рост производства, в большей степени, будет обусловлен запуском стекольного завода ОсОО "Интергласс" в мае-июне 2012 года, после продолжительного ремонта, удельный вес которого в общем объеме производства строительных материалов составляет порядка 20%, а также продолжением освоения мощностей цементного производства (наибольший удельный вес в отрасли - свыше 50%), в частности, освоение мощностей ЗАО "Южно-Кыргызский Цемент". С целью оказания государственной поддержки ОсОО "Интергласс" Законом Кыргызской Республики от 9 июня 2011 года внесены изменения и дополнения в Налоговый кодекс Кыргызской Республики, в части отмены НДС на импорт оборудования для модернизации стекольного производства. Продолжится освоение новых видов строительной продукции, так например, в производстве пескоблока прогнозируется рост в 1,5 раза, добыче гипса - в 1,7 и изделий из него - в 3 раза.</w:t>
      </w:r>
    </w:p>
    <w:p>
      <w:pPr>
        <w:spacing w:after="120"/>
        <w:jc w:val="both"/>
      </w:pPr>
      <w:r>
        <w:rPr>
          <w:rFonts w:ascii="Arial" w:cs="Arial" w:eastAsia="Arial" w:hAnsi="Arial"/>
          <w:sz w:val="24"/>
          <w:szCs w:val="24"/>
        </w:rPr>
        <w:t xml:space="preserve">Рост в металлургическом производстве прогнозируется, в основном, за счет увеличения производства в золотодобывающей отрасли, где основную долю занимают предприятия, разрабатывающие месторождение "Кумтор", с реальным ростом на 5,0%. При этом работа предприятий ОАО "Кыргызалтын" прогнозируется с увеличением добычи золота на 20,0%. Кроме того, в металлургическом производстве увеличение добычи прогнозируется за счет освоения и добычи золота на месторождениях Иштамберды, Жамгыр, Бозымчак, Караказык.</w:t>
      </w:r>
    </w:p>
    <w:p>
      <w:pPr>
        <w:spacing w:after="120"/>
        <w:jc w:val="both"/>
      </w:pPr>
      <w:r>
        <w:rPr>
          <w:rFonts w:ascii="Arial" w:cs="Arial" w:eastAsia="Arial" w:hAnsi="Arial"/>
          <w:sz w:val="24"/>
          <w:szCs w:val="24"/>
        </w:rPr>
        <w:t xml:space="preserve">В горнодобывающей промышленности прогнозируется, что темп реального роста производства на 7,8% будет достигнут за счет: а) увеличения добычи угля, лигнита и торфа в 1,2 раза; б) увеличения добычи нефти на 4,7% через технологическое обновление оборудования по добыче нефти и более полную загрузку нефтеперерабатывающих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Без учета стоимости переработанного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 будет оставаться приоритетным, поскольку в этом секторе занята одна треть численности населения и 65% населения страны проживает в сельской местности. Темп реального прироста в 2012 году прогнозируется на уровне 3,5%, за счет прироста в растениеводстве на 4,9% и животноводстве - на 2,0%.</w:t>
      </w:r>
    </w:p>
    <w:p>
      <w:pPr>
        <w:spacing w:after="120"/>
        <w:jc w:val="both"/>
      </w:pPr>
      <w:r>
        <w:rPr>
          <w:rFonts w:ascii="Arial" w:cs="Arial" w:eastAsia="Arial" w:hAnsi="Arial"/>
          <w:sz w:val="24"/>
          <w:szCs w:val="24"/>
        </w:rPr>
        <w:t xml:space="preserve">В 2012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углубления земельной реформы, рационального использования пастбищ, повышения урожайности технических культур, своевременного проведения весенне-полевых работ, оптимизации структуры посевных площадей, повышения доступа к кредитным ресурсам, улучшения сортов семян, обновления машинно-тракторного парка.</w:t>
      </w:r>
    </w:p>
    <w:p>
      <w:pPr>
        <w:spacing w:after="120"/>
        <w:jc w:val="both"/>
      </w:pPr>
      <w:r>
        <w:rPr>
          <w:rFonts w:ascii="Arial" w:cs="Arial" w:eastAsia="Arial" w:hAnsi="Arial"/>
          <w:sz w:val="24"/>
          <w:szCs w:val="24"/>
        </w:rPr>
        <w:t xml:space="preserve">Реальный прирост в животноводстве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w:t>
      </w:r>
    </w:p>
    <w:p>
      <w:pPr>
        <w:spacing w:after="120"/>
        <w:jc w:val="both"/>
      </w:pPr>
      <w:r>
        <w:rPr>
          <w:rFonts w:ascii="Arial" w:cs="Arial" w:eastAsia="Arial" w:hAnsi="Arial"/>
          <w:sz w:val="24"/>
          <w:szCs w:val="24"/>
        </w:rPr>
        <w:t xml:space="preserve">В региональном разрезе наибольший вклад в производство сельхозпродукции планируется от деятельности Чуйской, Иссык-Кульской, Джалал-Абадской и Ошской областей, суммарная доля которых составит 75,2% от валового выпуска сельскохозяйственной продукции. Риском в данном секторе будет рост цен на топливо и ГСМ, а также дефицит минеральных удобрений и природно-климатический фактор.</w:t>
      </w:r>
    </w:p>
    <w:p>
      <w:pPr>
        <w:spacing w:after="120"/>
        <w:jc w:val="both"/>
      </w:pPr>
      <w:r>
        <w:rPr>
          <w:rFonts w:ascii="Arial" w:cs="Arial" w:eastAsia="Arial" w:hAnsi="Arial"/>
          <w:sz w:val="24"/>
          <w:szCs w:val="24"/>
        </w:rPr>
        <w:t xml:space="preserve">В реализации намеченных мер значительная поддержка будет оказана в рамках реализуемых проектов программ государственных инвестиций: "Агробизнес и маркетинг", "Проект сельских инвестиций и услуг", "Второй проект внутрихозяйственного орошения", "Улучшение управления водными ресурсами" и др.</w:t>
      </w:r>
    </w:p>
    <w:p>
      <w:pPr>
        <w:spacing w:after="120"/>
        <w:jc w:val="both"/>
      </w:pPr>
      <w:r>
        <w:rPr>
          <w:rFonts w:ascii="Arial" w:cs="Arial" w:eastAsia="Arial" w:hAnsi="Arial"/>
          <w:sz w:val="24"/>
          <w:szCs w:val="24"/>
        </w:rPr>
        <w:t xml:space="preserve">Кроме того, прирост в сельском хозяйстве ожидается с учетом запланированного предоставления льготных кредитов сельскохозяйственным производителям в размере 1 млрд. сомов по проекту "Доступные кредиты фермерам-2", разработанному в целях оказания государственной помощи отечественным производителям на весенне-полевые работы в 2012 году и развитие животноводства в 2012-2013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 реального роста в строительном секторе в 2012 году прогнозируется на уровне 124,6%. Расходы на капитальные вложения планируется направить на строительство и реконструкцию объектов социально-экономического значения (в сфере образования, здравоохранения, культуры и спорта, жилищного строительства), на строительство и реконструкцию автодорог в республике. Средства, предусмотренные на восстановление и развитие городов Ош и Джалал-Абад, будут направлены на продолжение работ по восстановлению и развитию жилья, социальной и инженерной инфраструктуры городов.</w:t>
      </w:r>
    </w:p>
    <w:p>
      <w:pPr>
        <w:spacing w:after="120"/>
        <w:jc w:val="both"/>
      </w:pPr>
      <w:r>
        <w:rPr>
          <w:rFonts w:ascii="Arial" w:cs="Arial" w:eastAsia="Arial" w:hAnsi="Arial"/>
          <w:sz w:val="24"/>
          <w:szCs w:val="24"/>
        </w:rPr>
        <w:t xml:space="preserve">В первую очередь расходы будут направлены:</w:t>
      </w:r>
    </w:p>
    <w:p>
      <w:pPr>
        <w:spacing w:after="120"/>
        <w:jc w:val="both"/>
      </w:pPr>
      <w:r>
        <w:rPr>
          <w:rFonts w:ascii="Arial" w:cs="Arial" w:eastAsia="Arial" w:hAnsi="Arial"/>
          <w:sz w:val="24"/>
          <w:szCs w:val="24"/>
        </w:rPr>
        <w:t xml:space="preserve">- на незавершенные строительством объекты, финансируемые из республиканского бюджета и подлежащие завершению строительства в планируемом году;</w:t>
      </w:r>
    </w:p>
    <w:p>
      <w:pPr>
        <w:spacing w:after="120"/>
        <w:jc w:val="both"/>
      </w:pPr>
      <w:r>
        <w:rPr>
          <w:rFonts w:ascii="Arial" w:cs="Arial" w:eastAsia="Arial" w:hAnsi="Arial"/>
          <w:sz w:val="24"/>
          <w:szCs w:val="24"/>
        </w:rPr>
        <w:t xml:space="preserve">- на стройки и объекты,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w:t>
      </w:r>
    </w:p>
    <w:p>
      <w:pPr>
        <w:spacing w:after="120"/>
        <w:jc w:val="both"/>
      </w:pPr>
      <w:r>
        <w:rPr>
          <w:rFonts w:ascii="Arial" w:cs="Arial" w:eastAsia="Arial" w:hAnsi="Arial"/>
          <w:sz w:val="24"/>
          <w:szCs w:val="24"/>
        </w:rPr>
        <w:t xml:space="preserve">- на реализацию мероприятий по Программе строительства водохозяйственных объектов и освоения новых орошаемых земель в республике;</w:t>
      </w:r>
    </w:p>
    <w:p>
      <w:pPr>
        <w:spacing w:after="120"/>
        <w:jc w:val="both"/>
      </w:pPr>
      <w:r>
        <w:rPr>
          <w:rFonts w:ascii="Arial" w:cs="Arial" w:eastAsia="Arial" w:hAnsi="Arial"/>
          <w:sz w:val="24"/>
          <w:szCs w:val="24"/>
        </w:rPr>
        <w:t xml:space="preserve">- на строительство инженерной и социальной инфраструктуры в зонах массовой индивидуальной застройки гор. Бишкек;</w:t>
      </w:r>
    </w:p>
    <w:p>
      <w:pPr>
        <w:spacing w:after="120"/>
        <w:jc w:val="both"/>
      </w:pPr>
      <w:r>
        <w:rPr>
          <w:rFonts w:ascii="Arial" w:cs="Arial" w:eastAsia="Arial" w:hAnsi="Arial"/>
          <w:sz w:val="24"/>
          <w:szCs w:val="24"/>
        </w:rPr>
        <w:t xml:space="preserve">- на стройки и объекты, для которых заказчиком обеспечивается привлечение иных дополнительных источников финансирования.</w:t>
      </w:r>
    </w:p>
    <w:p>
      <w:pPr>
        <w:spacing w:after="120"/>
        <w:jc w:val="both"/>
      </w:pPr>
      <w:r>
        <w:rPr>
          <w:rFonts w:ascii="Arial" w:cs="Arial" w:eastAsia="Arial" w:hAnsi="Arial"/>
          <w:sz w:val="24"/>
          <w:szCs w:val="24"/>
        </w:rPr>
        <w:t xml:space="preserve">В 2012 году предполагается увеличение объемов капитальных вложений до 63,6 млрд. сомов или реальный прирост на 23,4% по сравнению с 2011 годом. В данный период основной вклад в строительство внесут следующие крупные инвестиционные проекты: строительство подстанции 500 кВ "Датка", ВЛ 220 кВ и реконструкция существующих объектов 220 кВ юга республики, строительство объектов золотодобычи на месторождениях Иштамберды, Жамгыр. Планируется начать реализацию проектов по строительству ВЛ 500 кВ "Датка-Кемин", Верхне-нарынского каскада ГЭС. Будут продолжены работы по реализации ВЛ 500 кВ "Датка-Худжент" (проект CASA-1000) и строительство Камбаратинской ГЭС-1.</w:t>
      </w:r>
    </w:p>
    <w:p>
      <w:pPr>
        <w:spacing w:after="120"/>
        <w:jc w:val="both"/>
      </w:pPr>
      <w:r>
        <w:rPr>
          <w:rFonts w:ascii="Arial" w:cs="Arial" w:eastAsia="Arial" w:hAnsi="Arial"/>
          <w:sz w:val="24"/>
          <w:szCs w:val="24"/>
        </w:rPr>
        <w:t xml:space="preserve">В региональном развитии прогнозируется поступательный тренд роста инвестиций в основной капитал. Основной вклад в данный сектор прогнозируется со стороны Джалал-Абадской, Иссык-Кульской, Ошской областей и городов Бишкек и Ош, суммарная доля которых в инвестициях в основной капитал составит 84,8%. Негативным фактором для строительного сектора остается снижение поступления инвестиций в строительство из-за снижения доверия со стороны зарубежных инвесторов.</w:t>
      </w:r>
    </w:p>
    <w:p>
      <w:pPr>
        <w:spacing w:after="120"/>
        <w:jc w:val="both"/>
      </w:pPr>
      <w:r>
        <w:rPr>
          <w:rFonts w:ascii="Arial" w:cs="Arial" w:eastAsia="Arial" w:hAnsi="Arial"/>
          <w:sz w:val="24"/>
          <w:szCs w:val="24"/>
        </w:rPr>
        <w:t xml:space="preserve">Приоритетом является увеличение вложений в ремонт существующих дорог и дорожных коммуникаций, поэтому в 2012 году ожидается продолжение реконструкции автомобильных дорог "Тараз-Талас-Суусамыр", "Бишкек-Нарын-Торугарт", "Ош-Исфана", "Ош-Сарыташ-Иркештам", "Тюп-Кеген", "Южного транспортного коридора", реабилитация дорог по проекту "Улучшение регионального дорожного коридора".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2012 году в сфере услуг будет сохраняться устойчивая тенденция к росту, через: а) дальнейшее совершенствование нормативной правовой базы, регулирующей сферу предпринимательства; б) расширение сектора услуг в результате роста новых, быстрорастущих услуг, включая телекоммуникационные, и туризм.</w:t>
      </w:r>
    </w:p>
    <w:p>
      <w:pPr>
        <w:spacing w:after="120"/>
        <w:jc w:val="both"/>
      </w:pPr>
      <w:r>
        <w:rPr>
          <w:rFonts w:ascii="Arial" w:cs="Arial" w:eastAsia="Arial" w:hAnsi="Arial"/>
          <w:sz w:val="24"/>
          <w:szCs w:val="24"/>
        </w:rPr>
        <w:t xml:space="preserve">Рост валового выпуска в сфере услуг будет достигнут, в основном, за счет роста рыночных услуг: торговли, транспорта и связи, услуг гостиниц и ресторанов. Спрос на услуги будет поддерживаться ростом денежных доходов населения.</w:t>
      </w:r>
    </w:p>
    <w:p>
      <w:pPr>
        <w:spacing w:after="120"/>
        <w:jc w:val="both"/>
      </w:pPr>
      <w:r>
        <w:rPr>
          <w:rFonts w:ascii="Arial" w:cs="Arial" w:eastAsia="Arial" w:hAnsi="Arial"/>
          <w:sz w:val="24"/>
          <w:szCs w:val="24"/>
        </w:rPr>
        <w:t xml:space="preserve">Политика в области внутренней торговли будет направлена на обеспечение доступности потребительского рынка для населения, восстановление финансового контроля за товарооборотом, развитие сети крупных розничных торговых предприятий и преобразование отрасли в современную индустрию сервиса.</w:t>
      </w:r>
    </w:p>
    <w:p>
      <w:pPr>
        <w:spacing w:after="120"/>
        <w:jc w:val="both"/>
      </w:pPr>
      <w:r>
        <w:rPr>
          <w:rFonts w:ascii="Arial" w:cs="Arial" w:eastAsia="Arial" w:hAnsi="Arial"/>
          <w:sz w:val="24"/>
          <w:szCs w:val="24"/>
        </w:rPr>
        <w:t xml:space="preserve">Для достижения ускоренного экономического развития намечается совершенствование транспортной инфраструктуры и интеграция ее в международную транспортную сеть.</w:t>
      </w:r>
    </w:p>
    <w:p>
      <w:pPr>
        <w:spacing w:after="120"/>
        <w:jc w:val="both"/>
      </w:pPr>
      <w:r>
        <w:rPr>
          <w:rFonts w:ascii="Arial" w:cs="Arial" w:eastAsia="Arial" w:hAnsi="Arial"/>
          <w:sz w:val="24"/>
          <w:szCs w:val="24"/>
        </w:rPr>
        <w:t xml:space="preserve">Продолжится динамичное развитие услуг почтовой и электрической связи на базе создания высокотехнологической телекоммуникационной системы, обеспечивающей широкий спектр услуг, способствующей интеграции республики в мировое информационное пространство.</w:t>
      </w:r>
    </w:p>
    <w:p>
      <w:pPr>
        <w:spacing w:after="120"/>
        <w:jc w:val="both"/>
      </w:pPr>
      <w:r>
        <w:rPr>
          <w:rFonts w:ascii="Arial" w:cs="Arial" w:eastAsia="Arial" w:hAnsi="Arial"/>
          <w:sz w:val="24"/>
          <w:szCs w:val="24"/>
        </w:rPr>
        <w:t xml:space="preserve">Дальнейшему росту сферы услуг будет способствовать развитие туризма, который имеет большой потенциал в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улучшения бизнес-среды и инвестиционного климата ставятся цели создания благоприятных условий для ведения предпринимательской деятельности, повышения инвестиционной привлекательности страны и обеспечения роста прямых иностранных инвестиций в ближайшие три года более чем в 1,5 раза.</w:t>
      </w:r>
    </w:p>
    <w:p>
      <w:pPr>
        <w:spacing w:after="120"/>
        <w:jc w:val="both"/>
      </w:pPr>
      <w:r>
        <w:rPr>
          <w:rFonts w:ascii="Arial" w:cs="Arial" w:eastAsia="Arial" w:hAnsi="Arial"/>
          <w:sz w:val="24"/>
          <w:szCs w:val="24"/>
        </w:rPr>
        <w:t xml:space="preserve">В этой связи проводятся мероприятия по дерегулированию экономики, исключению необоснованных вмешательств государственных органов в деятельность субъектов предпринимательства, устраняются административные препятствия и ограничения в сфере инвестиционной и иной предпринимательской деятельности, внедряются новые подходы к регулированию рыночных отношений.</w:t>
      </w:r>
    </w:p>
    <w:p>
      <w:pPr>
        <w:spacing w:after="120"/>
        <w:jc w:val="both"/>
      </w:pPr>
      <w:r>
        <w:rPr>
          <w:rFonts w:ascii="Arial" w:cs="Arial" w:eastAsia="Arial" w:hAnsi="Arial"/>
          <w:sz w:val="24"/>
          <w:szCs w:val="24"/>
        </w:rPr>
        <w:t xml:space="preserve">В целях улучшения инвестиционного климата страны разработан пакет нормативных правовых актов, направленных на упрощение разрешительной системы в сфере строительства.</w:t>
      </w:r>
    </w:p>
    <w:p>
      <w:pPr>
        <w:spacing w:after="120"/>
        <w:jc w:val="both"/>
      </w:pPr>
      <w:r>
        <w:rPr>
          <w:rFonts w:ascii="Arial" w:cs="Arial" w:eastAsia="Arial" w:hAnsi="Arial"/>
          <w:sz w:val="24"/>
          <w:szCs w:val="24"/>
        </w:rPr>
        <w:t xml:space="preserve">Еще одним эффективным средством привлечения инвестиций и реализации социально значимых проектов призвано стать государственно-частное партнерство. Механизмы государственно-частного партнерства направлены на создание качественно новой системы отношений между бизнесом и государством, в которой существуют возможности для более эффективного использования потенциала бизнеса и государства при решении социальных и инфраструктурных задач.</w:t>
      </w:r>
    </w:p>
    <w:p>
      <w:pPr>
        <w:spacing w:after="120"/>
        <w:jc w:val="both"/>
      </w:pPr>
      <w:r>
        <w:rPr>
          <w:rFonts w:ascii="Arial" w:cs="Arial" w:eastAsia="Arial" w:hAnsi="Arial"/>
          <w:sz w:val="24"/>
          <w:szCs w:val="24"/>
        </w:rPr>
        <w:t xml:space="preserve">Инвестиционная политика Кыргызской Республики, как и в предыдущие годы, будет направлена на сокращение иностранных заимствований, привлекаемых под гарантию Правительства (ПГИ), а также стимулирование притока внешних инвестиций в экономику страны на грантовой основе и частных инвестиций, за счет мер, направленных на улучшение инвестиционной привлекательности страны.</w:t>
      </w:r>
    </w:p>
    <w:p>
      <w:pPr>
        <w:spacing w:after="120"/>
        <w:jc w:val="both"/>
      </w:pPr>
      <w:r>
        <w:rPr>
          <w:rFonts w:ascii="Arial" w:cs="Arial" w:eastAsia="Arial" w:hAnsi="Arial"/>
          <w:sz w:val="24"/>
          <w:szCs w:val="24"/>
        </w:rPr>
        <w:t xml:space="preserve">Предстоит дальнейшая либерализация экономики страны для инвесторов, в связи с чем Кыргызская Республика будет проводить политику "открытых дверей" в области привлечения прямых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Социальная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социальной политики в 2012 году остается сохранение социальной стабильности и создание базовых условий для устойчивого социально-экономического развития страны в среднесрочной перспективе. Одним из главных условий сохранения стабильности является сдерживание уровня инфляции на приемлемом уровне, поскольку высокий уровень потребительских цен снижает реальный рост доходов, заработной платы, а также пенсий населения, обесценивая их номинальный рост.</w:t>
      </w:r>
    </w:p>
    <w:p>
      <w:pPr>
        <w:spacing w:after="120"/>
        <w:jc w:val="both"/>
      </w:pPr>
      <w:r>
        <w:rPr>
          <w:rFonts w:ascii="Arial" w:cs="Arial" w:eastAsia="Arial" w:hAnsi="Arial"/>
          <w:sz w:val="24"/>
          <w:szCs w:val="24"/>
        </w:rPr>
        <w:t xml:space="preserve">Политика социального развития в 2012 году, помимо сохранения социальных гарантий в полном объеме, поддержки уязвимых категорий населения, нуждающихся в государственной поддержке, будет направлена:</w:t>
      </w:r>
    </w:p>
    <w:p>
      <w:pPr>
        <w:spacing w:after="120"/>
        <w:jc w:val="both"/>
      </w:pPr>
      <w:r>
        <w:rPr>
          <w:rFonts w:ascii="Arial" w:cs="Arial" w:eastAsia="Arial" w:hAnsi="Arial"/>
          <w:sz w:val="24"/>
          <w:szCs w:val="24"/>
        </w:rPr>
        <w:t xml:space="preserve">- на повышение эффективности предоставления социальных услуг. В этом направлении предусматриваются совершенствование нормативной правовой базы, обеспечивающей предоставление качественных социальных услуг, а также развитие спектра социальных услуг, в том числе на местном уровне. Для обеспечения качества социальных услуг и их развития будет создан институт социального работника, который поможет повысить статус и потенциал социальных работников, предоставляющих данные услуги на местах. Также, в целях повышения потенциала неправительственного сектора и обеспечения его взаимодействия с государственными органами и органами местного самоуправления будут развиваться механизмы закупки социальных услуг через государственный социальный заказ;</w:t>
      </w:r>
    </w:p>
    <w:p>
      <w:pPr>
        <w:spacing w:after="120"/>
        <w:jc w:val="both"/>
      </w:pPr>
      <w:r>
        <w:rPr>
          <w:rFonts w:ascii="Arial" w:cs="Arial" w:eastAsia="Arial" w:hAnsi="Arial"/>
          <w:sz w:val="24"/>
          <w:szCs w:val="24"/>
        </w:rPr>
        <w:t xml:space="preserve">- на укрепление финансовой устойчивости пенсионной системы, сокращение безработицы и миграционного оттока населения через усиление активных мер на рынке труда.</w:t>
      </w:r>
    </w:p>
    <w:p>
      <w:pPr>
        <w:spacing w:after="120"/>
        <w:jc w:val="both"/>
      </w:pPr>
      <w:r>
        <w:rPr>
          <w:rFonts w:ascii="Arial" w:cs="Arial" w:eastAsia="Arial" w:hAnsi="Arial"/>
          <w:sz w:val="24"/>
          <w:szCs w:val="24"/>
        </w:rPr>
        <w:t xml:space="preserve">Основные шаги в социальной сфере в 2012 году будут направлены на повышение уровня жизни населения и улучшение положения социально уязвимых граждан; упорядочение выплаты и увеличение размеров пособий на детей; исключение из числа получателей пособий обеспеченных семей и увеличение размеров пособий в результате ежегодного повышения размера гарантированного минимального дохода.</w:t>
      </w:r>
    </w:p>
    <w:p>
      <w:pPr>
        <w:spacing w:after="120"/>
        <w:jc w:val="both"/>
      </w:pPr>
      <w:r>
        <w:rPr>
          <w:rFonts w:ascii="Arial" w:cs="Arial" w:eastAsia="Arial" w:hAnsi="Arial"/>
          <w:sz w:val="24"/>
          <w:szCs w:val="24"/>
        </w:rPr>
        <w:t xml:space="preserve">Наряду с повышением размеров пенсий, основными задачами в области социального страхования останется вопрос своевременного финансирования пенсий и иных социальных выплат, выполнение плана страховых сборов по государственному социальному страхованию.</w:t>
      </w:r>
    </w:p>
    <w:p>
      <w:pPr>
        <w:spacing w:after="120"/>
        <w:jc w:val="both"/>
      </w:pPr>
      <w:r>
        <w:rPr>
          <w:rFonts w:ascii="Arial" w:cs="Arial" w:eastAsia="Arial" w:hAnsi="Arial"/>
          <w:sz w:val="24"/>
          <w:szCs w:val="24"/>
        </w:rPr>
        <w:t xml:space="preserve">В целях снижения напряженности на рынке труда будут проведены активные меры по снижению уровня безработицы, в числе которых: профессиональное обучение, повышение квалификации и переобучение безработных граждан; организация оплачиваемых общественных работ; помощь предпринимательской инициативе и поддержка самостоятельной занятости безработных путем предоставления микрокредитов.</w:t>
      </w:r>
    </w:p>
    <w:p>
      <w:pPr>
        <w:spacing w:after="120"/>
        <w:jc w:val="both"/>
      </w:pPr>
      <w:r>
        <w:rPr>
          <w:rFonts w:ascii="Arial" w:cs="Arial" w:eastAsia="Arial" w:hAnsi="Arial"/>
          <w:sz w:val="24"/>
          <w:szCs w:val="24"/>
        </w:rPr>
        <w:t xml:space="preserve">В здравоохранении будут решены проблемы реальной доступности медицинских услуг. В целях качественного и эффективного предоставления медицинских услуг предлагается внедрить частное медицинское страхование и установить принципы государственного социального страхования.</w:t>
      </w:r>
    </w:p>
    <w:p>
      <w:pPr>
        <w:spacing w:after="120"/>
        <w:jc w:val="both"/>
      </w:pPr>
      <w:r>
        <w:rPr>
          <w:rFonts w:ascii="Arial" w:cs="Arial" w:eastAsia="Arial" w:hAnsi="Arial"/>
          <w:sz w:val="24"/>
          <w:szCs w:val="24"/>
        </w:rPr>
        <w:t xml:space="preserve">Изменения в сфере образования будут нацелены на реформу школьного образования, изменение системы финансирования и управления образованием, модернизацию системы оценивания достижений учащихся, создание системы мотивации учителей и школ. Государственная поддержка будет также направлена на обеспечение доступа к образованию способной молодежи из отдаленных районов.</w:t>
      </w:r>
    </w:p>
    <w:p>
      <w:pPr>
        <w:spacing w:after="120"/>
        <w:jc w:val="both"/>
      </w:pPr>
      <w:r>
        <w:rPr>
          <w:rFonts w:ascii="Arial" w:cs="Arial" w:eastAsia="Arial" w:hAnsi="Arial"/>
          <w:sz w:val="24"/>
          <w:szCs w:val="24"/>
        </w:rPr>
        <w:t xml:space="preserve">Основополагающим принципом будет дальнейшее распространение механизма подушевого финансирования в школах Ошской и Таласской областей.</w:t>
      </w:r>
    </w:p>
    <w:p>
      <w:pPr>
        <w:spacing w:after="120"/>
        <w:jc w:val="both"/>
      </w:pPr>
      <w:r>
        <w:rPr>
          <w:rFonts w:ascii="Arial" w:cs="Arial" w:eastAsia="Arial" w:hAnsi="Arial"/>
          <w:sz w:val="24"/>
          <w:szCs w:val="24"/>
        </w:rPr>
        <w:t xml:space="preserve">Для эффективного регулирования миграционных процессов и обеспечения социальной защищенности трудовых мигрантов будет внедрена система временной контрактной занятости мигрирующих работников за границей, как средство расширения, создания, или приобретения навыков, которые затем будут востребованы на национальном рынке труда.</w:t>
      </w:r>
    </w:p>
    <w:p>
      <w:pPr>
        <w:spacing w:after="120"/>
        <w:jc w:val="both"/>
      </w:pPr>
      <w:r>
        <w:rPr>
          <w:rFonts w:ascii="Arial" w:cs="Arial" w:eastAsia="Arial" w:hAnsi="Arial"/>
          <w:sz w:val="24"/>
          <w:szCs w:val="24"/>
        </w:rPr>
        <w:t xml:space="preserve">Для улучшения положения социально незащищенных групп населения республики будут проведены следующие мероприятия:</w:t>
      </w:r>
    </w:p>
    <w:p>
      <w:pPr>
        <w:spacing w:after="120"/>
        <w:jc w:val="both"/>
      </w:pPr>
      <w:r>
        <w:rPr>
          <w:rFonts w:ascii="Arial" w:cs="Arial" w:eastAsia="Arial" w:hAnsi="Arial"/>
          <w:sz w:val="24"/>
          <w:szCs w:val="24"/>
        </w:rPr>
        <w:t xml:space="preserve">- своевременное и полное финансирование социальных гарантий государства;</w:t>
      </w:r>
    </w:p>
    <w:p>
      <w:pPr>
        <w:spacing w:after="120"/>
        <w:jc w:val="both"/>
      </w:pPr>
      <w:r>
        <w:rPr>
          <w:rFonts w:ascii="Arial" w:cs="Arial" w:eastAsia="Arial" w:hAnsi="Arial"/>
          <w:sz w:val="24"/>
          <w:szCs w:val="24"/>
        </w:rPr>
        <w:t xml:space="preserve">- совершенствование методологии определения нуждаемости населения в государственной поддержке;</w:t>
      </w:r>
    </w:p>
    <w:p>
      <w:pPr>
        <w:spacing w:after="120"/>
        <w:jc w:val="both"/>
      </w:pPr>
      <w:r>
        <w:rPr>
          <w:rFonts w:ascii="Arial" w:cs="Arial" w:eastAsia="Arial" w:hAnsi="Arial"/>
          <w:sz w:val="24"/>
          <w:szCs w:val="24"/>
        </w:rPr>
        <w:t xml:space="preserve">- обеспечение финансовой устойчивости пенсионной системы, повышение среднего размера пенсий.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Достижение целей обеспечения устойчивого экономического роста в среднем на 7,5% предполагает, что рост будет поддерживаться со стороны всех секторов реальной экономики, формирующих ВВП страны. Максимальный вклад прогнозируется от работы объектов и предприятий сферы услуг. Реальные вклады промышленного производства и сельского хозяйства будут умеренными. Вклад сектора строительства, несмотря на небольшой удельный вес в структуре ВВП, будет увеличен за счет планируемого запуска новых инвестиционных проектов.</w:t>
      </w:r>
    </w:p>
    <w:p>
      <w:pPr>
        <w:spacing w:after="120"/>
        <w:jc w:val="both"/>
      </w:pPr>
      <w:r>
        <w:rPr>
          <w:rFonts w:ascii="Arial" w:cs="Arial" w:eastAsia="Arial" w:hAnsi="Arial"/>
          <w:sz w:val="24"/>
          <w:szCs w:val="24"/>
        </w:rPr>
        <w:t xml:space="preserve">Правительством и Национальным банком будет разработана система мер, направленных на смягчение возможного шокового воздействия на экономику негативных процессов, связанных с ухудшением мировой конъюнктуры. Правительство и Национальный банк будут проводить согласованную денежно-кредитную и бюджетно-налоговую политику, направленную на удержание уровня инфляции в 2012 году не выше 9%. Достижение равновесия между потребностями экономики в ликвидности и необходимостью сдерживания инфляции станет одним из ключевых направлений денежно-кредитной политики.</w:t>
      </w:r>
    </w:p>
    <w:p>
      <w:pPr>
        <w:spacing w:after="120"/>
        <w:jc w:val="both"/>
      </w:pPr>
      <w:r>
        <w:rPr>
          <w:rFonts w:ascii="Arial" w:cs="Arial" w:eastAsia="Arial" w:hAnsi="Arial"/>
          <w:sz w:val="24"/>
          <w:szCs w:val="24"/>
        </w:rPr>
        <w:t xml:space="preserve">Для достижения вышеуказанных макроэкономических показателей будут реализованы меры, основные принципы которых изложены в программе Правительства "Стабильность и достойная жизнь". Главным фактором для роста доходов страны, сокращения внешнего долга и преодоления дефицита государственного бюджета является экономическая база Кыргызской Республики, для чего предусматривается:</w:t>
      </w:r>
    </w:p>
    <w:p>
      <w:pPr>
        <w:spacing w:after="120"/>
        <w:jc w:val="both"/>
      </w:pPr>
      <w:r>
        <w:rPr>
          <w:rFonts w:ascii="Arial" w:cs="Arial" w:eastAsia="Arial" w:hAnsi="Arial"/>
          <w:sz w:val="24"/>
          <w:szCs w:val="24"/>
        </w:rPr>
        <w:t xml:space="preserve">- развитие экономики через реализацию крупных национальных проектов;</w:t>
      </w:r>
    </w:p>
    <w:p>
      <w:pPr>
        <w:spacing w:after="120"/>
        <w:jc w:val="both"/>
      </w:pPr>
      <w:r>
        <w:rPr>
          <w:rFonts w:ascii="Arial" w:cs="Arial" w:eastAsia="Arial" w:hAnsi="Arial"/>
          <w:sz w:val="24"/>
          <w:szCs w:val="24"/>
        </w:rPr>
        <w:t xml:space="preserve">- эффективное управление государственными активами страны;</w:t>
      </w:r>
    </w:p>
    <w:p>
      <w:pPr>
        <w:spacing w:after="120"/>
        <w:jc w:val="both"/>
      </w:pPr>
      <w:r>
        <w:rPr>
          <w:rFonts w:ascii="Arial" w:cs="Arial" w:eastAsia="Arial" w:hAnsi="Arial"/>
          <w:sz w:val="24"/>
          <w:szCs w:val="24"/>
        </w:rPr>
        <w:t xml:space="preserve">-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b0l07dmzfpezaz0chbpy">
      <w:r>
        <w:rPr>
          <w:rFonts w:ascii="Arial" w:cs="Arial" w:eastAsia="Arial" w:hAnsi="Arial"/>
          <w:color w:val="132D3F"/>
          <w:sz w:val="16"/>
          <w:szCs w:val="16"/>
          <w:u w:val="single"/>
        </w:rPr>
        <w:t xml:space="preserve">dalil.kg/document/93623</w:t>
      </w:r>
    </w:hyperlink>
  </w:p>
  <w:p>
    <w:pPr>
      <w:spacing w:after="0" w:before="40"/>
      <w:jc w:val="center"/>
    </w:pPr>
    <w:hyperlink w:history="1" r:id="rIdoq2igngojfgahgveyzhq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b-0hai_r9gydso-ecjb" Type="http://schemas.openxmlformats.org/officeDocument/2006/relationships/hyperlink" Target="https://dalil.kg/document/160675" TargetMode="External"/><Relationship Id="rIdco__qgh31lz6iw97ufv51" Type="http://schemas.openxmlformats.org/officeDocument/2006/relationships/hyperlink" Target="https://dalil.kg/document/93425" TargetMode="External"/><Relationship Id="rId6xliejkvbefl5kx4iqtci" Type="http://schemas.openxmlformats.org/officeDocument/2006/relationships/hyperlink" Target="https://dalil.kg/document/92454" TargetMode="External"/><Relationship Id="rId_bywrbylnlrt_gn8bmhzf" Type="http://schemas.openxmlformats.org/officeDocument/2006/relationships/hyperlink" Target="https://dalil.kg/document/95246" TargetMode="External"/><Relationship Id="rId8yatzmarwm96hnrix6aj0" Type="http://schemas.openxmlformats.org/officeDocument/2006/relationships/hyperlink" Target="https://dalil.kg/document/9524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b0l07dmzfpezaz0chbpy" Type="http://schemas.openxmlformats.org/officeDocument/2006/relationships/hyperlink" Target="https://dalil.kg/document/93623" TargetMode="External"/><Relationship Id="rIdoq2igngojfgahgveyzhq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2026-09-25T17:52:26.378Z</dcterms:created>
  <dcterms:modified xsi:type="dcterms:W3CDTF">2026-09-25T17:52:26.378Z</dcterms:modified>
</cp:coreProperties>
</file>

<file path=docProps/custom.xml><?xml version="1.0" encoding="utf-8"?>
<Properties xmlns="http://schemas.openxmlformats.org/officeDocument/2006/custom-properties" xmlns:vt="http://schemas.openxmlformats.org/officeDocument/2006/docPropsVTypes"/>
</file>