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от </w:t>
      </w:r>
      <w:hyperlink w:history="1" r:id="rIdiqnhmk8yiz9ez7bnjqq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2013 года № 181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проведения общегосударственного конкурса на звание "Самый лучший айыл окмоту"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813qr_r2ei6r6ht3qi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марта 2022 года № 142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w10so0mbz4ahibb6b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стимулирования деятельности айыл окмоту в создании наилучших условий проживания населения, благоустройства, улучшения облика села, улучшения состояния учреждений культуры и сохранения культурного наследия, наращивания объемов производства сельскохозяйственной и промышленной продукции, развития предприятий по переработке сельхозпродукции, создания рабочих мест; развития предпринимательства и сельскохозяйственных кооперативов; формирования доходной части местного бюджета, сокращения дотационных выплат, привлечения инвестиций; улучшения инженерного обустройства и санитарно-эпидемиологического состояния, а также определяет порядок проведения общегосударственного конкурса на звание "Самый лучший айыл окмоту" (далее - конкурс), порядок определения победителей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vyg09nst5qced-sg1q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ежегодно. В конкурсе может участвовать каждый айыл окмоту, путем подачи заявки в конкурсную комиссию района, на территории которого расположен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конкурсных комиссий ежегодно обновляется до начала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Конкурс начинается с первого рабочего дня четвертого месяца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yvnsgr5kpesrgjialm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Общую координацию проведения и подведения итогов конкурса на районных и областных уровнях осуществляет общегосударственная конкурсная комиссия, образуемая Премьер-министром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Конкурсные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 проводится конкурсными комиссиями, образуемыми на уровне районов и областей. Конкурсная комиссия района образуется главой государственной администрации - акимом района, а конкурсная комиссия области - полномочным представителем Правительства Кыргызской Республики в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района образуется в количестве не менее пяти человек из числа представителей учреждений образования, здравоохранения, культуры, спорта, аппарата государственной администрации района, органов местного самоуправления, землеустройства, а также, жилищно-коммунального хозяйства, гражданского общества, неправительственных организаций, политических партий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Конкурсная комиссия области образуется в количестве не менее пяти человек из числа представителей учреждений образования, здравоохранения, гражданского общества, неправительственных организаций, политических партий, а также представителей аппаратов полномочных представителей Правительства Кыргызской Республики в областях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Конкурсные комиссии проводят свою работу путем проведения заседаний, осмотра территории соответствующего айылного аймака, посещения учреждений жилищно-коммунального хозяйства, учреждений образования, здравоохранения, культуры и спорта, а также опроса населения, изучения документации айыл окмоту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Конкурсные комиссии рассматривают айыл окмоту по следующим группам: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 - айыл окмоту с отдаленными, труднодоступными высокогорными селами и селами, имеющими особый приграничный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 - айыл окмоту, не входящие в 1 группу.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mngeylnnaasl_qz39m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конкурсных комиссий являются правомочными, если на них присутствует не менее 2/3 членов комиссии. Решения конкурсных комиссий принимаются большинством голосов присутствующих на заседании членов комиссии. При равенстве голосов голос председателя конкурсной комиссии является решающим. Протокол итогового заседания конкурсной комиссии подписывается председателем и секретарем.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 проводится в три этапа, включая проведение информационной кампании.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первом этапе рассматриваются заявки айыл окмоту на участие в общегосударственном конкурсе. Заявка подается в течение десяти дней со дня, указанного в пункте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Заявки подаются по форме согласно </w:t>
      </w:r>
      <w:hyperlink w:history="1" r:id="rIdmafk19m5e_f9ql9size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К заявке должны быть приложены: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матрица оценки критериев деятельности айыл окмоту для проведение конкурсного отбора на звание "Самый лучший айыл окмоту" согласно </w:t>
      </w:r>
      <w:hyperlink w:history="1" r:id="rIdx42t6fsye5-iaj4tocv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значение индикаторов оценочных критериев.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и приложенные к ним документы рассматривается конкурсной комиссией района в месячный срок, по истечении дня, указанного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конкурса конкурсной комиссией района изучается полный пакет представленных к заявке документов. Документы рассматриваются и оцениваются согласно матрице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первого этапа конкурса отбирается по одному претенденту (айыл окмоту) от каждой группы, указанном в пункте 9.1 настоящего Положения, от каждого района, набравшему наивысший бал, проставленный комиссией, и решение (протокол) об отборе претендента направляется в адрес конкурсной комиссии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xf3trpmnoboruh3ctq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втором этапе конкурсная комиссия области отбирает одного претендента от каждой группы, указанной в пункте 9.1. настоящего Положения. Решение (протокол) об определении претендентов направляется в адрес общегосударственной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tdbxuhwaculnou7szvf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апреля 2017 года № 216)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конкурса проводится в месячный срок, по истечении десяти дней после окончания первого этапа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nbn8teymfnsjo5pik8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Общегосударственная конкурсная комиссия рассматривает материалы, представленные из областей, и определяет победителей общегосударственного конкурса среди айыл окмоту на звание "Самый лучший айыл окмоту".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Определение победителей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Определение победителей конкурса проводится согласно матрице критериев оценки деятельности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Общая оценка деятельности айыл окмоту определяется путем суммирования значений индикаторов по каждому направлению. Победителями третьего этапа конкурса являются айыл окмоту, набравшие наивысшие баллы, проставленные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подведении итогов конкурса определяются лучший айыл окмоту из каждой группы, указанной в пункте 9.1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Призовой фонд конкурса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группа: за 1 место - 3,0 млн. сомов; за 2 место - 2,0 млн. сомов; за 3 место - 1,0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группа: за 1 место - 3,0 млн. сомов; за 2 место - 2,0 млн. сомов; за 3 место - 1,0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w9v4zgu7_v_xukh4mk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2023 года № 258)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награждении победителей общегосударственного конкурса на звание "Самый лучший айыл окмоту" утверждается распоряжением Правительства Кыргызской Республики по предложению общегосударственной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
 к Положению о порядке проведения общегосударственного конкурса на звание "Самый лучший айыл окмоту"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заявки 
 на участие айыл окмоту в конкурсе "Самый лучший айыл окмоту"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e_ccnnbvgpbe6iagrv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группа (согласно пункту 9.1 Положения) айылного аймака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айыл окмоту ___________________________________________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населения: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___________________________________________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 Электронная почта: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айыл окмоту: 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айыл окмоту: ______________________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
 к Положению о порядке проведения общегосударственного конкурса на звание "Самый лучший айыл окмоту"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
 оценки критериев деятельности айыл окмоту для проведение конкурсного отбора на звание "Самый лучший айыл окмоту"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is3yjxlveuq2ghy829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rdehtbadzhrlkyljaqv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56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Критерии и индикаторы по вопросам местного значения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904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</w:t>
            </w:r>
            <w:hyperlink w:history="1" r:id="rIdwvypzrfrhnyliahcmta8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13 апреля 2017 года № 216)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обеспеченности населения питьевой водой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населения, имеющего доступ к питьевой воде,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100%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снижения уровня бедности по сравнению с предыдущим годом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снижения количества малоимущих семей, % (в сумме по ГМУП+КЧБ+ЧБ)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рост количества малоимущих семей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уменьшения количества малоимущих семей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малоимущих семей до 5%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малоимущих семей до 10%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малоимущих семей свыше 10%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озеленение мест общественного пользования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мест общего пользования (парки, зоны отдыха, спортивные сооружения)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места общественного пользования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общественного пользования не функционируют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общего пользования частично функционируют, озеленение фрагментарное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общего пользования функционируют, состояние парковой зоны удовлетворительное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общего пользования функционируют, парковая зона и озеленение находятся в надлежащем состоянии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сбора, вывоза и утилизации бытовых отходов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качество исполнения услуг по сбору ТБО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службы по сбору и утилизации ТБО, отсутствие свалки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ТБО производится нерегулярно, свалки стихийные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ТБО производится регулярно, свалки стихийные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ТБО производится регулярно, мусорный полигон не соответствует нормам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специализированная служба по сбору и утилизации ТБО, сбор ТБО производится на регулярной основе, мусорный полигон соответствует нормам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252"/>
        <w:gridCol w:w="1293"/>
        <w:gridCol w:w="1401"/>
        <w:gridCol w:w="1401"/>
        <w:gridCol w:w="1401"/>
        <w:gridCol w:w="1401"/>
        <w:gridCol w:w="1401"/>
        <w:gridCol w:w="405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70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услуг в сфере культурно-досуговых и спортивных мероприятий, поддержка в развитии народного художественного творчества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Наличие, состояние объектов культуры и степень функционирования кружков, секций народного художественного творчества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культуры, кружки, секции народного художественного творчества отсутствуют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культуры, кружки, секции народного художественного творчества не функционируют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 функционируют частично, здания и сооружения в неудовлетворительном состоянии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 функционируют в достаточной мере, здания и сооружения в удовлетворительном состоянии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 функционируют в полной мере, имеются кружки по интересам, здания содержатся в надлежащем состоянии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общественного порядка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показателей общего уровня преступности, %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снижения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5%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20%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генпланов населенных пунктов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генпланов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генплана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Генплан не обновлен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Генплан разработан, но не утвержден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Генплан утвержден, но не реализуется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Генплан реализуется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1193"/>
        <w:gridCol w:w="1303"/>
        <w:gridCol w:w="1403"/>
        <w:gridCol w:w="1403"/>
        <w:gridCol w:w="1403"/>
        <w:gridCol w:w="1403"/>
        <w:gridCol w:w="1403"/>
        <w:gridCol w:w="397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70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освещением мест общего пользования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освещением мест общего пользования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70%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дорог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муниципальных дорог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муниципальных дорог неудовлетворительное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дорог неудовлетворительное, ремонтные работы не проводятся (до 20%)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дорог удовлетворительное, ремонтные работы на стадии исполнения (до 50%)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дороги функционируют, ремонтные работы выполнены (до 70%)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дороги функционируют, состояние муниципальных дорог в надлежащем состоянии (свыше 70%)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оценка индикаторов по социальным услугам: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экономики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активности предпринимательства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роста новых предприятий,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роста числа новых предприятий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предприятий (до 10%)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предприятий (до 20%)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предприятий (до 50%)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предприятий (свыше 50%)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активности предпринимательства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роста числа новых частных или индивидуальных предпринимателей по сравнению с предыдущим годом,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роста числа новых частных и индивидуальных предпринимателей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частных и индивидуальных предпринимателей (до 5%)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частных и индивидуальных предпринимателей (до 10%)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частных и индивидуальных предпринимателей (до 20%)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новых частных и индивидуальных предпринимателей (свыше 20%)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муниципальной собственностью, включая муниципальные земли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роста доходов местного бюджета от эффективного управления МС,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роста доходов местного бюджета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местно- го бюджета повысился (на 5%)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местного бюджета повысился (на 15%)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местного бюджета повысился (на 25%)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местного бюджета повысился (свыше 25%)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привлечения инвестиций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роста объема привлеченных инвестиций в социальную сферу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роста социальных инвестиций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социальных инвестиций повысился (на 5%)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социальных инвестиций повысился (на 10%)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социальных инвестиций повысился (на 20%)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социальных инвестиций повысился (свыше 20%)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оценка индикаторов по экономическим вопросам: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финансовое управление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эффективности финансирования расходных обязательств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собственных доходов местного бюджета (за исключением трансфертов),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роста собственных доходов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собственных доходов (до 10%)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собственных доходов (до 20%)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собственных доходов (до 30%)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собственных доходов (свыше 30%)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прозрачности финансового 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используемых механизмов обеспечения прозрачности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доступа к информации о текущем бюджете, проекте бюджета, исполнении бюджета, сведения о результатах проверок, проведенных государственными органами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на стенде о текущем бюджете, проекте бюджета, исполнении бюджета, результатах проверок (частичное)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на стендах, разработка и распространение КОБ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на стендах, разработка и распространение КОБ, проведение общественных слушаний по бюджету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на стендах, разработка и распространение КОБ, проведение общественных слушаний по бюджету (проект, исполнение), разработка бюджета по результатам изучения потребностей местных сообществ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оценки о финансовых индикаторах: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граждан в процессе принятия решений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вовлечения граждан в вопросы 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роста мероприятий, предусматривающих вовлечению граждан в процессы принятия решений (сельские сходы, общественные слушания, курултаи и т.д.), в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не проводятся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 не изменилось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 увеличилось (до 10%)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 увеличилось (до 20%)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 увеличилось (свыше 20%)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252"/>
        <w:gridCol w:w="1291"/>
        <w:gridCol w:w="1379"/>
        <w:gridCol w:w="1379"/>
        <w:gridCol w:w="1379"/>
        <w:gridCol w:w="1379"/>
        <w:gridCol w:w="1379"/>
        <w:gridCol w:w="519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68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граждан в процессе принятия решений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обеспечения доступа к информации, находящейся в ведении ОМСУ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информированности населения о деятельности ОМСУ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отсутствуют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имеются, но нет информации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имеются, информация не обновляется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имеются, но информация неактуальная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стенды в надлежащем состоянии, информация обновляется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постановлений местного кенеша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опубликование постановлений местного кенеша и внесение их в государственный реестр нормативных правовых актов Кыргызской Республики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учета принятых решений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публикуется и не включается в государственный реестр нормативных правовых актов Кыргызской Республики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Публикуется, но не включается в государственный реестр нормативно правовых актов Кыргызской Республики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и включается в государственный реестр нормативных правовых актов Кыргызской Республики с нарушением сроков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и включается в государственный реестр нормативных правовых актов Кыргызской Республики с соблюдением установленных сроков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1262"/>
        <w:gridCol w:w="1293"/>
        <w:gridCol w:w="1391"/>
        <w:gridCol w:w="1391"/>
        <w:gridCol w:w="1391"/>
        <w:gridCol w:w="1391"/>
        <w:gridCol w:w="1391"/>
        <w:gridCol w:w="458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69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4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граждан в процессе принятия решений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"Санарип аймак"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интеграции, заполнения и актуализации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100%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"е-Kyzmat"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и достоверности данных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70%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100%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оценки индикаторов по уровню взаимодействия с населением: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Критерии и индикаторы по делегированным государственным полномочиям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экономики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государственными землями (ГФСУ + пастбища)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инвестиций в реабилитацию земель,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динамики роста объема инвестиций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инвестиций (на 10%)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инвестиций (на 20%)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инвестиций (на 30%)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объема инвестиций (свыше 30%)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оценки индикаторов по экономическим вопросам: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деятельности айыл окмоту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некоторых айыл окмоту с низкой численностью населения (по объективным причинам) существующая инфраструктура не в полной мере соответствует требуемым критериям. В связи с этим, в целях выравнивания диспропорций в критериях членам комиссии предоставляется возможность скорректировать выставленные в заявке баллы с применением повышающего коэффициента, равного 1,5. При этом общий балл по критерию не должен превышать 5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коэффициент применяется для айыл окмоту с численностью населения не более 5000 человек, а также для оценки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и озеленение мест общественного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сбора, вывоза и утилизации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управление муниципальной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подведении итогов конкурса учитываются особые условия айыл окмоту (природно-климатические, отдаленность) и по каждому оценочному критерию вводятся поправочные коэффициенты.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Глоссарий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ГМУП</w:t>
      </w:r>
      <w:r>
        <w:rPr>
          <w:rFonts w:ascii="Arial" w:cs="Arial" w:eastAsia="Arial" w:hAnsi="Arial"/>
          <w:sz w:val="24"/>
          <w:szCs w:val="24"/>
        </w:rPr>
        <w:t xml:space="preserve"> - гарантированный минимальный уровень потребления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ЧБ</w:t>
      </w:r>
      <w:r>
        <w:rPr>
          <w:rFonts w:ascii="Arial" w:cs="Arial" w:eastAsia="Arial" w:hAnsi="Arial"/>
          <w:sz w:val="24"/>
          <w:szCs w:val="24"/>
        </w:rPr>
        <w:t xml:space="preserve"> - черта бедности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КЧБ</w:t>
      </w:r>
      <w:r>
        <w:rPr>
          <w:rFonts w:ascii="Arial" w:cs="Arial" w:eastAsia="Arial" w:hAnsi="Arial"/>
          <w:sz w:val="24"/>
          <w:szCs w:val="24"/>
        </w:rPr>
        <w:t xml:space="preserve"> - крайняя черта бедности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 - твердые бытовые отходы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КОБ</w:t>
      </w:r>
      <w:r>
        <w:rPr>
          <w:rFonts w:ascii="Arial" w:cs="Arial" w:eastAsia="Arial" w:hAnsi="Arial"/>
          <w:sz w:val="24"/>
          <w:szCs w:val="24"/>
        </w:rPr>
        <w:t xml:space="preserve"> - краткое описание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СИНС</w:t>
      </w:r>
      <w:r>
        <w:rPr>
          <w:rFonts w:ascii="Arial" w:cs="Arial" w:eastAsia="Arial" w:hAnsi="Arial"/>
          <w:sz w:val="24"/>
          <w:szCs w:val="24"/>
        </w:rPr>
        <w:t xml:space="preserve"> - совместное изучение нужд села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 - органы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ГФСУ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фонд сельскохозяйственных угодий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 - муниципальная собственность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nhmk8yiz9ez7bnjqq_l" Type="http://schemas.openxmlformats.org/officeDocument/2006/relationships/hyperlink" Target="http://kodeks.duckdns.org/document/94301" TargetMode="External"/><Relationship Id="rIdu813qr_r2ei6r6ht3qixt" Type="http://schemas.openxmlformats.org/officeDocument/2006/relationships/hyperlink" Target="http://kodeks.duckdns.org/document/99927" TargetMode="External"/><Relationship Id="rIdsfw10so0mbz4ahibb6bsu" Type="http://schemas.openxmlformats.org/officeDocument/2006/relationships/hyperlink" Target="http://kodeks.duckdns.org/document/160151" TargetMode="External"/><Relationship Id="rIdmvyg09nst5qced-sg1q-f" Type="http://schemas.openxmlformats.org/officeDocument/2006/relationships/hyperlink" Target="http://kodeks.duckdns.org/document/99927" TargetMode="External"/><Relationship Id="rIdmyvnsgr5kpesrgjialmzy" Type="http://schemas.openxmlformats.org/officeDocument/2006/relationships/hyperlink" Target="http://kodeks.duckdns.org/document/99927" TargetMode="External"/><Relationship Id="rId9mngeylnnaasl_qz39mhr" Type="http://schemas.openxmlformats.org/officeDocument/2006/relationships/hyperlink" Target="http://kodeks.duckdns.org/document/99927" TargetMode="External"/><Relationship Id="rIdmafk19m5e_f9ql9size03" Type="http://schemas.openxmlformats.org/officeDocument/2006/relationships/hyperlink" Target="http://kodeks.duckdns.org/document/93767#&#1088;1" TargetMode="External"/><Relationship Id="rIdx42t6fsye5-iaj4tocvwn" Type="http://schemas.openxmlformats.org/officeDocument/2006/relationships/hyperlink" Target="http://kodeks.duckdns.org/document/93767" TargetMode="External"/><Relationship Id="rId8xf3trpmnoboruh3ctqew" Type="http://schemas.openxmlformats.org/officeDocument/2006/relationships/hyperlink" Target="http://kodeks.duckdns.org/document/99927" TargetMode="External"/><Relationship Id="rIdtdbxuhwaculnou7szvfp-" Type="http://schemas.openxmlformats.org/officeDocument/2006/relationships/hyperlink" Target="http://kodeks.duckdns.org/document/99927" TargetMode="External"/><Relationship Id="rIdpnbn8teymfnsjo5pik8bb" Type="http://schemas.openxmlformats.org/officeDocument/2006/relationships/hyperlink" Target="http://kodeks.duckdns.org/document/99927" TargetMode="External"/><Relationship Id="rIdjw9v4zgu7_v_xukh4mkht" Type="http://schemas.openxmlformats.org/officeDocument/2006/relationships/hyperlink" Target="http://kodeks.duckdns.org/document/160151" TargetMode="External"/><Relationship Id="rIdhe_ccnnbvgpbe6iagrvlm" Type="http://schemas.openxmlformats.org/officeDocument/2006/relationships/hyperlink" Target="http://kodeks.duckdns.org/document/99927" TargetMode="External"/><Relationship Id="rId4is3yjxlveuq2ghy829lt" Type="http://schemas.openxmlformats.org/officeDocument/2006/relationships/hyperlink" Target="http://kodeks.duckdns.org/document/99927" TargetMode="External"/><Relationship Id="rIdrdehtbadzhrlkyljaqv_l" Type="http://schemas.openxmlformats.org/officeDocument/2006/relationships/hyperlink" Target="http://kodeks.duckdns.org/document/160151" TargetMode="External"/><Relationship Id="rIdwvypzrfrhnyliahcmta8k" Type="http://schemas.openxmlformats.org/officeDocument/2006/relationships/hyperlink" Target="http://kodeks.duckdns.org/document/99927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2026-09-23T06:09:49.543Z</dcterms:created>
  <dcterms:modified xsi:type="dcterms:W3CDTF">2026-09-23T06:09:49.543Z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