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djcj2t1n2k3ludbccpxki">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мая 2012 года № 323</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типовой структуры и штатной численности исполнительного органа местного самоуправления Кыргызской Республики" от 5 августа 2011 года № 451</w:t>
      </w:r>
    </w:p>
    <w:p>
      <w:pPr>
        <w:spacing w:after="120"/>
        <w:jc w:val="center"/>
      </w:pPr>
      <w:r>
        <w:rPr>
          <w:rFonts w:ascii="Arial" w:cs="Arial" w:eastAsia="Arial" w:hAnsi="Arial"/>
          <w:sz w:val="24"/>
          <w:szCs w:val="24"/>
        </w:rPr>
        <w:t xml:space="preserve">В соответствии с </w:t>
      </w:r>
      <w:hyperlink w:history="1" r:id="rId-sdyeo-qymrqo9cpnnsp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c-ndchu3totbybhtorqm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5snrgkxuec3jxthmrxvr">
        <w:r>
          <w:rPr>
            <w:rFonts w:ascii="Arial" w:cs="Arial" w:eastAsia="Arial" w:hAnsi="Arial"/>
            <w:color w:val="1D4ED8"/>
            <w:sz w:val="24"/>
            <w:szCs w:val="24"/>
            <w:u w:val="single"/>
          </w:rPr>
          <w:t xml:space="preserve">типовой</w:t>
        </w:r>
      </w:hyperlink>
      <w:r>
        <w:rPr>
          <w:rFonts w:ascii="Arial" w:cs="Arial" w:eastAsia="Arial" w:hAnsi="Arial"/>
          <w:sz w:val="24"/>
          <w:szCs w:val="24"/>
        </w:rPr>
        <w:t xml:space="preserve"> структуры и штатной численности исполнительного органа местного самоуправления Кыргызской Республики" от 5 августа 2011 года № 451 следующее изменение:</w:t>
      </w:r>
    </w:p>
    <w:p>
      <w:pPr>
        <w:spacing w:after="120"/>
        <w:jc w:val="both"/>
      </w:pPr>
      <w:r>
        <w:rPr>
          <w:rFonts w:ascii="Arial" w:cs="Arial" w:eastAsia="Arial" w:hAnsi="Arial"/>
          <w:sz w:val="24"/>
          <w:szCs w:val="24"/>
        </w:rPr>
        <w:t xml:space="preserve">- типовую структуру и штатную численность айыл окмоту, утвержденные указанным постановлением,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Типовая структура и штатная численность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должностей            │  Штатная численность │</w:t>
      </w:r>
    </w:p>
    <w:p>
      <w:pPr>
        <w:spacing w:after="120"/>
        <w:jc w:val="both"/>
      </w:pPr>
      <w:r>
        <w:rPr>
          <w:rFonts w:ascii="Arial" w:cs="Arial" w:eastAsia="Arial" w:hAnsi="Arial"/>
          <w:sz w:val="24"/>
          <w:szCs w:val="24"/>
        </w:rPr>
        <w:t xml:space="preserve">│                                              │    при численности   │</w:t>
      </w:r>
    </w:p>
    <w:p>
      <w:pPr>
        <w:spacing w:after="120"/>
        <w:jc w:val="both"/>
      </w:pPr>
      <w:r>
        <w:rPr>
          <w:rFonts w:ascii="Arial" w:cs="Arial" w:eastAsia="Arial" w:hAnsi="Arial"/>
          <w:sz w:val="24"/>
          <w:szCs w:val="24"/>
        </w:rPr>
        <w:t xml:space="preserve">│                                              │ населения (тыс. чел.)│</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│до 5│от 5 │от 10│свыше│</w:t>
      </w:r>
    </w:p>
    <w:p>
      <w:pPr>
        <w:spacing w:after="120"/>
        <w:jc w:val="both"/>
      </w:pPr>
      <w:r>
        <w:rPr>
          <w:rFonts w:ascii="Arial" w:cs="Arial" w:eastAsia="Arial" w:hAnsi="Arial"/>
          <w:sz w:val="24"/>
          <w:szCs w:val="24"/>
        </w:rPr>
        <w:t xml:space="preserve">│                                              │    │до 10│до 20│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│Заместитель главы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│Ответственный секретарь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 юрист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по информационно-компьютерным      │  - │   1 │   1 │   1 │</w:t>
      </w:r>
    </w:p>
    <w:p>
      <w:pPr>
        <w:spacing w:after="120"/>
        <w:jc w:val="both"/>
      </w:pPr>
      <w:r>
        <w:rPr>
          <w:rFonts w:ascii="Arial" w:cs="Arial" w:eastAsia="Arial" w:hAnsi="Arial"/>
          <w:sz w:val="24"/>
          <w:szCs w:val="24"/>
        </w:rPr>
        <w:t xml:space="preserve">│технологиям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│Заведующий финансово-экономическим отделом -  │  1 │   1 │   1 │   1 │</w:t>
      </w:r>
    </w:p>
    <w:p>
      <w:pPr>
        <w:spacing w:after="120"/>
        <w:jc w:val="both"/>
      </w:pPr>
      <w:r>
        <w:rPr>
          <w:rFonts w:ascii="Arial" w:cs="Arial" w:eastAsia="Arial" w:hAnsi="Arial"/>
          <w:sz w:val="24"/>
          <w:szCs w:val="24"/>
        </w:rPr>
        <w:t xml:space="preserve">│главный бухгалтер(***)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 расчетный бухгалтер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по вопросам животноводства │  1 │   1 │   1 │   1 │</w:t>
      </w:r>
    </w:p>
    <w:p>
      <w:pPr>
        <w:spacing w:after="120"/>
        <w:jc w:val="both"/>
      </w:pPr>
      <w:r>
        <w:rPr>
          <w:rFonts w:ascii="Arial" w:cs="Arial" w:eastAsia="Arial" w:hAnsi="Arial"/>
          <w:sz w:val="24"/>
          <w:szCs w:val="24"/>
        </w:rPr>
        <w:t xml:space="preserve">│и ветеринарии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экономике и статистике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доходам(****)           │  1 │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по расходам - бухгалтер-кассир     │  -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социальной защите и     │  - │   - │   1 │   1 │</w:t>
      </w:r>
    </w:p>
    <w:p>
      <w:pPr>
        <w:spacing w:after="120"/>
        <w:jc w:val="both"/>
      </w:pPr>
      <w:r>
        <w:rPr>
          <w:rFonts w:ascii="Arial" w:cs="Arial" w:eastAsia="Arial" w:hAnsi="Arial"/>
          <w:sz w:val="24"/>
          <w:szCs w:val="24"/>
        </w:rPr>
        <w:t xml:space="preserve">│социально-культурным вопросам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по социальной защите               │  1 │   1 │   1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│Заведующий сектором по земельным,             │  - │   - │   1 │   1 │</w:t>
      </w:r>
    </w:p>
    <w:p>
      <w:pPr>
        <w:spacing w:after="120"/>
        <w:jc w:val="both"/>
      </w:pPr>
      <w:r>
        <w:rPr>
          <w:rFonts w:ascii="Arial" w:cs="Arial" w:eastAsia="Arial" w:hAnsi="Arial"/>
          <w:sz w:val="24"/>
          <w:szCs w:val="24"/>
        </w:rPr>
        <w:t xml:space="preserve">│жилищно-коммунальным вопросам и чрезвычайным  │    │     │     │     │</w:t>
      </w:r>
    </w:p>
    <w:p>
      <w:pPr>
        <w:spacing w:after="120"/>
        <w:jc w:val="both"/>
      </w:pPr>
      <w:r>
        <w:rPr>
          <w:rFonts w:ascii="Arial" w:cs="Arial" w:eastAsia="Arial" w:hAnsi="Arial"/>
          <w:sz w:val="24"/>
          <w:szCs w:val="24"/>
        </w:rPr>
        <w:t xml:space="preserve">│ситуациям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специалист по земельным,              │  1 │   2 │   2 │   2 │</w:t>
      </w:r>
    </w:p>
    <w:p>
      <w:pPr>
        <w:spacing w:after="120"/>
        <w:jc w:val="both"/>
      </w:pPr>
      <w:r>
        <w:rPr>
          <w:rFonts w:ascii="Arial" w:cs="Arial" w:eastAsia="Arial" w:hAnsi="Arial"/>
          <w:sz w:val="24"/>
          <w:szCs w:val="24"/>
        </w:rPr>
        <w:t xml:space="preserve">│жилищно-коммунальным вопросам и чрезвычайным  │    │     │     │     │</w:t>
      </w:r>
    </w:p>
    <w:p>
      <w:pPr>
        <w:spacing w:after="120"/>
        <w:jc w:val="both"/>
      </w:pPr>
      <w:r>
        <w:rPr>
          <w:rFonts w:ascii="Arial" w:cs="Arial" w:eastAsia="Arial" w:hAnsi="Arial"/>
          <w:sz w:val="24"/>
          <w:szCs w:val="24"/>
        </w:rPr>
        <w:t xml:space="preserve">│ситуациям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по землеустройству и       │  1 │   2 │   2 │   2 │</w:t>
      </w:r>
    </w:p>
    <w:p>
      <w:pPr>
        <w:spacing w:after="120"/>
        <w:jc w:val="both"/>
      </w:pPr>
      <w:r>
        <w:rPr>
          <w:rFonts w:ascii="Arial" w:cs="Arial" w:eastAsia="Arial" w:hAnsi="Arial"/>
          <w:sz w:val="24"/>
          <w:szCs w:val="24"/>
        </w:rPr>
        <w:t xml:space="preserve">│сельскому хозяйству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│Инспектор военно-учетного стола(*****)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│Айыл башчысы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8 │  16 │  19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│Работники, занятые техническим обслуживанием: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│ТОП                                           │  1 │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│МОП                                           │  1 │   1 │   1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10 │  18 │  22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Примечание: Исходя из целесообразности и обоснованности, а также специфики айылного аймака, наименование должностей в типовой структуре и штатной численности айыл окмоту могут быть изменены на соответствующие должности в пределах общей численности штата айыл окмоту.</w:t>
      </w:r>
    </w:p>
    <w:p>
      <w:pPr>
        <w:spacing w:after="120"/>
        <w:jc w:val="both"/>
      </w:pPr>
      <w:r>
        <w:rPr>
          <w:rFonts w:ascii="Arial" w:cs="Arial" w:eastAsia="Arial" w:hAnsi="Arial"/>
          <w:sz w:val="24"/>
          <w:szCs w:val="24"/>
        </w:rPr>
        <w:t xml:space="preserve">(**) Примечание: В структуре айыл окмоту могут быть участковый врач, ветеринарный врач, сотрудник органов внутренних дел (участковый инспектор). Кандидаты на должности участкового врача, ветеринарного врача, участкового инспектора (сотрудник органов внутренних дел) могут набираться на контрактной основе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 Примечание: Заведующий финансово-экономическим отделом главный бухгалтер айыл окмоту назначается на должность и освобождается от занимаемой должности главой айыл окмоту с согласия большинства депутатов местного кенеша и территориального органа Министерства финансов Кыргызской Республики.</w:t>
      </w:r>
    </w:p>
    <w:p>
      <w:pPr>
        <w:spacing w:after="120"/>
        <w:jc w:val="both"/>
      </w:pPr>
      <w:r>
        <w:rPr>
          <w:rFonts w:ascii="Arial" w:cs="Arial" w:eastAsia="Arial" w:hAnsi="Arial"/>
          <w:sz w:val="24"/>
          <w:szCs w:val="24"/>
        </w:rPr>
        <w:t xml:space="preserve">(****) Примечание: В айылных аймаках с численностью населения до 5 тыс. человек обязанности ведущего специалиста по экономике и статистике возлагаются на ведущего специалиста по доходам.</w:t>
      </w:r>
    </w:p>
    <w:p>
      <w:pPr>
        <w:spacing w:after="120"/>
        <w:jc w:val="both"/>
      </w:pPr>
      <w:r>
        <w:rPr>
          <w:rFonts w:ascii="Arial" w:cs="Arial" w:eastAsia="Arial" w:hAnsi="Arial"/>
          <w:sz w:val="24"/>
          <w:szCs w:val="24"/>
        </w:rPr>
        <w:t xml:space="preserve">(*****) Примечание: Для обеспечения выполнения требований всеобщей воинской обязанности количество военно-учетного персонала устанавливается согласно следующим нормам нагрузки:</w:t>
      </w:r>
    </w:p>
    <w:p>
      <w:pPr>
        <w:spacing w:after="120"/>
        <w:jc w:val="both"/>
      </w:pPr>
      <w:r>
        <w:rPr>
          <w:rFonts w:ascii="Arial" w:cs="Arial" w:eastAsia="Arial" w:hAnsi="Arial"/>
          <w:sz w:val="24"/>
          <w:szCs w:val="24"/>
        </w:rPr>
        <w:t xml:space="preserve">- при наличии на учете до 300 военнообязанных и призывников - один освобожденный работник - инспектор военно-учетного стола;</w:t>
      </w:r>
    </w:p>
    <w:p>
      <w:pPr>
        <w:spacing w:after="120"/>
        <w:jc w:val="both"/>
      </w:pPr>
      <w:r>
        <w:rPr>
          <w:rFonts w:ascii="Arial" w:cs="Arial" w:eastAsia="Arial" w:hAnsi="Arial"/>
          <w:sz w:val="24"/>
          <w:szCs w:val="24"/>
        </w:rPr>
        <w:t xml:space="preserve">- при наличии на учете от 300 до 1000 военнообязанных и призывников - два освобожденных работника и на каждые последующие 1000 военнообязанных и призывников - по одному освобожденному работнику - инспектору военно-учетного стола.</w:t>
      </w:r>
    </w:p>
    <w:p>
      <w:pPr>
        <w:spacing w:after="120"/>
        <w:jc w:val="both"/>
      </w:pPr>
      <w:r>
        <w:rPr>
          <w:rFonts w:ascii="Arial" w:cs="Arial" w:eastAsia="Arial" w:hAnsi="Arial"/>
          <w:sz w:val="24"/>
          <w:szCs w:val="24"/>
        </w:rPr>
        <w:t xml:space="preserve">(******) Примечание: По решению айылных кенешей могут вводиться должности айыл башчысы (старосты айыла) на уровне ведущих специалистов айыл окмоту.".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afyyf6brkldljtv7fwe">
      <w:r>
        <w:rPr>
          <w:rFonts w:ascii="Arial" w:cs="Arial" w:eastAsia="Arial" w:hAnsi="Arial"/>
          <w:color w:val="132D3F"/>
          <w:sz w:val="16"/>
          <w:szCs w:val="16"/>
          <w:u w:val="single"/>
        </w:rPr>
        <w:t xml:space="preserve">dalil.kg/document/93848</w:t>
      </w:r>
    </w:hyperlink>
  </w:p>
  <w:p>
    <w:pPr>
      <w:spacing w:after="0" w:before="40"/>
      <w:jc w:val="center"/>
    </w:pPr>
    <w:hyperlink w:history="1" r:id="rIdw20n2cc1g8btsdyr8mpp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cj2t1n2k3ludbccpxki" Type="http://schemas.openxmlformats.org/officeDocument/2006/relationships/hyperlink" Target="https://dalil.kg/document/160675" TargetMode="External"/><Relationship Id="rId-sdyeo-qymrqo9cpnnsp9" Type="http://schemas.openxmlformats.org/officeDocument/2006/relationships/hyperlink" Target="https://dalil.kg/document/203102" TargetMode="External"/><Relationship Id="rIdc-ndchu3totbybhtorqm6" Type="http://schemas.openxmlformats.org/officeDocument/2006/relationships/hyperlink" Target="https://dalil.kg/document/92753" TargetMode="External"/><Relationship Id="rIdi5snrgkxuec3jxthmrxvr" Type="http://schemas.openxmlformats.org/officeDocument/2006/relationships/hyperlink" Target="https://dalil.kg/document/927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afyyf6brkldljtv7fwe" Type="http://schemas.openxmlformats.org/officeDocument/2006/relationships/hyperlink" Target="https://dalil.kg/document/93848" TargetMode="External"/><Relationship Id="rIdw20n2cc1g8btsdyr8mpp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2026-09-23T18:47:58.605Z</dcterms:created>
  <dcterms:modified xsi:type="dcterms:W3CDTF">2026-09-23T18:47:58.605Z</dcterms:modified>
</cp:coreProperties>
</file>

<file path=docProps/custom.xml><?xml version="1.0" encoding="utf-8"?>
<Properties xmlns="http://schemas.openxmlformats.org/officeDocument/2006/custom-properties" xmlns:vt="http://schemas.openxmlformats.org/officeDocument/2006/docPropsVTypes"/>
</file>