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hixhpwdknnyglw8kjx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2007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финансировании здравоохранения на программной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формирования государственного бюджета здравоохранения на программной основе, а также в соответствии с соглашением о гранте на цели развития </w:t>
      </w:r>
      <w:hyperlink w:history="1" r:id="rIdwozdromisikyo3oubn3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реформы здравоохранения Кыргызской Республики «Манас-Таалими» на 2006-2010 годы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ruxsuj5kpuopffcdmj0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исполнения бюджета здравоохранения на программной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совместно с Министерством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начиная с 2007 года расходы республиканского бюджета на здравоохранение формировать на программной основе в целом по республике, областям и городу Ош в соответствии с Порядком, утвержденным пунктом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Бишкекскому городскому кенешу при формировании расходов местного бюджета на здравоохранение руководствоваться Порядком, утвержденным пунктом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республиканского бюджета на 2007 год на </w:t>
      </w:r>
      <w:r>
        <w:rPr>
          <w:rFonts w:ascii="Arial" w:cs="Arial" w:eastAsia="Arial" w:hAnsi="Arial"/>
          <w:sz w:val="24"/>
          <w:szCs w:val="24"/>
        </w:rPr>
        <w:t xml:space="preserve">Программу государственных гарантий медико-санитарной помощи и Программу общественного здравоохранения по единой статье равномерно распределить по кварталам, обеспечив средствами гранта SWAp синхронизацию сезонных колебаний поступления бюджетных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и мониторинг исполнения бюджета по расходам на здравоохранение в программном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для поддержки сельского здравоохранения, начиная с 2007 года в пределах утвержденного бюджета текущих расходов, повышающий коэффициент к нормативам финансирования организаций здравоохранения за условия работы в сельской местности и малых городах по методике и в размерах, утвержденных </w:t>
      </w:r>
      <w:hyperlink w:history="1" r:id="rIdevf_sevogwowkxjkxjf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2005 года № 280 «О минимальных стандартах бюджетного финансирования здравоохранения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ежеквартальное формирование отчетности о консолидированных расходах на здравоохранение в программном формате, с разделением источников финансирования из средств республиканского бюджета, местного бюджета города Бишкек, обязательного медицинского страхования, специальных средств и сооплаты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представление сводной отчетности о финансировании здравоохранения в программном формате Министерству финансов Кыргызской Республики для ежегодного построения среднесрочной матрицы расходов в секторе здравоохранения, а также донорским организациям по проекту SWap.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--doa7jxxtq5z36-cxn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2004 года № 106 «О переводе учреждений государственной санитарно-эпидемиологической службы на финансирование в системе Единого плательщика».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управление социального развития и информации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4py0nnhytd8sfk-p9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dalil.kg/document/93932</w:t>
      </w:r>
    </w:hyperlink>
  </w:p>
  <w:p>
    <w:pPr>
      <w:spacing w:after="0" w:before="40"/>
      <w:jc w:val="center"/>
    </w:pPr>
    <w:hyperlink w:history="1" r:id="rIdaqw9ix3zbcnhrmsgmln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ixhpwdknnyglw8kjxhe" Type="http://schemas.openxmlformats.org/officeDocument/2006/relationships/hyperlink" Target="https://dalil.kg/document/230024337" TargetMode="External"/><Relationship Id="rIdwozdromisikyo3oubn3wx" Type="http://schemas.openxmlformats.org/officeDocument/2006/relationships/hyperlink" Target="https://dalil.kg/document/57155" TargetMode="External"/><Relationship Id="rIdruxsuj5kpuopffcdmj0q_" Type="http://schemas.openxmlformats.org/officeDocument/2006/relationships/hyperlink" Target="https://dalil.kg/document/93933" TargetMode="External"/><Relationship Id="rIdevf_sevogwowkxjkxjfcx" Type="http://schemas.openxmlformats.org/officeDocument/2006/relationships/hyperlink" Target="https://dalil.kg/document/56401" TargetMode="External"/><Relationship Id="rId--doa7jxxtq5z36-cxnd2" Type="http://schemas.openxmlformats.org/officeDocument/2006/relationships/hyperlink" Target="https://dalil.kg/document/551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4py0nnhytd8sfk-p9xv" Type="http://schemas.openxmlformats.org/officeDocument/2006/relationships/hyperlink" Target="https://dalil.kg/document/93932" TargetMode="External"/><Relationship Id="rIdaqw9ix3zbcnhrmsgmln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2026-09-24T04:55:46.979Z</dcterms:created>
  <dcterms:modified xsi:type="dcterms:W3CDTF">2026-09-24T04:55:46.979Z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