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qslnczlclqlk5rpcl7q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от 21 мая 2007 года № 184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формирования и исполнения бюджета здравоохранения на программной основе</w:t>
      </w:r>
    </w:p>
    <w:p>
      <w:pPr>
        <w:spacing w:after="120"/>
        <w:ind w:firstLin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hqdszdvqot7imyzuoh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марта 2012 года №209)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Введение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Настоящий порядок формирования и исполнения бюджетных расходов на здравоохранение в программном формате (далее - Порядок) регулирует процедуры их распределения по регионам республики и основным отраслевым программам.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В соответствии с </w:t>
      </w:r>
      <w:hyperlink w:history="1" r:id="rIdf7uq30lt6adnhlxta_q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февраля 2006 года № 100 «О Национальной программе реформы здравоохранения Кыргызской Республики «Манас-таалими на 2006-2010 годы», основными отраслевыми программами в секторе здравоохранения являются: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государственных гарантий медико-санитарной помощи гражданам Кыргызской Республики;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дополнительная программа обязательного медицинского страхования по обеспечению застрахованных граждан лекарственными средствами на первичном уровне;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высокотехнологичных и дорогостоящих видов медицинской помощи;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общественное здравоохранение;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администрирование, медико-социальная, реабилитационная помощь, наука, образование и прочие услуги.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Расходы на здравоохранение формируются из средств: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бюджета;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местного бюджета города Бишкек, по согласованию с Бишкекским городским Кенешем, депутатов;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обязательного медицинского страхования;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специальных средств и сооплаты населения.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Формат консолидированного бюджета здравоохранения на программной основе приведен в </w:t>
      </w:r>
      <w:hyperlink w:history="1" r:id="rIde1ino3gl-sugznle9xd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Порядок формирования расходов здравоохранения на программной основе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Расходы из специальных средств, средств обязательного медицинского страхования и сооплаты населения распределяются по программам на основе базовых условий предыдущего года с учетом изменения тарифной политики на следующий год.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Расходы на здравоохранение из средств республиканского бюджета и местного бюджета города Бишкек, по согласованию с Бишкекским городским Кенешем депутатов, ежегодно распределяются Министерством здравоохранения Кыргызской Республики (далее Минздрав) по программам на основе политики отраслевых приоритетов, регионального выравнивания по минимальным стандартам бюджетного финансирования здравоохранения Кыргызской Республики(1) (далее - МСБФ).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2.3. Распределение бюджетных расходов на здравоохранение на основе МСБФ осуществляется по областям, городам Бишкек и Ош по программам, приведенным в пункте 1.2 настоящего Порядка в формате, приведенном в </w:t>
      </w:r>
      <w:hyperlink w:history="1" r:id="rIdnjsj4nvtwgsagfgzryr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Формирование бюджета здравоохранения на программной основе осуществляется в соответствии с функциональной классификацией бюджетных расходов(2), приведенной в </w:t>
      </w:r>
      <w:hyperlink w:history="1" r:id="rIdlnjn34jbtpllmqwcc4a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Порядок исполнения государственного бюджета здравоохранения на программной основе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Расходы на </w:t>
      </w:r>
      <w:r>
        <w:rPr>
          <w:rFonts w:ascii="Arial" w:cs="Arial" w:eastAsia="Arial" w:hAnsi="Arial"/>
          <w:sz w:val="24"/>
          <w:szCs w:val="24"/>
        </w:rPr>
        <w:t xml:space="preserve">Программу</w:t>
      </w:r>
      <w:r>
        <w:rPr>
          <w:rFonts w:ascii="Arial" w:cs="Arial" w:eastAsia="Arial" w:hAnsi="Arial"/>
          <w:sz w:val="24"/>
          <w:szCs w:val="24"/>
        </w:rPr>
        <w:t xml:space="preserve"> государственных гарантий медико-санитарной помощи гражданам Кыргызской Республики (далее - ПГГ) формируются из средств республиканского бюджета, включая грант SWAp по административной классификации расходов 2701003-2701012, местного бюджета города Бишкек, по согласованию с Бишкекским городским Кенешем депутатов, специальных средств, средств обязательного медицинского страхования на работающих граждан и средств республиканского бюджета на обязательное медицинское страхование нетрудоспособных и малоимущих граждан.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Исполнительным органом по финансированию, отчетности и мониторингу исполнения ПГГ является Фонд обязательного медицинского страхования </w:t>
      </w: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(далее - ФОМС) и его территориальные управления в областях и город Бишкек.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стадии разработки проектов республиканского бюджета и местного бюджета города Бишкек расходы на исполнение ПГГ определяются </w:t>
      </w:r>
      <w:r>
        <w:rPr>
          <w:rFonts w:ascii="Arial" w:cs="Arial" w:eastAsia="Arial" w:hAnsi="Arial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, по согласованию с Бишкекским городским Кенешем депутатов, на основании шкалы МСБФ и норматива ее покрытия.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ФОМС распределяет утвержденные бюджетные расходы на ПГГ по подпрограммам, на основании сложившихся условий в базовом году с последующим выравниванием средней стоимости лечения в 2013 году в целом по республике и с учетом принятой политики финансирования отраслевых приоритетов на основе МСБФ.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ПГГ в экономической классификации бюджетных расходов отражаются по элементу </w:t>
      </w:r>
      <w:r>
        <w:rPr>
          <w:rFonts w:ascii="Arial" w:cs="Arial" w:eastAsia="Arial" w:hAnsi="Arial"/>
          <w:sz w:val="24"/>
          <w:szCs w:val="24"/>
        </w:rPr>
        <w:t xml:space="preserve">22.16.11.00</w:t>
      </w:r>
      <w:r>
        <w:rPr>
          <w:rFonts w:ascii="Arial" w:cs="Arial" w:eastAsia="Arial" w:hAnsi="Arial"/>
          <w:sz w:val="24"/>
          <w:szCs w:val="24"/>
        </w:rPr>
        <w:t xml:space="preserve"> «Расходы, представленные единой статьей в системе здравоохранения (Единый плательщик)».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8jgwimkswhubmottjwr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марта 2012 года №209)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Расходы на дополнительную программу обязательного медицинского страхования по обеспечению лекарственными средствами на амбулаторном уровне финансируются из страховых взносов на обязательное медицинское страхование работающих граждан и части средств республиканского бюджета на обязательное медицинское страхование нетрудоспособных и малоимущих граждан.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3.3. Расходы по программе «Фонд высокотехнологичных и дорогостоящих видов медицинской помощи» (далееФВТ) определяются по базовым условиям предыдущего года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об образовании Фонда высокотехнологичных (дорогостоящих) видов медицинской помощи Министерства здравоохранения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мая 2002 года № 287 «Об образовании Фонда высокотехнологичных (дорогостоящих) видов медицинской помощи Министерства здравоохранения Кыргызской Республики».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Бюджетное исполнение сметы расходов по ФВТ осуществляется путем централизации оплаты расходов с отражением движения бюджетного финансирования в бухгалтерском учете Министерства здравоохранения Кыргызской Республики и организаций здравоохранения, предоставляющих услуги за счет средств ФВТ.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3.4. Расходы на программу «Общественное здравоохранение» формируются из средств республиканского бюджета, включая грант SWAp по административной классификации 2701002, средств местного бюджета города Бишкек, по согласованию с Бишкекским городским Кенешем депутатов, по расходам функциональной классификации 7074003-7074008, и специальных средств, поступающих за услуги по программе.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расходы определяются по базовым условиям предыдущего года с учетом политики повышения заработной платы, изменения тарифов на коммунальные услуги, а также политики выравнивания финансирования регионов за счет гранта SWAp на основании потребности по шкале МСБФ и единого норматива ее покрытия.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расчетном показателе подушевого финансирования программы «Общественное здравоохранение», полученном на основе шкалы и норматива покрытия, выделяются расходы на оплату труда. Они устанавливаются по фактическим затратам за предыдущий год с учетом политики повышения заработной платы, разделяются на основную заработную плату, надбавки и доплаты.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общих расходов по территориальным организациям общественного здравоохранения производится на основе потребности по МСБФ в расчете на душу населения обслуживаемого региона и единого по республике норматива ее покрытия.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по программе определяются расходы на централизованную закупку иммунобиологических препаратов по предупреждению инфекционных заболеваний.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программе «Общественное здравоохранение» в экономической классификации отражаются по элементу </w:t>
      </w:r>
      <w:r>
        <w:rPr>
          <w:rFonts w:ascii="Arial" w:cs="Arial" w:eastAsia="Arial" w:hAnsi="Arial"/>
          <w:sz w:val="24"/>
          <w:szCs w:val="24"/>
        </w:rPr>
        <w:t xml:space="preserve">22.16.11.00</w:t>
      </w:r>
      <w:r>
        <w:rPr>
          <w:rFonts w:ascii="Arial" w:cs="Arial" w:eastAsia="Arial" w:hAnsi="Arial"/>
          <w:sz w:val="24"/>
          <w:szCs w:val="24"/>
        </w:rPr>
        <w:t xml:space="preserve"> «Расходы, представленные единой статьей».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Плановые расходы на программу «Общественное здравоохранение» из специальных средств, определяются на основе базовых условий предыдущего года с учетом изменения тарифной политики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6f2ihqjmmopbkxxx0a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марта 2012 года №209)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3.5. Расходы по программе «Администрирование, медико-социальная, реабилитационная помощь, наука, образование и прочие услуги» включают содержание: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центрального аппарата Минздрава (2701001),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учреждений образования (2701040),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учреждений медико-социальной, реабилитационной помощи и прочих услуг (хосписа, наркологических диспансеров, больниц и санаториев, автобаз, медико-информационных центров и других, не отнесенных к предыдущим программам) (2701002),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централизованных мероприятий по: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a. техническому обслуживанию и ремонту медицинского оборудования,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b. материально-техническому оснащению,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c. капитальному ремонту зданий и сооружений.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zfj2cfll-iz7681rgr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марта 2012 года №209)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Государственные расходы на программы: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высокотехнологичных (дорогостоящих) видов медицинской помощи Министерства здравоохранения Кыргызской Республики;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общественное здравоохранение;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администрирование, медико-социальная, реабилитационная помощь, наука и образование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 определяются республиканским бюджетом по административной классификации 2701002 и местным бюджетом города Бишкек, по согласованию с Бишкекским городским Кенешем депутатов.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Исполнительным органом по программе является Министерство здравоохранения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3.7. (утратил силу в соответствии с </w:t>
      </w:r>
      <w:hyperlink w:history="1" r:id="rIdgtwhf4fubqlorwcadzd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марта 2012 года №209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3.8. Роспись расходов по бюджету, специальным средствам и гранту SWAp в программном формате по учреждениям общественного здравоохранения, медико-социальной, реабилитационной помощи и прочим учреждениям города Бишкек, составляется и утверждаются</w:t>
      </w:r>
      <w:r>
        <w:rPr>
          <w:rFonts w:ascii="Arial" w:cs="Arial" w:eastAsia="Arial" w:hAnsi="Arial"/>
          <w:sz w:val="24"/>
          <w:szCs w:val="24"/>
        </w:rPr>
        <w:t xml:space="preserve"> Департаментом здравоохранения при мэрии города Бишкек</w:t>
      </w:r>
      <w:r>
        <w:rPr>
          <w:rFonts w:ascii="Arial" w:cs="Arial" w:eastAsia="Arial" w:hAnsi="Arial"/>
          <w:sz w:val="24"/>
          <w:szCs w:val="24"/>
        </w:rPr>
        <w:t xml:space="preserve"> по согласованию с Бишкекским городским Кенешем депутатов и Министерством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gy85ijkd00tfghaywg0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марта 2012 года №209)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Учет и отчетность, мониторинг исполнения бюджета на программной основе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Министерство здравоохранения Кыргызской Республики первоначально формирует сводную отчетность об исполнении смет расходов по средствам республиканского бюджета и специальным средствам в программном формате по обслуживаемым организациям здравоохранения.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Бишкекское территориальное управление ФОМС составляет отчет об исполнении местного бюджета города Бишкек и расходов по республиканскому бюджету в программном формате и представляет по согласованию с Бишкекским городским Кенешем депутатов: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ФОМСу об исполнении бюджета на финансирование ПГГ;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здравоохранения Кыргызской Республики об исполнении бюджета на финансирование здравоохранения по другим программам.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4.3. ФОМС формирует и представляет Министерству здравоохранения Кыргызской Республики сводную отчетность по областям, городам Бишкек и Ош о расходах на ПГГ в разрезе по подпрограммам, с разделением источников финансирования: из государственного бюджета, в том числе специальных средств, средств обязательного медицинского страхования и сооплаты населения.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Министерства здравоохранения Кыргызской Республики формирует сводную отчетность по всем отраслевым программам в целом по республике в разрезе областей, городов Бишкек и Ош, с разделением источников финансирования из государственного бюджета, специальных средств, средств обязательного медицинского страхования и сооплаты населения.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Для проведения мониторинга исполнения государственного бюджета по расходам на здравоохранение в программном формате используются данные Министерства финансов Кыргызской Республики, Центрального казначейства при Министерстве финансов Кыргызской Республики и Министерства здравоохранения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 (1) Шкала МСБФ утверждена </w:t>
      </w:r>
      <w:hyperlink w:history="1" r:id="rIdnjvorvkgjyzt6mw1nbd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2005 г. № 280 в ценовых и структурных условиях 2005 года, подлежит ежегодному пересчету на рост заработной платы и уровень инфляции и утверждению совместно с нормативом покрытия Минфином и Минздравом.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 (2) Функциональная, административная и экономическая классификация бюджетных расходов утверждена </w:t>
      </w:r>
      <w:r>
        <w:rPr>
          <w:rFonts w:ascii="Arial" w:cs="Arial" w:eastAsia="Arial" w:hAnsi="Arial"/>
          <w:sz w:val="24"/>
          <w:szCs w:val="24"/>
        </w:rPr>
        <w:t xml:space="preserve">приказом</w:t>
      </w:r>
      <w:r>
        <w:rPr>
          <w:rFonts w:ascii="Arial" w:cs="Arial" w:eastAsia="Arial" w:hAnsi="Arial"/>
          <w:sz w:val="24"/>
          <w:szCs w:val="24"/>
        </w:rPr>
        <w:t xml:space="preserve"> Министерства экономики и финансов Кыргызской Республики от 27 декабря 2006 года № 240-п.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wutmzbryhcu-tve6r_n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исполнения бюджета здравоохранения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на программной основе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консолидированного бюджета здравоохранения Кыргызской Республики на программной основе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1wyzoho05ie-kabaw4v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марта 2012 года №209)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91"/>
        <w:gridCol w:w="564"/>
        <w:gridCol w:w="912"/>
        <w:gridCol w:w="1388"/>
        <w:gridCol w:w="849"/>
        <w:gridCol w:w="725"/>
        <w:gridCol w:w="1315"/>
        <w:gridCol w:w="1113"/>
        <w:gridCol w:w="755"/>
        <w:gridCol w:w="466"/>
      </w:tblGrid>
      <w:tr>
        <w:tc>
          <w:tcPr>
            <w:tcW w:type="dxa" w:w="20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программы</w:t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строки</w:t>
            </w:r>
          </w:p>
        </w:tc>
        <w:tc>
          <w:tcPr>
            <w:tcW w:type="dxa" w:w="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программы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 г.Бишкек</w:t>
            </w:r>
          </w:p>
        </w:tc>
        <w:tc>
          <w:tcPr>
            <w:tcW w:type="dxa" w:w="7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бюджету</w:t>
            </w:r>
          </w:p>
        </w:tc>
        <w:tc>
          <w:tcPr>
            <w:tcW w:type="dxa" w:w="13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обязательного медицинского страхования</w:t>
            </w:r>
          </w:p>
        </w:tc>
        <w:tc>
          <w:tcPr>
            <w:tcW w:type="dxa" w:w="1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Сооплата</w:t>
            </w:r>
          </w:p>
        </w:tc>
        <w:tc>
          <w:tcPr>
            <w:tcW w:type="dxa" w:w="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гарантий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стационарная помощь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SBPb2Hl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противотуберкулезная помощь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SBPb2H2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психиатрическая помощь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SBPb2H3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онкологическая помощь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SBPb2H4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Стационарной медицинской помощи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SBPb2H5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медико-санитарная помощь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SBPblPCl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стоматологическая помощь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SBPb1PC2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скорая медицинская помощь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SBPblPC3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лекарственное обеспечение льготных категорий населения на амбулаторном уровне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SBPblPC4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Дополнительная программа обеспечения лекарственными средствами застрахованных граждан на амбулаторном уровне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высоких технологий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HTFb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здравоохранение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РНb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Администрирование, медико-социальная, реабилитационная помощь, организации образования медицинского профиля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технического обслуживания и ремонта оборудования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AESbl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капитального ремонта зданий и строительства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восстановительного лечения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AESb3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организации, включая центральный аппарат Министерства здравоохранения Кыргызской Республики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AESb4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образования медицинского профиля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nqt28xpfr_utb3i8joi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исполнения бюджета здравоохранения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на программной основе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бюджетных расходов на здравоохранение по областям, городам Бишкек и Ош на программной основе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m0t-cdyxxpmtqkbalef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марта 2012 года №209)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06"/>
        <w:gridCol w:w="493"/>
        <w:gridCol w:w="788"/>
        <w:gridCol w:w="635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</w:tblGrid>
      <w:tr>
        <w:tc>
          <w:tcPr>
            <w:tcW w:type="dxa" w:w="15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программы</w:t>
            </w:r>
          </w:p>
        </w:tc>
        <w:tc>
          <w:tcPr>
            <w:tcW w:type="dxa" w:w="4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строки</w:t>
            </w:r>
          </w:p>
        </w:tc>
        <w:tc>
          <w:tcPr>
            <w:tcW w:type="dxa" w:w="7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программы</w:t>
            </w:r>
          </w:p>
        </w:tc>
        <w:tc>
          <w:tcPr>
            <w:tcW w:type="dxa" w:w="6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676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областям: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Республиканские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гарантий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стационарная помощь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SBPb2Hl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противотуберкулезная помощь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SBPb2H2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психиатрическая помощь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SBPb2H3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онкологическая помощь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SBPb2H4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специализированной стационарной медицинской помощи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SBPb2H5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медико-санитарная помощь</w:t>
            </w:r>
          </w:p>
        </w:tc>
        <w:tc>
          <w:tcPr>
            <w:tcW w:type="dxa" w:w="4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SBPblPCl</w:t>
            </w:r>
          </w:p>
        </w:tc>
        <w:tc>
          <w:tcPr>
            <w:tcW w:type="dxa" w:w="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стоматологическая помощь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SBPblPC2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скорая медицинская помощь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SBPb1PC3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лекарственное обеспечение на амбулаторном уровне льготных категорий населения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SBPb1PC4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Дополнительная программа обеспечения лекарственными средствами на амбулаторном уровне застрахованных граждан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высоких технологий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HTFb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здравоохранение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PHb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Администрирование, медико-социальная, реабилитационная помощь, образование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технического обслуживания и ремонта оборудования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AESbl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капитального ремонта зданий и строительства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восстановительного лечения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организации, включая центральный аппарат Министерства здравоохранения Кыргызской Республики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образования медицинского профиля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AESb5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6rx8mowpbp5mu6mdygt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исполнения бюджета здравоохранения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на программной основе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Корреспонденция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параграфов казначейского отчета и программного бюджета по расходам на здравоохранение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программ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Наименование параграфов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гарантий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Первичная медико-санитарная помощь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Поликлиники (диспансеры) без коек и амбулатории - 7072101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Фельдшерско-акушерские пункты - 7072102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Центры семейной медицины - 7072103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Центры общеврачебной практики - 7072104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Группы семейных врачей - 7072105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Специализированные поликлиники - 7072201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Диагностические центры - 7072202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Станции и отделения скорой помощи - 7074002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Стоматологические кабинеты при ЦСМ и поликлиники - 7072301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Стационарная помощь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Детские больницы - 7073101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Больницы широкого профиля - 7073102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Клиники научно-исследовательских институтов и центров - 7073201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Наркологические больницы (диспансеры) - 7073203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Кожно-венерологические больницы (диспансеры) - 7073206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Инфекционные больницы - 7073207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Прочие специализированные больницы - 7073208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Родильные дома - 7073301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Фонд высокотехнологичных и дорогостоящих видов медицинской помощи (ФВТ)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высоких технологий - 7076006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Программа »общественное здравоохранение»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Санитарно-эпидемиологические центры карантинных и опасных инфекций - 7074003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Дезинфекционные станции - 7074004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Мероприятия по борьбе с эпидемиями - 7074006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Центры по борьбе со СПИДом - 7074007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Центры здоровья и мероприятия по санитарному просвещению - 7074008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Медико-социальная и реабилитационная помощь, администрирование, образование и другие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Психоневрологические больницы (диспансеры) - 7073202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Онкологические больницы (диспансеры) - 7073204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Туберкулезные больницы (диспансеры) - 7073205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Больницы восстановительного лечения - 7073401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Санатории для больных туберкулезом - 7073402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Санатории для детей и подростков нетуберкулезные - 7073403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Администрирование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Центральный аппарат Минздрава - 2701001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Централизованные бухгалтерии - 7076002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Фонд технического обслуживания и ремонта медицинского оборудования (ФТО)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технического обслуживания - 7076007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Централизованное хозяйственное обслуживание - 7076003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Прочие услуги раздела «здравоохранение», не отраженные по другим программам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Дома ребенка - 7074005, Станции переливания крови - 7074002, Прочие услуги, не отнесенные к другим категориям - 7076004, Автобазы - 7076005, Другие расходы раздела »здравоохранение» - 7076090, Подведомственные предприятия и хозяйственные организации - 7076009, Консультации »Брак и семья»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Образование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Параграф - 2701040 (КГМА - 70094001, КГМИП - 7095002) 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slnczlclqlk5rpcl7quf" Type="http://schemas.openxmlformats.org/officeDocument/2006/relationships/hyperlink" Target="http://kodeks.duckdns.org/document/93932" TargetMode="External"/><Relationship Id="rIdchqdszdvqot7imyzuoho6" Type="http://schemas.openxmlformats.org/officeDocument/2006/relationships/hyperlink" Target="http://kodeks.duckdns.org/document/92992" TargetMode="External"/><Relationship Id="rIdf7uq30lt6adnhlxta_q11" Type="http://schemas.openxmlformats.org/officeDocument/2006/relationships/hyperlink" Target="http://kodeks.duckdns.org/document/57155" TargetMode="External"/><Relationship Id="rIde1ino3gl-sugznle9xd2m" Type="http://schemas.openxmlformats.org/officeDocument/2006/relationships/hyperlink" Target="http://kodeks.duckdns.org/document/93933#p1" TargetMode="External"/><Relationship Id="rIdnjsj4nvtwgsagfgzryrcz" Type="http://schemas.openxmlformats.org/officeDocument/2006/relationships/hyperlink" Target="http://kodeks.duckdns.org/document/93933#p2" TargetMode="External"/><Relationship Id="rIdlnjn34jbtpllmqwcc4aeb" Type="http://schemas.openxmlformats.org/officeDocument/2006/relationships/hyperlink" Target="http://kodeks.duckdns.org/document/93933#p3" TargetMode="External"/><Relationship Id="rId8jgwimkswhubmottjwrzf" Type="http://schemas.openxmlformats.org/officeDocument/2006/relationships/hyperlink" Target="http://kodeks.duckdns.org/document/92992" TargetMode="External"/><Relationship Id="rIdu6f2ihqjmmopbkxxx0ayd" Type="http://schemas.openxmlformats.org/officeDocument/2006/relationships/hyperlink" Target="http://kodeks.duckdns.org/document/92992" TargetMode="External"/><Relationship Id="rIdazfj2cfll-iz7681rgrkj" Type="http://schemas.openxmlformats.org/officeDocument/2006/relationships/hyperlink" Target="http://kodeks.duckdns.org/document/92992" TargetMode="External"/><Relationship Id="rIdgtwhf4fubqlorwcadzdgw" Type="http://schemas.openxmlformats.org/officeDocument/2006/relationships/hyperlink" Target="http://kodeks.duckdns.org/document/92992" TargetMode="External"/><Relationship Id="rIdmgy85ijkd00tfghaywg0f" Type="http://schemas.openxmlformats.org/officeDocument/2006/relationships/hyperlink" Target="http://kodeks.duckdns.org/document/92992" TargetMode="External"/><Relationship Id="rIdnjvorvkgjyzt6mw1nbddu" Type="http://schemas.openxmlformats.org/officeDocument/2006/relationships/hyperlink" Target="http://kodeks.duckdns.org/document/56401" TargetMode="External"/><Relationship Id="rIdwutmzbryhcu-tve6r_njn" Type="http://schemas.openxmlformats.org/officeDocument/2006/relationships/hyperlink" Target="http://kodeks.duckdns.org/document/93933" TargetMode="External"/><Relationship Id="rId-1wyzoho05ie-kabaw4v6" Type="http://schemas.openxmlformats.org/officeDocument/2006/relationships/hyperlink" Target="http://kodeks.duckdns.org/document/92992" TargetMode="External"/><Relationship Id="rIdnqt28xpfr_utb3i8joifz" Type="http://schemas.openxmlformats.org/officeDocument/2006/relationships/hyperlink" Target="http://kodeks.duckdns.org/document/93933" TargetMode="External"/><Relationship Id="rId8m0t-cdyxxpmtqkbalef0" Type="http://schemas.openxmlformats.org/officeDocument/2006/relationships/hyperlink" Target="http://kodeks.duckdns.org/document/92992" TargetMode="External"/><Relationship Id="rId6rx8mowpbp5mu6mdygt9l" Type="http://schemas.openxmlformats.org/officeDocument/2006/relationships/hyperlink" Target="http://kodeks.duckdns.org/document/93933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2026-09-23T08:26:56.234Z</dcterms:created>
  <dcterms:modified xsi:type="dcterms:W3CDTF">2026-09-23T08:26:56.234Z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