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ssswvxtw7ji-qucweesl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22 октября 2012 года № 740</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vgj-aq0ozufrwqddhwbp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конституционного </w:t>
      </w:r>
      <w:hyperlink w:history="1" r:id="rId2q8ceyafiymdyt0kxjp2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1-snzxpk7es4gtpopcc2s">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79 </w:t>
      </w:r>
      <w:hyperlink w:history="1" r:id="rId6lxoy4l5l4whejtlyyeb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дополнений и изменения в некоторые законодательные акты Кыргызской Республики", инициированный депутатами Жогорку Кенеша Кыргызской Республики Бакир уулу Т., Айтматовой Ш.Ч. и Бекешевым Д.Д., дает согласие на его принятие с учетом следующих замечаний и предложений.</w:t>
      </w:r>
    </w:p>
    <w:p>
      <w:pPr>
        <w:spacing w:after="120"/>
        <w:jc w:val="both"/>
      </w:pPr>
      <w:r>
        <w:rPr>
          <w:rFonts w:ascii="Arial" w:cs="Arial" w:eastAsia="Arial" w:hAnsi="Arial"/>
          <w:sz w:val="24"/>
          <w:szCs w:val="24"/>
        </w:rPr>
        <w:t xml:space="preserve">По дополнениям, предусмотренным частью 1 статьи 1, абзацем вторым части 1 статьи 2, частью 2 и абзацем шестым части 3 статьи 3 проекта Закона, отмечаем следующее.</w:t>
      </w:r>
    </w:p>
    <w:p>
      <w:pPr>
        <w:spacing w:after="120"/>
        <w:jc w:val="both"/>
      </w:pPr>
      <w:r>
        <w:rPr>
          <w:rFonts w:ascii="Arial" w:cs="Arial" w:eastAsia="Arial" w:hAnsi="Arial"/>
          <w:sz w:val="24"/>
          <w:szCs w:val="24"/>
        </w:rPr>
        <w:t xml:space="preserve">Слова "преступление против половой неприкосновенности несовершеннолетнего, не достигшего четырнадцатилетнего возраста,", которые упоминаются в вышеобозначенных структурных элементах законопроекта, считаем целесообразным заменить словами "преступление против половой неприкосновенности малолетних и несовершеннолетних лиц".</w:t>
      </w:r>
    </w:p>
    <w:p>
      <w:pPr>
        <w:spacing w:after="120"/>
        <w:jc w:val="both"/>
      </w:pPr>
      <w:r>
        <w:rPr>
          <w:rFonts w:ascii="Arial" w:cs="Arial" w:eastAsia="Arial" w:hAnsi="Arial"/>
          <w:sz w:val="24"/>
          <w:szCs w:val="24"/>
        </w:rPr>
        <w:t xml:space="preserve">Так, согласно примечанию статьи 123 </w:t>
      </w:r>
      <w:hyperlink w:history="1" r:id="rIdgj1aeixic-krg9hd1km7r">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малолетним(ей) считается лицо, не достигшее четырнадцати лет, одновременно, в примечании к статье 129 данного Кодекса указывается, что малолетней считается девочка, не достигшая четырнадцати лет.</w:t>
      </w:r>
    </w:p>
    <w:p>
      <w:pPr>
        <w:spacing w:after="120"/>
        <w:jc w:val="both"/>
      </w:pPr>
      <w:r>
        <w:rPr>
          <w:rFonts w:ascii="Arial" w:cs="Arial" w:eastAsia="Arial" w:hAnsi="Arial"/>
          <w:sz w:val="24"/>
          <w:szCs w:val="24"/>
        </w:rPr>
        <w:t xml:space="preserve">В части 1 статьи 77 названного Кодекса дается общее понятие, что несовершеннолетними признаются лица, которым не исполнилось восемнадцать лет.</w:t>
      </w:r>
    </w:p>
    <w:p>
      <w:pPr>
        <w:spacing w:after="120"/>
        <w:jc w:val="both"/>
      </w:pPr>
      <w:r>
        <w:rPr>
          <w:rFonts w:ascii="Arial" w:cs="Arial" w:eastAsia="Arial" w:hAnsi="Arial"/>
          <w:sz w:val="24"/>
          <w:szCs w:val="24"/>
        </w:rPr>
        <w:t xml:space="preserve">Дополнительно в абзаце втором части 1 статьи 2 законопроекта слова "обвиняемого в" предлагаем заменить словами "обвиняемого при".</w:t>
      </w:r>
    </w:p>
    <w:p>
      <w:pPr>
        <w:spacing w:after="120"/>
        <w:jc w:val="both"/>
      </w:pPr>
      <w:r>
        <w:rPr>
          <w:rFonts w:ascii="Arial" w:cs="Arial" w:eastAsia="Arial" w:hAnsi="Arial"/>
          <w:sz w:val="24"/>
          <w:szCs w:val="24"/>
        </w:rPr>
        <w:t xml:space="preserve">Относительно возраста осужденных, совершивших преступление против половой неприкосновенности и половой свободы личности, указанного в вышеобозначенных статьях рассматриваемого законопроекта, следует отметить о его несоответствии положениям Уголовного кодекса.</w:t>
      </w:r>
    </w:p>
    <w:p>
      <w:pPr>
        <w:spacing w:after="120"/>
        <w:jc w:val="both"/>
      </w:pPr>
      <w:r>
        <w:rPr>
          <w:rFonts w:ascii="Arial" w:cs="Arial" w:eastAsia="Arial" w:hAnsi="Arial"/>
          <w:sz w:val="24"/>
          <w:szCs w:val="24"/>
        </w:rPr>
        <w:t xml:space="preserve">Так, согласно статье 17 обозначенного Кодекса, уголовной ответственности подлежит только вменяемое физическое лицо, совершившее преступление и достигшее возраста, установленного данным Кодексом.</w:t>
      </w:r>
    </w:p>
    <w:p>
      <w:pPr>
        <w:spacing w:after="120"/>
        <w:jc w:val="both"/>
      </w:pPr>
      <w:r>
        <w:rPr>
          <w:rFonts w:ascii="Arial" w:cs="Arial" w:eastAsia="Arial" w:hAnsi="Arial"/>
          <w:sz w:val="24"/>
          <w:szCs w:val="24"/>
        </w:rPr>
        <w:t xml:space="preserve">В соответствии со статьей 18 указанного Кодекса, уголовной ответственности подлежит лицо, которому до совершения преступления исполнилось шестнадцать лет. При этом, также следует отметить, что лицо, которому до совершения преступления исполнилось четырнадцать лет, подлежит уголовной ответственности, в том числе за изнасилование и за насильственные действия сексуального характера.</w:t>
      </w:r>
    </w:p>
    <w:p>
      <w:pPr>
        <w:spacing w:after="120"/>
        <w:jc w:val="both"/>
      </w:pPr>
      <w:r>
        <w:rPr>
          <w:rFonts w:ascii="Arial" w:cs="Arial" w:eastAsia="Arial" w:hAnsi="Arial"/>
          <w:sz w:val="24"/>
          <w:szCs w:val="24"/>
        </w:rPr>
        <w:t xml:space="preserve">Также, представленным проектом Закона предусматривается понятие "осужденный, страдающий расстройством сексуального предпочтения (педофилией), не исключающий вменяемости". Следует отметить, что законодательством Кыргызской Республики не предусмотрено обозначенное понятие. В связи с чем, использование данного термина не совсем корректно и имеет двусмысленное значение. Таким образом, предлагаем в рассматриваемом проекте раскрыть, конкретизировать смысл данного понятия и дать четкое определение, в целях точного применения его на практике.</w:t>
      </w:r>
    </w:p>
    <w:p>
      <w:pPr>
        <w:spacing w:after="120"/>
        <w:jc w:val="both"/>
      </w:pPr>
      <w:r>
        <w:rPr>
          <w:rFonts w:ascii="Arial" w:cs="Arial" w:eastAsia="Arial" w:hAnsi="Arial"/>
          <w:sz w:val="24"/>
          <w:szCs w:val="24"/>
        </w:rPr>
        <w:t xml:space="preserve">Отдельно по термину "педофилия" следует отметить, что данный термин является сугубо медицинским и сексологическим понятием. Термин "педофилия" не является синонимом сексуального насилия над детьми. Следует учесть, что не все больные педофилией (педофилы) склонны к преступным действиям, напрямую проявляющим их сексуальное отклонение при совершении половых преступлений против детей. При этом, не всякий преступник, совершивший сексуальное насилие над ребенком, может быть болен педофилией либо являться педофилом.</w:t>
      </w:r>
    </w:p>
    <w:p>
      <w:pPr>
        <w:spacing w:after="120"/>
        <w:jc w:val="both"/>
      </w:pPr>
      <w:r>
        <w:rPr>
          <w:rFonts w:ascii="Arial" w:cs="Arial" w:eastAsia="Arial" w:hAnsi="Arial"/>
          <w:sz w:val="24"/>
          <w:szCs w:val="24"/>
        </w:rPr>
        <w:t xml:space="preserve">При этом, следует обратить внимание на положение части 1 статьи 90 Уголовного кодекса Кыргызской Республики, согласно которому принудительные меры медицинского характера могут быть назначены судом в отношении психически больных, совершивших общественно опасные деяния, с целью лечения и предупреждения со стороны этих лиц новых общественно опасных деяний.</w:t>
      </w:r>
    </w:p>
    <w:p>
      <w:pPr>
        <w:spacing w:after="120"/>
        <w:jc w:val="both"/>
      </w:pPr>
      <w:r>
        <w:rPr>
          <w:rFonts w:ascii="Arial" w:cs="Arial" w:eastAsia="Arial" w:hAnsi="Arial"/>
          <w:sz w:val="24"/>
          <w:szCs w:val="24"/>
        </w:rPr>
        <w:t xml:space="preserve">Частью 3 статьи 1 законопроекта предлагается статью 337 Уголовного кодекса Кыргызской Республики изложить в новой редакции, предусматривающей уклонение от отбывания наказания в виде лишения свободы, а также уклонение лица, страдающего расстройством сексуального предпочтения (педофилией), не исключающим вменяемости, от применения принудительных мер медицинского характера.</w:t>
      </w:r>
    </w:p>
    <w:p>
      <w:pPr>
        <w:spacing w:after="120"/>
        <w:jc w:val="both"/>
      </w:pPr>
      <w:r>
        <w:rPr>
          <w:rFonts w:ascii="Arial" w:cs="Arial" w:eastAsia="Arial" w:hAnsi="Arial"/>
          <w:sz w:val="24"/>
          <w:szCs w:val="24"/>
        </w:rPr>
        <w:t xml:space="preserve">В этой части предлагаем предусмотреть в целом положение об уклонении от применения мер медицинского характера и соответствующее наказание.</w:t>
      </w:r>
    </w:p>
    <w:p>
      <w:pPr>
        <w:spacing w:after="120"/>
        <w:jc w:val="both"/>
      </w:pPr>
      <w:r>
        <w:rPr>
          <w:rFonts w:ascii="Arial" w:cs="Arial" w:eastAsia="Arial" w:hAnsi="Arial"/>
          <w:sz w:val="24"/>
          <w:szCs w:val="24"/>
        </w:rPr>
        <w:t xml:space="preserve">Кроме того, необходимо отметить, что в соответствии со статьей 9-1 Закона Кыргызской Республики "Об органах и учреждениях уголовно-исполнительной (пенитенциарной системы) Кыргызской Республики, уголовно-исполнительная инспекция является органом, осуществляющим при содействии органов внутренних дел исполнение наказаний, не связанных с лишением свободы, в виде общественных работ, лишения права занимать определенную должность или заниматься определенной деятельностью, исправительных работ, ограничения свободы, а также контроль за поведением осужденных с условным неприменением наказания, контроль за беременными женщинами и женщинами, имеющими малолетних детей, в отношении которых исполнение наказания отсрочено, контроль за условно-досрочно освобожденными осужденными.</w:t>
      </w:r>
    </w:p>
    <w:p>
      <w:pPr>
        <w:spacing w:after="120"/>
        <w:jc w:val="both"/>
      </w:pPr>
      <w:r>
        <w:rPr>
          <w:rFonts w:ascii="Arial" w:cs="Arial" w:eastAsia="Arial" w:hAnsi="Arial"/>
          <w:sz w:val="24"/>
          <w:szCs w:val="24"/>
        </w:rPr>
        <w:t xml:space="preserve">В этой связи, учитывая, что функции по осуществлению контроля за применением принудительных мер медицинского характера не относятся к полномочиям уголовно-исполнительной инспекции, предлагаем часть 2 статьи 1, часть 1 статьи 3, а также слова ", в уголовно-исполнительную инспекцию по избранному им месту жительства", предусмотренные в абзаце шестом части 3 статьи 3 проекта Закона, исключить.</w:t>
      </w:r>
    </w:p>
    <w:p>
      <w:pPr>
        <w:spacing w:after="120"/>
        <w:jc w:val="both"/>
      </w:pPr>
      <w:r>
        <w:rPr>
          <w:rFonts w:ascii="Arial" w:cs="Arial" w:eastAsia="Arial" w:hAnsi="Arial"/>
          <w:sz w:val="24"/>
          <w:szCs w:val="24"/>
        </w:rPr>
        <w:t xml:space="preserve">Одновременно, следует отметить, что возложение функций по контролю за применением принудительных мер медицинского характера на уголовно-исполнительные инспекции повлечет за собой необходимость привлечения соответствующих медицинских специалистов и расширения штатных единиц.</w:t>
      </w:r>
    </w:p>
    <w:p>
      <w:pPr>
        <w:spacing w:after="120"/>
        <w:jc w:val="both"/>
      </w:pPr>
      <w:r>
        <w:rPr>
          <w:rFonts w:ascii="Arial" w:cs="Arial" w:eastAsia="Arial" w:hAnsi="Arial"/>
          <w:sz w:val="24"/>
          <w:szCs w:val="24"/>
        </w:rPr>
        <w:t xml:space="preserve">Также, дополнительно, по части 2 статьи 3 законопроекта, предусматривающей положение о том, что учреждение, исполняющее наказание, обязано обеспечивать проведение освидетельствования осужденного комиссией врачей-психиатров и применение к нему назначенных по результатам этого освидетельствования мер медицинского характера, отмечаем, что в учреждениях Государственной службы исполнения наказаний отсутствуют соответствующие возможности для осуществления вышеуказанной процедуры. Ввиду вышеизложенного возникает необходимость разработать законодательные нормы, предусматривающие возможность привлечения для обозначенной процедуры освидетельствования соответствующих медицинских специалистов.</w:t>
      </w:r>
    </w:p>
    <w:p>
      <w:pPr>
        <w:spacing w:after="120"/>
        <w:jc w:val="both"/>
      </w:pPr>
      <w:r>
        <w:rPr>
          <w:rFonts w:ascii="Arial" w:cs="Arial" w:eastAsia="Arial" w:hAnsi="Arial"/>
          <w:sz w:val="24"/>
          <w:szCs w:val="24"/>
        </w:rPr>
        <w:t xml:space="preserve">Необходимо отметить, что данным законопроектом предлагается узаконить химическую кастрацию для преступников, совершивших преступления против половой неприкосновенности несовершеннолетних, что, по мнению инициаторов законопроекта, позволит решить проблемы педофилии в Кыргызской Республике. Следует обратить внимание, что среди специалистов не до конца изучены моральные, медицинские и другие аспекты внедрения химической кастрации и не проведена правозащитная экспертиза данного законопроекта.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 Руководитель Аппарата</w:t>
      </w:r>
      <w:r>
        <w:rPr>
          <w:rFonts w:ascii="Arial" w:cs="Arial" w:eastAsia="Arial" w:hAnsi="Arial"/>
          <w:sz w:val="24"/>
          <w:szCs w:val="24"/>
        </w:rPr>
        <w:t xml:space="preserve">	</w:t>
      </w:r>
      <w:r>
        <w:rPr>
          <w:rFonts w:ascii="Arial" w:cs="Arial" w:eastAsia="Arial" w:hAnsi="Arial"/>
          <w:sz w:val="24"/>
          <w:szCs w:val="24"/>
        </w:rPr>
        <w:t xml:space="preserve">Н. 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hfdxsqz_3vey_po3miz">
      <w:r>
        <w:rPr>
          <w:rFonts w:ascii="Arial" w:cs="Arial" w:eastAsia="Arial" w:hAnsi="Arial"/>
          <w:color w:val="132D3F"/>
          <w:sz w:val="16"/>
          <w:szCs w:val="16"/>
          <w:u w:val="single"/>
        </w:rPr>
        <w:t xml:space="preserve">dalil.kg/document/93988</w:t>
      </w:r>
    </w:hyperlink>
  </w:p>
  <w:p>
    <w:pPr>
      <w:spacing w:after="0" w:before="40"/>
      <w:jc w:val="center"/>
    </w:pPr>
    <w:hyperlink w:history="1" r:id="rId5y8z4x4wagp_zklne54m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sswvxtw7ji-qucweeslk" Type="http://schemas.openxmlformats.org/officeDocument/2006/relationships/hyperlink" Target="https://dalil.kg/document/159126" TargetMode="External"/><Relationship Id="rIdvgj-aq0ozufrwqddhwbpk" Type="http://schemas.openxmlformats.org/officeDocument/2006/relationships/hyperlink" Target="https://dalil.kg/document/202913" TargetMode="External"/><Relationship Id="rId2q8ceyafiymdyt0kxjp23" Type="http://schemas.openxmlformats.org/officeDocument/2006/relationships/hyperlink" Target="https://dalil.kg/document/203685" TargetMode="External"/><Relationship Id="rId1-snzxpk7es4gtpopcc2s" Type="http://schemas.openxmlformats.org/officeDocument/2006/relationships/hyperlink" Target="https://dalil.kg/document/93988#p1" TargetMode="External"/><Relationship Id="rId6lxoy4l5l4whejtlyyeb5" Type="http://schemas.openxmlformats.org/officeDocument/2006/relationships/hyperlink" Target="https://dalil.kg/document/202913" TargetMode="External"/><Relationship Id="rIdgj1aeixic-krg9hd1km7r"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hfdxsqz_3vey_po3miz" Type="http://schemas.openxmlformats.org/officeDocument/2006/relationships/hyperlink" Target="https://dalil.kg/document/93988" TargetMode="External"/><Relationship Id="rId5y8z4x4wagp_zklne54m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2026-09-23T22:52:28.444Z</dcterms:created>
  <dcterms:modified xsi:type="dcterms:W3CDTF">2026-09-23T22:52:28.444Z</dcterms:modified>
</cp:coreProperties>
</file>

<file path=docProps/custom.xml><?xml version="1.0" encoding="utf-8"?>
<Properties xmlns="http://schemas.openxmlformats.org/officeDocument/2006/custom-properties" xmlns:vt="http://schemas.openxmlformats.org/officeDocument/2006/docPropsVTypes"/>
</file>