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января 2013 года № 34</w:t>
      </w:r>
    </w:p>
    <w:p>
      <w:pPr>
        <w:spacing w:after="120"/>
        <w:jc w:val="both"/>
      </w:pPr>
      <w:r>
        <w:rPr>
          <w:rFonts w:ascii="Arial" w:cs="Arial" w:eastAsia="Arial" w:hAnsi="Arial"/>
          <w:sz w:val="24"/>
          <w:szCs w:val="24"/>
        </w:rPr>
        <w:t xml:space="preserve">Об итогах работы Государственной комиссии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защите населения</w:t>
      </w:r>
    </w:p>
    <w:p>
      <w:pPr>
        <w:spacing w:after="120"/>
        <w:jc w:val="both"/>
      </w:pPr>
      <w:r>
        <w:rPr>
          <w:rFonts w:ascii="Arial" w:cs="Arial" w:eastAsia="Arial" w:hAnsi="Arial"/>
          <w:sz w:val="24"/>
          <w:szCs w:val="24"/>
        </w:rPr>
        <w:t xml:space="preserve">(В редакции </w:t>
      </w:r>
      <w:hyperlink w:history="1" r:id="rIddkhzfczmc_l2jvumgkxl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12 марта 2013 года № 127)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Заслушав отчет Государственной комиссии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защите населения (далее - Государственная комиссия), образованной </w:t>
      </w:r>
      <w:hyperlink w:history="1" r:id="rId7vykyeschechc7qe7pg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июля 2012 года № 465,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прилагаемый </w:t>
      </w:r>
      <w:hyperlink w:history="1" r:id="rIdzh9qh_4udbwwvqa7ds-7f">
        <w:r>
          <w:rPr>
            <w:rFonts w:ascii="Arial" w:cs="Arial" w:eastAsia="Arial" w:hAnsi="Arial"/>
            <w:color w:val="1D4ED8"/>
            <w:sz w:val="24"/>
            <w:szCs w:val="24"/>
            <w:u w:val="single"/>
          </w:rPr>
          <w:t xml:space="preserve">отчет</w:t>
        </w:r>
      </w:hyperlink>
      <w:r>
        <w:rPr>
          <w:rFonts w:ascii="Arial" w:cs="Arial" w:eastAsia="Arial" w:hAnsi="Arial"/>
          <w:sz w:val="24"/>
          <w:szCs w:val="24"/>
        </w:rPr>
        <w:t xml:space="preserve"> Государственной комиссии.</w:t>
      </w:r>
    </w:p>
    <w:p>
      <w:pPr>
        <w:spacing w:after="120"/>
        <w:jc w:val="both"/>
      </w:pPr>
      <w:r>
        <w:rPr>
          <w:rFonts w:ascii="Arial" w:cs="Arial" w:eastAsia="Arial" w:hAnsi="Arial"/>
          <w:sz w:val="24"/>
          <w:szCs w:val="24"/>
        </w:rPr>
        <w:t xml:space="preserve">2. Направить отчет Государственной комиссии:</w:t>
      </w:r>
    </w:p>
    <w:p>
      <w:pPr>
        <w:spacing w:after="120"/>
        <w:jc w:val="both"/>
      </w:pPr>
      <w:r>
        <w:rPr>
          <w:rFonts w:ascii="Arial" w:cs="Arial" w:eastAsia="Arial" w:hAnsi="Arial"/>
          <w:sz w:val="24"/>
          <w:szCs w:val="24"/>
        </w:rPr>
        <w:t xml:space="preserve">- в Жогорку Кенеш Кыргызской Республики;</w:t>
      </w:r>
    </w:p>
    <w:p>
      <w:pPr>
        <w:spacing w:after="120"/>
        <w:jc w:val="both"/>
      </w:pPr>
      <w:r>
        <w:rPr>
          <w:rFonts w:ascii="Arial" w:cs="Arial" w:eastAsia="Arial" w:hAnsi="Arial"/>
          <w:sz w:val="24"/>
          <w:szCs w:val="24"/>
        </w:rPr>
        <w:t xml:space="preserve">- совету директоров компании "Центерра Голд Инк.".</w:t>
      </w:r>
    </w:p>
    <w:p>
      <w:pPr>
        <w:spacing w:after="120"/>
        <w:jc w:val="both"/>
      </w:pPr>
      <w:r>
        <w:rPr>
          <w:rFonts w:ascii="Arial" w:cs="Arial" w:eastAsia="Arial" w:hAnsi="Arial"/>
          <w:sz w:val="24"/>
          <w:szCs w:val="24"/>
        </w:rPr>
        <w:t xml:space="preserve">3. Председателю Государственной комиссии представить отчет Государственной комиссии при рассмотрении в Жогорку Кенеше Кыргызской Республики.</w:t>
      </w:r>
    </w:p>
    <w:p>
      <w:pPr>
        <w:spacing w:after="120"/>
        <w:jc w:val="both"/>
      </w:pPr>
      <w:r>
        <w:rPr>
          <w:rFonts w:ascii="Arial" w:cs="Arial" w:eastAsia="Arial" w:hAnsi="Arial"/>
          <w:sz w:val="24"/>
          <w:szCs w:val="24"/>
        </w:rPr>
        <w:t xml:space="preserve">4. Рекомендовать Генеральной прокуратуре Кыргызской Республики совместно с Государственным комитетом национальной безопасности Кыргызской Республики дать правовую оценку фактам, изложенным в отчете Государственной комиссии, для установления меры ответственности должностных лиц, подписавших соглашения, договоры и иные документы, а также подготовивших юридические, технические и другие заключения с 1991 года по 2009 год по реализации проекта "Кумтор", за ущерб причиненный государству.</w:t>
      </w:r>
    </w:p>
    <w:p>
      <w:pPr>
        <w:spacing w:after="120"/>
        <w:jc w:val="both"/>
      </w:pPr>
      <w:r>
        <w:rPr>
          <w:rFonts w:ascii="Arial" w:cs="Arial" w:eastAsia="Arial" w:hAnsi="Arial"/>
          <w:sz w:val="24"/>
          <w:szCs w:val="24"/>
        </w:rPr>
        <w:t xml:space="preserve">5. Фонду по управлению государственным имуществом при Правительстве Кыргызской Республики и открытому акционерному обществу "Кыргызалтын" инициировать проведение внеочередного собрания акционеров компании "Центерра Голд Инк." и ознакомить с результатами работы Государственной комиссии, с разъяснением позиции Кыргызской Республики и вопросов о дальнейшем развитии проекта "Кумтор".</w:t>
      </w:r>
    </w:p>
    <w:p>
      <w:pPr>
        <w:spacing w:after="120"/>
        <w:jc w:val="both"/>
      </w:pPr>
      <w:r>
        <w:rPr>
          <w:rFonts w:ascii="Arial" w:cs="Arial" w:eastAsia="Arial" w:hAnsi="Arial"/>
          <w:sz w:val="24"/>
          <w:szCs w:val="24"/>
        </w:rPr>
        <w:t xml:space="preserve">6. (Утратил силу в соответствии с </w:t>
      </w:r>
      <w:hyperlink w:history="1" r:id="rIdck_t-pkmb6fy9hbf1iig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марта 2013 года № 127)</w:t>
      </w:r>
    </w:p>
    <w:p>
      <w:pPr>
        <w:spacing w:after="120"/>
        <w:jc w:val="both"/>
      </w:pPr>
      <w:r>
        <w:rPr>
          <w:rFonts w:ascii="Arial" w:cs="Arial" w:eastAsia="Arial" w:hAnsi="Arial"/>
          <w:sz w:val="24"/>
          <w:szCs w:val="24"/>
        </w:rPr>
        <w:t xml:space="preserve">7. (Утратил силу в соответствии с </w:t>
      </w:r>
      <w:hyperlink w:history="1" r:id="rIdf9c6felfwn_zd5wanxgy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марта 2013 года № 127)</w:t>
      </w:r>
    </w:p>
    <w:p>
      <w:pPr>
        <w:spacing w:after="120"/>
        <w:jc w:val="both"/>
      </w:pPr>
      <w:r>
        <w:rPr>
          <w:rFonts w:ascii="Arial" w:cs="Arial" w:eastAsia="Arial" w:hAnsi="Arial"/>
          <w:sz w:val="24"/>
          <w:szCs w:val="24"/>
        </w:rPr>
        <w:t xml:space="preserve">8. (Утратил силу в соответствии с</w:t>
      </w:r>
      <w:hyperlink w:history="1" r:id="rIdhuwpkxsjgvnrgc9kxznhe">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КР от 12 марта 2013 года № 127).</w:t>
      </w:r>
    </w:p>
    <w:p>
      <w:pPr>
        <w:spacing w:after="120"/>
        <w:jc w:val="both"/>
      </w:pPr>
      <w:r>
        <w:rPr>
          <w:rFonts w:ascii="Arial" w:cs="Arial" w:eastAsia="Arial" w:hAnsi="Arial"/>
          <w:sz w:val="24"/>
          <w:szCs w:val="24"/>
        </w:rPr>
        <w:t xml:space="preserve">9. Первому вице-премьер-министру Кыргызской Республики, Министерству экономики Кыргызской Республики, Министерству энергетики и промышленности Кыргызской Республики, Государственному агентству по геологии и минеральным ресурсам при Правительстве Кыргызской Республики, Фонду по управлению государственным имуществом при Правительстве Кыргызской Республики и открытому акционерному обществу "Кыргызалтын" принять меры по недопущению приостановления деятельности ЗАО "Кумтор оперейтинг компани", включая обеспечение непрерывного производственного цикла на руднике Кумтор на случай возникновения форс-мажорных обстоятельств, при необходимости внести соответствующие предложения в Правительство Кыргызской Республики.</w:t>
      </w:r>
    </w:p>
    <w:p>
      <w:pPr>
        <w:spacing w:after="120"/>
        <w:jc w:val="both"/>
      </w:pPr>
      <w:r>
        <w:rPr>
          <w:rFonts w:ascii="Arial" w:cs="Arial" w:eastAsia="Arial" w:hAnsi="Arial"/>
          <w:sz w:val="24"/>
          <w:szCs w:val="24"/>
        </w:rPr>
        <w:t xml:space="preserve">10. Министерству чрезвычайных ситуаций Кыргызской Республики, Министерству здравоохранения Кыргызской Республики, Государственному агентству охраны окружающей среды и лесного хозяйства при Правительстве Кыргызской Республики, Государственной инспекции по санитарной, ветеринарной и фитосанитарной безопасности при Правительстве Кыргызской Республики, Государственной инспекции по экологической и технической безопасности при Правительстве Кыргызской Республики, Государственному агентству по геологии и минеральным ресурсам при Правительстве Кыргызской Республики продолжить работу по плановой проверке деятельности ЗАО "Кумтор Оперейтинг Компани" на предмет соответствия законодательству Кыргызской Республики и принять меры в строгом соответствии с законодательством Кыргызской Республики.</w:t>
      </w:r>
    </w:p>
    <w:p>
      <w:pPr>
        <w:spacing w:after="120"/>
        <w:jc w:val="both"/>
      </w:pPr>
      <w:r>
        <w:rPr>
          <w:rFonts w:ascii="Arial" w:cs="Arial" w:eastAsia="Arial" w:hAnsi="Arial"/>
          <w:sz w:val="24"/>
          <w:szCs w:val="24"/>
        </w:rPr>
        <w:t xml:space="preserve">11. Министерству иностранных дел Кыргызской Республики совместно с Министерством экономики Кыргызской Республики провести информационную работу в средствах массовой информации по проекту "Кумтор", включая разъяснение для международной общественности.</w:t>
      </w:r>
    </w:p>
    <w:p>
      <w:pPr>
        <w:spacing w:after="120"/>
        <w:jc w:val="both"/>
      </w:pPr>
      <w:r>
        <w:rPr>
          <w:rFonts w:ascii="Arial" w:cs="Arial" w:eastAsia="Arial" w:hAnsi="Arial"/>
          <w:sz w:val="24"/>
          <w:szCs w:val="24"/>
        </w:rPr>
        <w:t xml:space="preserve">12. Государственному агентству по геологии и минеральным ресурсам при Правительстве Кыргызской Республики в установленном законодательством порядке рассмотреть вопрос об исполнении пункта 6 </w:t>
      </w:r>
      <w:hyperlink w:history="1" r:id="rIdjkthidifyk_fsr5_xkkh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Жогорку Кенеша Кыргызской Республики от 27 июня 2012 года № 2117-V.</w:t>
      </w:r>
    </w:p>
    <w:p>
      <w:pPr>
        <w:spacing w:after="120"/>
        <w:jc w:val="both"/>
      </w:pPr>
      <w:r>
        <w:rPr>
          <w:rFonts w:ascii="Arial" w:cs="Arial" w:eastAsia="Arial" w:hAnsi="Arial"/>
          <w:sz w:val="24"/>
          <w:szCs w:val="24"/>
        </w:rPr>
        <w:t xml:space="preserve">13.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к </w:t>
      </w:r>
      <w:hyperlink w:history="1" r:id="rIdldvyyncu1yrhm0gremar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24 января 2013 года № 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
 рабочей группы по проведению консультаций о пересмотре условий по проекту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Оторбаев Дж.К. - первый вице-премьер-министр Кыргызской Республики, руководитель рабочей группы;</w:t>
      </w:r>
    </w:p>
    <w:p>
      <w:pPr>
        <w:spacing w:after="120"/>
        <w:jc w:val="both"/>
      </w:pPr>
      <w:r>
        <w:rPr>
          <w:rFonts w:ascii="Arial" w:cs="Arial" w:eastAsia="Arial" w:hAnsi="Arial"/>
          <w:sz w:val="24"/>
          <w:szCs w:val="24"/>
        </w:rPr>
        <w:t xml:space="preserve">Момуналиев Н.С. - Руководитель Аппарата Правительства – министр Кыргызской Республики;</w:t>
      </w:r>
    </w:p>
    <w:p>
      <w:pPr>
        <w:spacing w:after="120"/>
        <w:jc w:val="both"/>
      </w:pPr>
      <w:r>
        <w:rPr>
          <w:rFonts w:ascii="Arial" w:cs="Arial" w:eastAsia="Arial" w:hAnsi="Arial"/>
          <w:sz w:val="24"/>
          <w:szCs w:val="24"/>
        </w:rPr>
        <w:t xml:space="preserve">Чунуев И.К. - директор 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Мукамбетов М.К. - первый заместитель Руководителя Аппарата Правительства Кыргызской Республики;</w:t>
      </w:r>
    </w:p>
    <w:p>
      <w:pPr>
        <w:spacing w:after="120"/>
        <w:jc w:val="both"/>
      </w:pPr>
      <w:r>
        <w:rPr>
          <w:rFonts w:ascii="Arial" w:cs="Arial" w:eastAsia="Arial" w:hAnsi="Arial"/>
          <w:sz w:val="24"/>
          <w:szCs w:val="24"/>
        </w:rPr>
        <w:t xml:space="preserve">Турусбеков Б.С. - заведующий отделом промышленности, топливно-энергетического комплекса и недропользования Аппарата Правительства Кыргызской Республики;</w:t>
      </w:r>
    </w:p>
    <w:p>
      <w:pPr>
        <w:spacing w:after="120"/>
        <w:jc w:val="both"/>
      </w:pPr>
      <w:r>
        <w:rPr>
          <w:rFonts w:ascii="Arial" w:cs="Arial" w:eastAsia="Arial" w:hAnsi="Arial"/>
          <w:sz w:val="24"/>
          <w:szCs w:val="24"/>
        </w:rPr>
        <w:t xml:space="preserve">Иминов М.С. - заведующий отделом правового обеспечения Аппарата Правительства Кыргызской Республики;</w:t>
      </w:r>
    </w:p>
    <w:p>
      <w:pPr>
        <w:spacing w:after="120"/>
        <w:jc w:val="both"/>
      </w:pPr>
      <w:r>
        <w:rPr>
          <w:rFonts w:ascii="Arial" w:cs="Arial" w:eastAsia="Arial" w:hAnsi="Arial"/>
          <w:sz w:val="24"/>
          <w:szCs w:val="24"/>
        </w:rPr>
        <w:t xml:space="preserve">Исмаилов А.Т. - заместитель заведующего отделом международного сотрудничества Аппарата Правительства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Государственной комиссии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2. Государственная комиссия. Задача и организация ее работы</w:t>
      </w:r>
    </w:p>
    <w:p>
      <w:pPr>
        <w:spacing w:after="120"/>
        <w:jc w:val="both"/>
      </w:pPr>
      <w:r>
        <w:rPr>
          <w:rFonts w:ascii="Arial" w:cs="Arial" w:eastAsia="Arial" w:hAnsi="Arial"/>
          <w:sz w:val="24"/>
          <w:szCs w:val="24"/>
        </w:rPr>
        <w:t xml:space="preserve">2.1. Задача Государственной комиссии</w:t>
      </w:r>
    </w:p>
    <w:p>
      <w:pPr>
        <w:spacing w:after="120"/>
        <w:jc w:val="both"/>
      </w:pPr>
      <w:r>
        <w:rPr>
          <w:rFonts w:ascii="Arial" w:cs="Arial" w:eastAsia="Arial" w:hAnsi="Arial"/>
          <w:sz w:val="24"/>
          <w:szCs w:val="24"/>
        </w:rPr>
        <w:t xml:space="preserve">2.2. Организация работы</w:t>
      </w:r>
    </w:p>
    <w:p>
      <w:pPr>
        <w:spacing w:after="120"/>
        <w:jc w:val="both"/>
      </w:pPr>
      <w:r>
        <w:rPr>
          <w:rFonts w:ascii="Arial" w:cs="Arial" w:eastAsia="Arial" w:hAnsi="Arial"/>
          <w:sz w:val="24"/>
          <w:szCs w:val="24"/>
        </w:rPr>
        <w:t xml:space="preserve">3. Текущий статус проекта "Кумтор"</w:t>
      </w:r>
    </w:p>
    <w:p>
      <w:pPr>
        <w:spacing w:after="120"/>
        <w:jc w:val="both"/>
      </w:pPr>
      <w:r>
        <w:rPr>
          <w:rFonts w:ascii="Arial" w:cs="Arial" w:eastAsia="Arial" w:hAnsi="Arial"/>
          <w:sz w:val="24"/>
          <w:szCs w:val="24"/>
        </w:rPr>
        <w:t xml:space="preserve">3.1. Описание проекта "Кумтор"</w:t>
      </w:r>
    </w:p>
    <w:p>
      <w:pPr>
        <w:spacing w:after="120"/>
        <w:jc w:val="both"/>
      </w:pPr>
      <w:r>
        <w:rPr>
          <w:rFonts w:ascii="Arial" w:cs="Arial" w:eastAsia="Arial" w:hAnsi="Arial"/>
          <w:sz w:val="24"/>
          <w:szCs w:val="24"/>
        </w:rPr>
        <w:t xml:space="preserve">3.2. Текущий статус</w:t>
      </w:r>
    </w:p>
    <w:p>
      <w:pPr>
        <w:spacing w:after="120"/>
        <w:jc w:val="both"/>
      </w:pPr>
      <w:r>
        <w:rPr>
          <w:rFonts w:ascii="Arial" w:cs="Arial" w:eastAsia="Arial" w:hAnsi="Arial"/>
          <w:sz w:val="24"/>
          <w:szCs w:val="24"/>
        </w:rPr>
        <w:t xml:space="preserve">4. Анализ проблем при реализации проекта "Кумтор"</w:t>
      </w:r>
    </w:p>
    <w:p>
      <w:pPr>
        <w:spacing w:after="120"/>
        <w:jc w:val="both"/>
      </w:pPr>
      <w:r>
        <w:rPr>
          <w:rFonts w:ascii="Arial" w:cs="Arial" w:eastAsia="Arial" w:hAnsi="Arial"/>
          <w:sz w:val="24"/>
          <w:szCs w:val="24"/>
        </w:rPr>
        <w:t xml:space="preserve">4.1. Анализ правовых отношений</w:t>
      </w:r>
    </w:p>
    <w:p>
      <w:pPr>
        <w:spacing w:after="120"/>
        <w:jc w:val="both"/>
      </w:pPr>
      <w:r>
        <w:rPr>
          <w:rFonts w:ascii="Arial" w:cs="Arial" w:eastAsia="Arial" w:hAnsi="Arial"/>
          <w:sz w:val="24"/>
          <w:szCs w:val="24"/>
        </w:rPr>
        <w:t xml:space="preserve">4.2. Экономический и социальный анализ проекта "Кумтор"</w:t>
      </w:r>
    </w:p>
    <w:p>
      <w:pPr>
        <w:spacing w:after="120"/>
        <w:jc w:val="both"/>
      </w:pPr>
      <w:r>
        <w:rPr>
          <w:rFonts w:ascii="Arial" w:cs="Arial" w:eastAsia="Arial" w:hAnsi="Arial"/>
          <w:sz w:val="24"/>
          <w:szCs w:val="24"/>
        </w:rPr>
        <w:t xml:space="preserve">4.3. Анализ горно-технических и экологических проблем</w:t>
      </w:r>
    </w:p>
    <w:p>
      <w:pPr>
        <w:spacing w:after="120"/>
        <w:jc w:val="both"/>
      </w:pPr>
      <w:r>
        <w:rPr>
          <w:rFonts w:ascii="Arial" w:cs="Arial" w:eastAsia="Arial" w:hAnsi="Arial"/>
          <w:sz w:val="24"/>
          <w:szCs w:val="24"/>
        </w:rPr>
        <w:t xml:space="preserve">5. Выводы</w:t>
      </w:r>
    </w:p>
    <w:p>
      <w:pPr>
        <w:spacing w:after="120"/>
        <w:jc w:val="both"/>
      </w:pPr>
      <w:r>
        <w:rPr>
          <w:rFonts w:ascii="Arial" w:cs="Arial" w:eastAsia="Arial" w:hAnsi="Arial"/>
          <w:sz w:val="24"/>
          <w:szCs w:val="24"/>
        </w:rPr>
        <w:t xml:space="preserve">5.1. Выводы по юридической части</w:t>
      </w:r>
    </w:p>
    <w:p>
      <w:pPr>
        <w:spacing w:after="120"/>
        <w:jc w:val="both"/>
      </w:pPr>
      <w:r>
        <w:rPr>
          <w:rFonts w:ascii="Arial" w:cs="Arial" w:eastAsia="Arial" w:hAnsi="Arial"/>
          <w:sz w:val="24"/>
          <w:szCs w:val="24"/>
        </w:rPr>
        <w:t xml:space="preserve">5.2. Выводы по экологической и горно-технической части</w:t>
      </w:r>
    </w:p>
    <w:p>
      <w:pPr>
        <w:spacing w:after="120"/>
        <w:jc w:val="both"/>
      </w:pPr>
      <w:r>
        <w:rPr>
          <w:rFonts w:ascii="Arial" w:cs="Arial" w:eastAsia="Arial" w:hAnsi="Arial"/>
          <w:sz w:val="24"/>
          <w:szCs w:val="24"/>
        </w:rPr>
        <w:t xml:space="preserve">5.3. Выводы по социально-экономической части</w:t>
      </w:r>
    </w:p>
    <w:p>
      <w:pPr>
        <w:spacing w:after="120"/>
        <w:jc w:val="both"/>
      </w:pPr>
      <w:r>
        <w:rPr>
          <w:rFonts w:ascii="Arial" w:cs="Arial" w:eastAsia="Arial" w:hAnsi="Arial"/>
          <w:sz w:val="24"/>
          <w:szCs w:val="24"/>
        </w:rPr>
        <w:t xml:space="preserve">6.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Кумтор - месторождение золота, открытое 1978 году и находящийся в верховье реки Кумтор, Жети-Огузского района Ысык-Кульской области;</w:t>
      </w:r>
    </w:p>
    <w:p>
      <w:pPr>
        <w:spacing w:after="120"/>
        <w:jc w:val="both"/>
      </w:pPr>
      <w:r>
        <w:rPr>
          <w:rFonts w:ascii="Arial" w:cs="Arial" w:eastAsia="Arial" w:hAnsi="Arial"/>
          <w:sz w:val="24"/>
          <w:szCs w:val="24"/>
        </w:rPr>
        <w:t xml:space="preserve">Жогорку Кенеш - Жогорку Кенеш Кыргызской Республики;</w:t>
      </w:r>
    </w:p>
    <w:p>
      <w:pPr>
        <w:spacing w:after="120"/>
        <w:jc w:val="both"/>
      </w:pPr>
      <w:r>
        <w:rPr>
          <w:rFonts w:ascii="Arial" w:cs="Arial" w:eastAsia="Arial" w:hAnsi="Arial"/>
          <w:sz w:val="24"/>
          <w:szCs w:val="24"/>
        </w:rPr>
        <w:t xml:space="preserve">Правительство - Правительство Кыргызской Республики;</w:t>
      </w:r>
    </w:p>
    <w:p>
      <w:pPr>
        <w:spacing w:after="120"/>
        <w:jc w:val="both"/>
      </w:pPr>
      <w:r>
        <w:rPr>
          <w:rFonts w:ascii="Arial" w:cs="Arial" w:eastAsia="Arial" w:hAnsi="Arial"/>
          <w:sz w:val="24"/>
          <w:szCs w:val="24"/>
        </w:rPr>
        <w:t xml:space="preserve">Министерство финансов - Министерство финансов Кыргызской Республики;</w:t>
      </w:r>
    </w:p>
    <w:p>
      <w:pPr>
        <w:spacing w:after="120"/>
        <w:jc w:val="both"/>
      </w:pPr>
      <w:r>
        <w:rPr>
          <w:rFonts w:ascii="Arial" w:cs="Arial" w:eastAsia="Arial" w:hAnsi="Arial"/>
          <w:sz w:val="24"/>
          <w:szCs w:val="24"/>
        </w:rPr>
        <w:t xml:space="preserve">КГК или КСП - ЗАО "Кумтор Голд Компани";</w:t>
      </w:r>
    </w:p>
    <w:p>
      <w:pPr>
        <w:spacing w:after="120"/>
        <w:jc w:val="both"/>
      </w:pPr>
      <w:r>
        <w:rPr>
          <w:rFonts w:ascii="Arial" w:cs="Arial" w:eastAsia="Arial" w:hAnsi="Arial"/>
          <w:sz w:val="24"/>
          <w:szCs w:val="24"/>
        </w:rPr>
        <w:t xml:space="preserve">КОК - ЗАО "Кумтор Оперейтинг Компани";</w:t>
      </w:r>
    </w:p>
    <w:p>
      <w:pPr>
        <w:spacing w:after="120"/>
        <w:jc w:val="both"/>
      </w:pPr>
      <w:r>
        <w:rPr>
          <w:rFonts w:ascii="Arial" w:cs="Arial" w:eastAsia="Arial" w:hAnsi="Arial"/>
          <w:sz w:val="24"/>
          <w:szCs w:val="24"/>
        </w:rPr>
        <w:t xml:space="preserve">КМК - компания "Кумтор Маунтин Компани";</w:t>
      </w:r>
    </w:p>
    <w:p>
      <w:pPr>
        <w:spacing w:after="120"/>
        <w:jc w:val="both"/>
      </w:pPr>
      <w:r>
        <w:rPr>
          <w:rFonts w:ascii="Arial" w:cs="Arial" w:eastAsia="Arial" w:hAnsi="Arial"/>
          <w:sz w:val="24"/>
          <w:szCs w:val="24"/>
        </w:rPr>
        <w:t xml:space="preserve">Центерра - компания "Центерра Голд Инк.";</w:t>
      </w:r>
    </w:p>
    <w:p>
      <w:pPr>
        <w:spacing w:after="120"/>
        <w:jc w:val="both"/>
      </w:pPr>
      <w:r>
        <w:rPr>
          <w:rFonts w:ascii="Arial" w:cs="Arial" w:eastAsia="Arial" w:hAnsi="Arial"/>
          <w:sz w:val="24"/>
          <w:szCs w:val="24"/>
        </w:rPr>
        <w:t xml:space="preserve">Камеко - канадская корпорация "Камеко Корпорейшн";</w:t>
      </w:r>
    </w:p>
    <w:p>
      <w:pPr>
        <w:spacing w:after="120"/>
        <w:jc w:val="both"/>
      </w:pPr>
      <w:r>
        <w:rPr>
          <w:rFonts w:ascii="Arial" w:cs="Arial" w:eastAsia="Arial" w:hAnsi="Arial"/>
          <w:sz w:val="24"/>
          <w:szCs w:val="24"/>
        </w:rPr>
        <w:t xml:space="preserve">Кыргызалтын - ОАО "Кыргызалтын";</w:t>
      </w:r>
    </w:p>
    <w:p>
      <w:pPr>
        <w:spacing w:after="120"/>
        <w:jc w:val="both"/>
      </w:pPr>
      <w:r>
        <w:rPr>
          <w:rFonts w:ascii="Arial" w:cs="Arial" w:eastAsia="Arial" w:hAnsi="Arial"/>
          <w:sz w:val="24"/>
          <w:szCs w:val="24"/>
        </w:rPr>
        <w:t xml:space="preserve">ТЭО - технико-экономическое обоснование;</w:t>
      </w:r>
    </w:p>
    <w:p>
      <w:pPr>
        <w:spacing w:after="120"/>
        <w:jc w:val="both"/>
      </w:pPr>
      <w:r>
        <w:rPr>
          <w:rFonts w:ascii="Arial" w:cs="Arial" w:eastAsia="Arial" w:hAnsi="Arial"/>
          <w:sz w:val="24"/>
          <w:szCs w:val="24"/>
        </w:rPr>
        <w:t xml:space="preserve">ЗИФ - золотоизвлекательная фабрика;</w:t>
      </w:r>
    </w:p>
    <w:p>
      <w:pPr>
        <w:spacing w:after="120"/>
        <w:jc w:val="both"/>
      </w:pPr>
      <w:r>
        <w:rPr>
          <w:rFonts w:ascii="Arial" w:cs="Arial" w:eastAsia="Arial" w:hAnsi="Arial"/>
          <w:sz w:val="24"/>
          <w:szCs w:val="24"/>
        </w:rPr>
        <w:t xml:space="preserve">ЕПБ - единые правила безопасности;</w:t>
      </w:r>
    </w:p>
    <w:p>
      <w:pPr>
        <w:spacing w:after="120"/>
        <w:jc w:val="both"/>
      </w:pPr>
      <w:r>
        <w:rPr>
          <w:rFonts w:ascii="Arial" w:cs="Arial" w:eastAsia="Arial" w:hAnsi="Arial"/>
          <w:sz w:val="24"/>
          <w:szCs w:val="24"/>
        </w:rPr>
        <w:t xml:space="preserve">КЗС - конец зоны смешивания;</w:t>
      </w:r>
    </w:p>
    <w:p>
      <w:pPr>
        <w:spacing w:after="120"/>
        <w:jc w:val="both"/>
      </w:pPr>
      <w:r>
        <w:rPr>
          <w:rFonts w:ascii="Arial" w:cs="Arial" w:eastAsia="Arial" w:hAnsi="Arial"/>
          <w:sz w:val="24"/>
          <w:szCs w:val="24"/>
        </w:rPr>
        <w:t xml:space="preserve">ПДК - предельно-допустимые концентрации;</w:t>
      </w:r>
    </w:p>
    <w:p>
      <w:pPr>
        <w:spacing w:after="120"/>
        <w:jc w:val="both"/>
      </w:pPr>
      <w:r>
        <w:rPr>
          <w:rFonts w:ascii="Arial" w:cs="Arial" w:eastAsia="Arial" w:hAnsi="Arial"/>
          <w:sz w:val="24"/>
          <w:szCs w:val="24"/>
        </w:rPr>
        <w:t xml:space="preserve">ГАООСиЛХ - Государственное агентство охраны окружающей среды и лесного хозяйства;</w:t>
      </w:r>
    </w:p>
    <w:p>
      <w:pPr>
        <w:spacing w:after="120"/>
        <w:jc w:val="both"/>
      </w:pPr>
      <w:r>
        <w:rPr>
          <w:rFonts w:ascii="Arial" w:cs="Arial" w:eastAsia="Arial" w:hAnsi="Arial"/>
          <w:sz w:val="24"/>
          <w:szCs w:val="24"/>
        </w:rPr>
        <w:t xml:space="preserve">КПВЭ - Концептуальный план вывода объектов рудника "Кумтор" из эксплуатации;</w:t>
      </w:r>
    </w:p>
    <w:p>
      <w:pPr>
        <w:spacing w:after="120"/>
        <w:jc w:val="both"/>
      </w:pPr>
      <w:r>
        <w:rPr>
          <w:rFonts w:ascii="Arial" w:cs="Arial" w:eastAsia="Arial" w:hAnsi="Arial"/>
          <w:sz w:val="24"/>
          <w:szCs w:val="24"/>
        </w:rPr>
        <w:t xml:space="preserve">Гостехинспекция - Государственная инспекция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Минсельхоз - Министерство сельского хозяйства и мелиорации Кыргызской Республики</w:t>
      </w:r>
    </w:p>
    <w:p>
      <w:pPr>
        <w:spacing w:after="120"/>
        <w:jc w:val="both"/>
      </w:pPr>
      <w:r>
        <w:rPr>
          <w:rFonts w:ascii="Arial" w:cs="Arial" w:eastAsia="Arial" w:hAnsi="Arial"/>
          <w:sz w:val="24"/>
          <w:szCs w:val="24"/>
        </w:rPr>
        <w:t xml:space="preserve">БПИ НАН КР - Биолого-почвенный институт Национальной академии наук Кыргызской Республики;</w:t>
      </w:r>
    </w:p>
    <w:p>
      <w:pPr>
        <w:spacing w:after="120"/>
        <w:jc w:val="both"/>
      </w:pPr>
      <w:r>
        <w:rPr>
          <w:rFonts w:ascii="Arial" w:cs="Arial" w:eastAsia="Arial" w:hAnsi="Arial"/>
          <w:sz w:val="24"/>
          <w:szCs w:val="24"/>
        </w:rPr>
        <w:t xml:space="preserve">МФК - Международная финансовая корпорация;</w:t>
      </w:r>
    </w:p>
    <w:p>
      <w:pPr>
        <w:spacing w:after="120"/>
        <w:jc w:val="both"/>
      </w:pPr>
      <w:r>
        <w:rPr>
          <w:rFonts w:ascii="Arial" w:cs="Arial" w:eastAsia="Arial" w:hAnsi="Arial"/>
          <w:sz w:val="24"/>
          <w:szCs w:val="24"/>
        </w:rPr>
        <w:t xml:space="preserve">ЕБРР - Европейский банк реконструкции и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отчет Государственной комиссии содержит информацию о проделанной работе Государственной комиссии по проверке проекта "Кумтор" за весь период деятельности по направлениям, определенным </w:t>
      </w:r>
      <w:hyperlink w:history="1" r:id="rIdfho6hfd-bule01aniby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июля 2012 года № 465.</w:t>
      </w:r>
    </w:p>
    <w:p>
      <w:pPr>
        <w:spacing w:after="120"/>
        <w:jc w:val="both"/>
      </w:pPr>
      <w:r>
        <w:rPr>
          <w:rFonts w:ascii="Arial" w:cs="Arial" w:eastAsia="Arial" w:hAnsi="Arial"/>
          <w:sz w:val="24"/>
          <w:szCs w:val="24"/>
        </w:rPr>
        <w:t xml:space="preserve">Отчет состоит из шести разделов. Во втором и третьем разделах описаны задачи Государственной комиссии и текущий статус проекта "Кумтор". В последующих разделах приведен анализ юридических, экономических, экологических и горно-технических проблем по проекту "Кумтор".</w:t>
      </w:r>
    </w:p>
    <w:p>
      <w:pPr>
        <w:spacing w:after="120"/>
        <w:jc w:val="both"/>
      </w:pPr>
      <w:r>
        <w:rPr>
          <w:rFonts w:ascii="Arial" w:cs="Arial" w:eastAsia="Arial" w:hAnsi="Arial"/>
          <w:sz w:val="24"/>
          <w:szCs w:val="24"/>
        </w:rPr>
        <w:t xml:space="preserve">В анализе юридических проблем описано основное содержание соглашений и договоров, заключенных в рамках проекта в хронологическом порядке и указаны нарушенные нормы законодательства Кыргызской Республики, а также негативные последствия, к которым привели указанные нарушения.</w:t>
      </w:r>
    </w:p>
    <w:p>
      <w:pPr>
        <w:spacing w:after="120"/>
        <w:jc w:val="both"/>
      </w:pPr>
      <w:r>
        <w:rPr>
          <w:rFonts w:ascii="Arial" w:cs="Arial" w:eastAsia="Arial" w:hAnsi="Arial"/>
          <w:sz w:val="24"/>
          <w:szCs w:val="24"/>
        </w:rPr>
        <w:t xml:space="preserve">В социально-экономическом анализе проблем описаны социально-экономические потери и выгоды от соглашений и договоров, заключенных в рамках проекта и приведено сравнение проекта "Кумтор" с деятельностью других аналогичных горнодобывающих компаний по экономическим показателям.</w:t>
      </w:r>
    </w:p>
    <w:p>
      <w:pPr>
        <w:spacing w:after="120"/>
        <w:jc w:val="both"/>
      </w:pPr>
      <w:r>
        <w:rPr>
          <w:rFonts w:ascii="Arial" w:cs="Arial" w:eastAsia="Arial" w:hAnsi="Arial"/>
          <w:sz w:val="24"/>
          <w:szCs w:val="24"/>
        </w:rPr>
        <w:t xml:space="preserve">В анализе экологических и горно-технических проблем описано влияние работы ЗАО "Кумтор Голд Компани" и ЗАО "Кумтор Оперейтинг Компани" на состояние окружающей среды и показаны существующие проблемы по природопользованию.</w:t>
      </w:r>
    </w:p>
    <w:p>
      <w:pPr>
        <w:spacing w:after="120"/>
        <w:jc w:val="both"/>
      </w:pPr>
      <w:r>
        <w:rPr>
          <w:rFonts w:ascii="Arial" w:cs="Arial" w:eastAsia="Arial" w:hAnsi="Arial"/>
          <w:sz w:val="24"/>
          <w:szCs w:val="24"/>
        </w:rPr>
        <w:t xml:space="preserve">По анализу всех проблем и текущего состояния сделаны выводы по трем вышеуказанным направлениям и даны рекомендации по их разрешению.</w:t>
      </w:r>
    </w:p>
    <w:p>
      <w:pPr>
        <w:spacing w:after="120"/>
        <w:jc w:val="both"/>
      </w:pPr>
      <w:r>
        <w:rPr>
          <w:rFonts w:ascii="Arial" w:cs="Arial" w:eastAsia="Arial" w:hAnsi="Arial"/>
          <w:sz w:val="24"/>
          <w:szCs w:val="24"/>
        </w:rPr>
        <w:t xml:space="preserve">Также приведены возможные последствия при реализации Правительством Кыргызской Республики рекомендаций Государственной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Государственная комиссия: задача и организация ее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tctlkp--znr6fmspx7s3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27 июня 2012 года № 2117-V, Правительством Кыргызской Республики </w:t>
      </w:r>
      <w:hyperlink w:history="1" r:id="rIdtvx_ddfu4f93ibckopvp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 465 от 3 июля 2012 года образована Государственная комиссия по проверке и изучению соблюдения ЗАО "Кумтор Оперейтинг Компани" норм и требований по рациональному использованию природных ресурсов, охране окружающей среды, безопасности производственных процессов и социальной защиты населения (далее Государственная комиссия).</w:t>
      </w:r>
    </w:p>
    <w:p>
      <w:pPr>
        <w:spacing w:after="120"/>
        <w:jc w:val="both"/>
      </w:pPr>
      <w:r>
        <w:rPr>
          <w:rFonts w:ascii="Arial" w:cs="Arial" w:eastAsia="Arial" w:hAnsi="Arial"/>
          <w:sz w:val="24"/>
          <w:szCs w:val="24"/>
        </w:rPr>
        <w:t xml:space="preserve">В состав Государственной комиссии вошли депутаты, министры, главы государственных органов, губернаторы и представители гражданского сектора. При непосредственной работе Государственной комиссии участвовали специалисты от государственных органов и независимые эксперты.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Задача Государственной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 Государственной комиссией была поставлена задача всестороннего, полного и объективного изучения информации по проекту "Кумтор", отмеченной в отчете временной депутатской комиссии Жогорку Кенеша Кыргызской Республики, образованной постановлением Жогорку Кенеша Кыргызской Республики от 15 февраля 2012 года № 1642-V.</w:t>
      </w:r>
    </w:p>
    <w:p>
      <w:pPr>
        <w:spacing w:after="120"/>
        <w:jc w:val="both"/>
      </w:pPr>
      <w:r>
        <w:rPr>
          <w:rFonts w:ascii="Arial" w:cs="Arial" w:eastAsia="Arial" w:hAnsi="Arial"/>
          <w:sz w:val="24"/>
          <w:szCs w:val="24"/>
        </w:rPr>
        <w:t xml:space="preserve">В соответствии с поручением Правительства основные направления работы были определены:</w:t>
      </w:r>
    </w:p>
    <w:p>
      <w:pPr>
        <w:spacing w:after="120"/>
        <w:jc w:val="both"/>
      </w:pPr>
      <w:r>
        <w:rPr>
          <w:rFonts w:ascii="Arial" w:cs="Arial" w:eastAsia="Arial" w:hAnsi="Arial"/>
          <w:sz w:val="24"/>
          <w:szCs w:val="24"/>
        </w:rPr>
        <w:t xml:space="preserve">экологическая экспертиза по оценке влияния проекта "Кумтор" на окружающую среду;</w:t>
      </w:r>
    </w:p>
    <w:p>
      <w:pPr>
        <w:spacing w:after="120"/>
        <w:jc w:val="both"/>
      </w:pPr>
      <w:r>
        <w:rPr>
          <w:rFonts w:ascii="Arial" w:cs="Arial" w:eastAsia="Arial" w:hAnsi="Arial"/>
          <w:sz w:val="24"/>
          <w:szCs w:val="24"/>
        </w:rPr>
        <w:t xml:space="preserve">юридическая экспертиза соглашений, заключенных в целях реализации проекта "Кумтор", с точки зрения защиты интересов Кыргызской Республики;</w:t>
      </w:r>
    </w:p>
    <w:p>
      <w:pPr>
        <w:spacing w:after="120"/>
        <w:jc w:val="both"/>
      </w:pPr>
      <w:r>
        <w:rPr>
          <w:rFonts w:ascii="Arial" w:cs="Arial" w:eastAsia="Arial" w:hAnsi="Arial"/>
          <w:sz w:val="24"/>
          <w:szCs w:val="24"/>
        </w:rPr>
        <w:t xml:space="preserve">экспертиза проектных и технических решений, принятых при реализации проекта "Кумтор", на соответствие нормативным требованиям технической и экологической безопасности, охраны окружающей среды;</w:t>
      </w:r>
    </w:p>
    <w:p>
      <w:pPr>
        <w:spacing w:after="120"/>
        <w:jc w:val="both"/>
      </w:pPr>
      <w:r>
        <w:rPr>
          <w:rFonts w:ascii="Arial" w:cs="Arial" w:eastAsia="Arial" w:hAnsi="Arial"/>
          <w:sz w:val="24"/>
          <w:szCs w:val="24"/>
        </w:rPr>
        <w:t xml:space="preserve">экономическая экспертиза коммерческих и прочих условий реализации проекта "Кумтор", с точки зрения его выгодности для Кыргызской Республики, экономической эффективности проекта.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Организация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первом заседании Государственной комиссии от 12 июля 2012 года был утвержден регламент работы и принято решение о создании трех рабочих групп по следующим направлениям:</w:t>
      </w:r>
    </w:p>
    <w:p>
      <w:pPr>
        <w:spacing w:after="120"/>
        <w:jc w:val="both"/>
      </w:pPr>
      <w:r>
        <w:rPr>
          <w:rFonts w:ascii="Arial" w:cs="Arial" w:eastAsia="Arial" w:hAnsi="Arial"/>
          <w:sz w:val="24"/>
          <w:szCs w:val="24"/>
        </w:rPr>
        <w:t xml:space="preserve">1. экологической и горно-технической экспертизы - председатель группы Артыкбаев Осмонбек Мамбетжанович;</w:t>
      </w:r>
    </w:p>
    <w:p>
      <w:pPr>
        <w:spacing w:after="120"/>
        <w:jc w:val="both"/>
      </w:pPr>
      <w:r>
        <w:rPr>
          <w:rFonts w:ascii="Arial" w:cs="Arial" w:eastAsia="Arial" w:hAnsi="Arial"/>
          <w:sz w:val="24"/>
          <w:szCs w:val="24"/>
        </w:rPr>
        <w:t xml:space="preserve">2. юридической экспертизы - председатель группы Шыкмаматов Алмамбет Насырканович;</w:t>
      </w:r>
    </w:p>
    <w:p>
      <w:pPr>
        <w:spacing w:after="120"/>
        <w:jc w:val="both"/>
      </w:pPr>
      <w:r>
        <w:rPr>
          <w:rFonts w:ascii="Arial" w:cs="Arial" w:eastAsia="Arial" w:hAnsi="Arial"/>
          <w:sz w:val="24"/>
          <w:szCs w:val="24"/>
        </w:rPr>
        <w:t xml:space="preserve">3. социально-экономической экспертизы - председатель группы Байгончоков Мирланбек Конушбекович.</w:t>
      </w:r>
    </w:p>
    <w:p>
      <w:pPr>
        <w:spacing w:after="120"/>
        <w:jc w:val="both"/>
      </w:pPr>
      <w:r>
        <w:rPr>
          <w:rFonts w:ascii="Arial" w:cs="Arial" w:eastAsia="Arial" w:hAnsi="Arial"/>
          <w:sz w:val="24"/>
          <w:szCs w:val="24"/>
        </w:rPr>
        <w:t xml:space="preserve">Все члены Государственной комиссии были включены по указанным рабочим группам. Каждая группа по завершению работ предоставила отчет.</w:t>
      </w:r>
    </w:p>
    <w:p>
      <w:pPr>
        <w:spacing w:after="120"/>
        <w:jc w:val="both"/>
      </w:pPr>
      <w:r>
        <w:rPr>
          <w:rFonts w:ascii="Arial" w:cs="Arial" w:eastAsia="Arial" w:hAnsi="Arial"/>
          <w:sz w:val="24"/>
          <w:szCs w:val="24"/>
        </w:rPr>
        <w:t xml:space="preserve">Государственная комиссия за время работы провела семь заседаний, встретилась с активом Ысык-Кульской и Нарынской областей и посетила рудник "Кумтор".</w:t>
      </w:r>
    </w:p>
    <w:p>
      <w:pPr>
        <w:spacing w:after="120"/>
        <w:jc w:val="both"/>
      </w:pPr>
      <w:r>
        <w:rPr>
          <w:rFonts w:ascii="Arial" w:cs="Arial" w:eastAsia="Arial" w:hAnsi="Arial"/>
          <w:sz w:val="24"/>
          <w:szCs w:val="24"/>
        </w:rPr>
        <w:t xml:space="preserve">В рамках работы Государственной комиссии были проведены встречи с представителями Кыргызской Республики в совете директоров компании "Центерра Голд Инк." (Муралиев А. и Ибраев К.), руководителями ЗАО "Кумтор Голд Компани" и ЗАО "Кумтор Оперейтинг Компани" (М.Фишер, А.Сазанов), ОАО "Кыргызалтын" (Д.Жапаров), корпоративным секретарем - генеральным советником компании "Центерра Голд Инк." (Френк Герберт), президентом "Центерра Голд Инк." (Ян Аткинсон).</w:t>
      </w:r>
    </w:p>
    <w:p>
      <w:pPr>
        <w:spacing w:after="120"/>
        <w:jc w:val="both"/>
      </w:pPr>
      <w:r>
        <w:rPr>
          <w:rFonts w:ascii="Arial" w:cs="Arial" w:eastAsia="Arial" w:hAnsi="Arial"/>
          <w:sz w:val="24"/>
          <w:szCs w:val="24"/>
        </w:rPr>
        <w:t xml:space="preserve">В целях проведения независимой экспертизы были привлечены международные аудиторские компании Barlev Associates Accou№ta№ts I№vestigative Auditi№g (Барлев Ассошейтс Аккаунтентс Инвестигейтив Аудитинг), Y.Mushkat (Йорам Мушкат) и местные эксперты. 21 и 22 августа 2012 года были заключены договоры на оказание услуг юридической и экономической экспертизы с указанными компаниями. Согласно технических заданий в договорах с указанными компаниями были предоставлены отчеты.</w:t>
      </w:r>
    </w:p>
    <w:p>
      <w:pPr>
        <w:spacing w:after="120"/>
        <w:jc w:val="both"/>
      </w:pPr>
      <w:r>
        <w:rPr>
          <w:rFonts w:ascii="Arial" w:cs="Arial" w:eastAsia="Arial" w:hAnsi="Arial"/>
          <w:sz w:val="24"/>
          <w:szCs w:val="24"/>
        </w:rPr>
        <w:t xml:space="preserve">Учитывая что, привлеченная международная аудиторская компания "Эрнст энд Янг", заявила, что не может оказать услуги по экономической оценке экологического ущерба от деятельности проекта "Кумтор", Государственной комиссией принято решение не привлекать к работе международную аудиторскую компанию "Эрнст энд Янг".</w:t>
      </w:r>
    </w:p>
    <w:p>
      <w:pPr>
        <w:spacing w:after="120"/>
        <w:jc w:val="both"/>
      </w:pPr>
      <w:r>
        <w:rPr>
          <w:rFonts w:ascii="Arial" w:cs="Arial" w:eastAsia="Arial" w:hAnsi="Arial"/>
          <w:sz w:val="24"/>
          <w:szCs w:val="24"/>
        </w:rPr>
        <w:t xml:space="preserve">В связи с отказом от услуг компании "Эрнст энд Янг" было принято решение о привлечении двух независимых международных лабораторий: Институт гигиены окружающей среды и токсикологии (Германия) и лаборатория имени Йожефа Стефана (Словения). Данными лабораториями были отобраны пробы почвы, воды, донных отложений на месторождении "Кумтор" и по результатам анализов представлены отчеты.</w:t>
      </w:r>
    </w:p>
    <w:p>
      <w:pPr>
        <w:spacing w:after="120"/>
        <w:jc w:val="both"/>
      </w:pPr>
      <w:r>
        <w:rPr>
          <w:rFonts w:ascii="Arial" w:cs="Arial" w:eastAsia="Arial" w:hAnsi="Arial"/>
          <w:sz w:val="24"/>
          <w:szCs w:val="24"/>
        </w:rPr>
        <w:t xml:space="preserve">В целях объективности, учета мнений, широкого освещения деятельности Государственной комиссии была организована встреча с представителями Ассоциации горнопромышленников, Международного делового совета и представителями гражданского общества и средств массовой информации. В ходе встречи были обсуждены, высказаны предложения и мнения по работе Государственной комиссии.</w:t>
      </w:r>
    </w:p>
    <w:p>
      <w:pPr>
        <w:spacing w:after="120"/>
        <w:jc w:val="both"/>
      </w:pPr>
      <w:r>
        <w:rPr>
          <w:rFonts w:ascii="Arial" w:cs="Arial" w:eastAsia="Arial" w:hAnsi="Arial"/>
          <w:sz w:val="24"/>
          <w:szCs w:val="24"/>
        </w:rPr>
        <w:t xml:space="preserve">Согласно </w:t>
      </w:r>
      <w:hyperlink w:history="1" r:id="rIdgeveh8fbedhb6pauiyty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465 от 3 июля 2012 года Государственной комиссии было поручено предоставить информацию о проделанной работе в Правительство Кыргызской Республики до 1 ноября 2012 года. Одной из основных причин продления сроков работы Государственной комиссии явилась остановка работы на ЗИФ на руднике "Кумтор", в связи с чем пробы воды, почвы и донных отложений были отобраны после возобновления работы на ЗИФ (после 17 сентября 2012 года). Заключения от международных лабораторий по отобранным пробам были предоставлены 30 ноября и 17 декабря 2012 года.</w:t>
      </w:r>
    </w:p>
    <w:p>
      <w:pPr>
        <w:spacing w:after="120"/>
        <w:jc w:val="both"/>
      </w:pPr>
      <w:r>
        <w:rPr>
          <w:rFonts w:ascii="Arial" w:cs="Arial" w:eastAsia="Arial" w:hAnsi="Arial"/>
          <w:sz w:val="24"/>
          <w:szCs w:val="24"/>
        </w:rPr>
        <w:t xml:space="preserve">Работа Государственной комиссии строилась и проводилась на принципах прозрачности, объективности и обеспечения выгод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Текущий статус проекта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Описание проекта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Месторождение "Кумтор" было открыто в 1978 году. Основные запасы и ресурсы месторождения расположены на участке "Центральный". Также имеется 8 фланговых перспективных участков: "Юго-Западный", "Сары-Тор", "Северо-Восточный", "Ледник Давыдова", "Ледник Лысый", "Акбель-Боорду", "Акбель-Южный", "междуречье Кумтор-Ирташ".</w:t>
      </w:r>
    </w:p>
    <w:p>
      <w:pPr>
        <w:spacing w:after="120"/>
        <w:jc w:val="both"/>
      </w:pPr>
      <w:r>
        <w:rPr>
          <w:rFonts w:ascii="Arial" w:cs="Arial" w:eastAsia="Arial" w:hAnsi="Arial"/>
          <w:sz w:val="24"/>
          <w:szCs w:val="24"/>
        </w:rPr>
        <w:t xml:space="preserve">С учетом флангов месторождение "Кумтор", по оценкам местных специалистов, обладало потенциально золотом в объеме 953 тонн.</w:t>
      </w:r>
    </w:p>
    <w:p>
      <w:pPr>
        <w:spacing w:after="120"/>
        <w:jc w:val="both"/>
      </w:pPr>
      <w:r>
        <w:rPr>
          <w:rFonts w:ascii="Arial" w:cs="Arial" w:eastAsia="Arial" w:hAnsi="Arial"/>
          <w:sz w:val="24"/>
          <w:szCs w:val="24"/>
        </w:rPr>
        <w:t xml:space="preserve">Участок "Центральный" включал следующие подсчитанные и прогнозные запасы золота и серебра (категории В+С1+С2+Р1, для отработки открытым способом до горизонта 3700 м, ниже-подземным на 1 января 1990 года). Основные запасы месторождения "Кумтор" включает три главных рудных тела: Штокверковое, Южное и Северное.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Виды полезных   │  Всего │Карьерные│Содержание│Подземные│Содержание│</w:t>
      </w:r>
    </w:p>
    <w:p>
      <w:pPr>
        <w:spacing w:after="120"/>
        <w:jc w:val="both"/>
      </w:pPr>
      <w:r>
        <w:rPr>
          <w:rFonts w:ascii="Arial" w:cs="Arial" w:eastAsia="Arial" w:hAnsi="Arial"/>
          <w:sz w:val="24"/>
          <w:szCs w:val="24"/>
        </w:rPr>
        <w:t xml:space="preserve">│   ископаемых     │запасы и│запасы и │ золота в │запасы и │ золота в │</w:t>
      </w:r>
    </w:p>
    <w:p>
      <w:pPr>
        <w:spacing w:after="120"/>
        <w:jc w:val="both"/>
      </w:pPr>
      <w:r>
        <w:rPr>
          <w:rFonts w:ascii="Arial" w:cs="Arial" w:eastAsia="Arial" w:hAnsi="Arial"/>
          <w:sz w:val="24"/>
          <w:szCs w:val="24"/>
        </w:rPr>
        <w:t xml:space="preserve">│                  │ресурсы,│ресурсы, │   руде   │ресурсы, │   руде   │</w:t>
      </w:r>
    </w:p>
    <w:p>
      <w:pPr>
        <w:spacing w:after="120"/>
        <w:jc w:val="both"/>
      </w:pPr>
      <w:r>
        <w:rPr>
          <w:rFonts w:ascii="Arial" w:cs="Arial" w:eastAsia="Arial" w:hAnsi="Arial"/>
          <w:sz w:val="24"/>
          <w:szCs w:val="24"/>
        </w:rPr>
        <w:t xml:space="preserve">│                  │  тонн  │  тонн   │ гр./тонна│  тонн   │ гр./тонна│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│Золото            │ 716,21 │  316,57 │   4,212  │  399,64 │   4,43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│Серебро           │ 388,66 │  145,20 │     -    │  243,46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1989 году институтом ГИНАЛМАЗЗОЛОТО Главного управления драгоценных металлов и алмазов при Совете Министров СССР было разработано первое Технико-экономическое обоснование по освоению золоторудного месторождения "Кумтор". Однако в связи с тем, что разработка месторождения предполагала нанесение невосполнимого ущерба уникальной экологии местности, освоение так и не было начато.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Текущий статус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месторождение "Кумтор" разрабатывается ЗАО "Кумтор Голд Компани" согласно заключенных соглашений от 2009 года.</w:t>
      </w:r>
    </w:p>
    <w:p>
      <w:pPr>
        <w:spacing w:after="120"/>
        <w:jc w:val="both"/>
      </w:pPr>
      <w:r>
        <w:rPr>
          <w:rFonts w:ascii="Arial" w:cs="Arial" w:eastAsia="Arial" w:hAnsi="Arial"/>
          <w:sz w:val="24"/>
          <w:szCs w:val="24"/>
        </w:rPr>
        <w:t xml:space="preserve">100% акций ЗАО "Кумтор Голд Компани" принадлежит канадской публичной компании "Центерра Голд Инк". 32,75% акций компании "Центерра Голд Инк." принадлежит ОАО "Кыргызалтын".</w:t>
      </w:r>
    </w:p>
    <w:p>
      <w:pPr>
        <w:spacing w:after="120"/>
        <w:jc w:val="both"/>
      </w:pPr>
      <w:r>
        <w:rPr>
          <w:rFonts w:ascii="Arial" w:cs="Arial" w:eastAsia="Arial" w:hAnsi="Arial"/>
          <w:sz w:val="24"/>
          <w:szCs w:val="24"/>
        </w:rPr>
        <w:t xml:space="preserve">По соглашениям 2009 года для разработки в рамках проекта "Кумтор" предоставлены следующие участки: Центральный, Сары-Тор, Юго-Западный, Северо-Западный, также Штокверковая и SB зоны.</w:t>
      </w:r>
    </w:p>
    <w:p>
      <w:pPr>
        <w:spacing w:after="120"/>
        <w:jc w:val="both"/>
      </w:pPr>
      <w:r>
        <w:rPr>
          <w:rFonts w:ascii="Arial" w:cs="Arial" w:eastAsia="Arial" w:hAnsi="Arial"/>
          <w:sz w:val="24"/>
          <w:szCs w:val="24"/>
        </w:rPr>
        <w:t xml:space="preserve">Правительство своим решением(1) к ранее предоставленному ЗАО "Кумтор Голд Компани" земельному участку, площадью 10070 га, дополнительно предоставило для геологического изучения недр и разработки месторождений полезных ископаемых земельный участок площадью 16330,8 га, во временное пользование, на срок действия пересмотренного Концессионного договора (т.е. до 4 декабря 2042 года). В целом, ЗАО "Кумтор Голд Компани" было передано 26400,8 га земли.</w:t>
      </w:r>
    </w:p>
    <w:p>
      <w:pPr>
        <w:spacing w:after="120"/>
        <w:jc w:val="both"/>
      </w:pPr>
      <w:r>
        <w:rPr>
          <w:rFonts w:ascii="Arial" w:cs="Arial" w:eastAsia="Arial" w:hAnsi="Arial"/>
          <w:sz w:val="24"/>
          <w:szCs w:val="24"/>
        </w:rPr>
        <w:t xml:space="preserve">5 июля 2012 года Правительством принято постановление(2), согласно которому отменено действие вышеназванного постановления со дня его принятия, т.е. ЗАО "Кумтор Голд Компани" фактически осуществляет деятельность без соответствующего решения Правительства о предоставлении земельного участка.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Анализ проблем при реализации проекта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Анализ правовых отношений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Краткая предистория создания проекта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октябре 1991 года Указом Президента(3) (подписан А.Акаевым) была создана государственно-частная корпорация "Сиабеко-Кыргызстан", президентом которой был назначен гражданин Канады Б.И.Бирштейн.</w:t>
      </w:r>
    </w:p>
    <w:p>
      <w:pPr>
        <w:spacing w:after="120"/>
        <w:jc w:val="both"/>
      </w:pPr>
      <w:r>
        <w:rPr>
          <w:rFonts w:ascii="Arial" w:cs="Arial" w:eastAsia="Arial" w:hAnsi="Arial"/>
          <w:sz w:val="24"/>
          <w:szCs w:val="24"/>
        </w:rPr>
        <w:t xml:space="preserve">Также, в 1991 году был образован Комитет по реконструкции и развитию экономики Республики Кыргызстан, в состав которого были включены сотрудники объединения иностранных фирм "Сиабеко-Групп". При посредничестве корпорации "Сиабеко-Групп" канадская корпорация "Камеко" получила право на разработку золоторудного месторождения "Кумтор".</w:t>
      </w:r>
    </w:p>
    <w:p>
      <w:pPr>
        <w:spacing w:after="120"/>
        <w:jc w:val="both"/>
      </w:pPr>
      <w:r>
        <w:rPr>
          <w:rFonts w:ascii="Arial" w:cs="Arial" w:eastAsia="Arial" w:hAnsi="Arial"/>
          <w:sz w:val="24"/>
          <w:szCs w:val="24"/>
        </w:rPr>
        <w:t xml:space="preserve">Несмотря на поступление более выгодных предложений от ряда компаний предпочтение Правительством Кыргызской Республики было отдано канадской корпорации "Камеко" которая без проведения конкурса получила право на разработку Кумторского месторождения.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 Генеральное соглашение 1992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декабря 1992 года в городе Торонто (Канада) между Правительством Республики Кыргызстан (подписал Т.Чынгышев) и канадской корпорацией "Камеко Корпорэйшн" (далее - Камеко) было подписано Генеральное соглашение по "Кумтору".</w:t>
      </w:r>
    </w:p>
    <w:p>
      <w:pPr>
        <w:spacing w:after="120"/>
        <w:jc w:val="both"/>
      </w:pPr>
      <w:r>
        <w:rPr>
          <w:rFonts w:ascii="Arial" w:cs="Arial" w:eastAsia="Arial" w:hAnsi="Arial"/>
          <w:sz w:val="24"/>
          <w:szCs w:val="24"/>
        </w:rPr>
        <w:t xml:space="preserve">На следующий день 4 декабря того же года было подписано Генеральное соглашение по "Кумторскому" месторождению (далее - Генеральное соглашение) между Правительством Кыргызской Республики, кыргызским государственным концерном "Кыргызалтын" (подписал Д.Сарыгулов) и "Камеко Корпорэйшн" подписал (Эндрю Льюис), которое затем было утверждено постановлением Правительства(4) (подписал Т.Чынгышев).</w:t>
      </w:r>
    </w:p>
    <w:p>
      <w:pPr>
        <w:spacing w:after="120"/>
        <w:jc w:val="both"/>
      </w:pPr>
      <w:r>
        <w:rPr>
          <w:rFonts w:ascii="Arial" w:cs="Arial" w:eastAsia="Arial" w:hAnsi="Arial"/>
          <w:sz w:val="24"/>
          <w:szCs w:val="24"/>
        </w:rPr>
        <w:t xml:space="preserve">На момент подписания указанного соглашения действовала </w:t>
      </w:r>
      <w:hyperlink w:history="1" r:id="rIdb2putxygnfr7kqkoyivng">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Киргизской ССР(5) и Закон Республики Кыргызстан "О Правительстве Республики Кыргызстан"(6), согласно которым Правительство Республики Кыргызстан являлось высшим исполнительно-распорядительным органом государственной власти и возглавлялось Президентом Республики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от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пункта 5.3. Генерального соглашения Правительство дало согласие чтобы Камеко и КМК, КГК, КОК или их родственные компании, представители иностранных подрядчиков кредиторов или иностранные специалисты, не облагались отчислениями, налогами, сборами, роялти или обязательными платежами, прямыми или косвенными, в связи с проектом "Кумтор" (включая налог на прибыль, налог на вывоз дивидендов) в течение периода, начиная с даты заключения Генерального соглашения (с 1992 года) и по истечении 5 лет (2003 год), следующих за началом промышленной добычи (с 1997 года) по проекту "Кумтор". НДС, налог на использование автомобильных дорог и земельный налог не включены в пункт 5.3. Генерального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проектом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Генеральным соглашением, было создано ЗАО "Кумтор Голд Компани", которое получило право на освоение недр участка "Центральный" месторождения "Кумтор" на основе Концессионного договора.</w:t>
      </w:r>
    </w:p>
    <w:p>
      <w:pPr>
        <w:spacing w:after="120"/>
        <w:jc w:val="both"/>
      </w:pPr>
      <w:r>
        <w:rPr>
          <w:rFonts w:ascii="Arial" w:cs="Arial" w:eastAsia="Arial" w:hAnsi="Arial"/>
          <w:sz w:val="24"/>
          <w:szCs w:val="24"/>
        </w:rPr>
        <w:t xml:space="preserve">Согласно Генеральному соглашению управление проектом "Кумторзолото" осуществлялось компанией ЗАО "Кумтор Оперейтинг Компани" за вознаграждение исчисляемое в размере 4,5% от общего объема расходов. Кроме того в Генеральном соглашении было предусмотрено создание Исполнительного Комитета, которому были переданы часть функций общего собрания акционеров и функции руководства ЗАО "Кумтор Голд Компани" которые не предоставлены ЗАО "Кумтор Оперейтинг Компани" по Соглашению о совместной деятельности по управлению проектом "Кумтор" от 3 сентября 1993 года. Так, согласно пункту 2.1 названного Соглашения, КГК выполняет решения Исполнительного комитета, Исполнительный комитет инструктирует Оператора (КОК) и/или дает ему и Генеральному директору КГК указания.</w:t>
      </w:r>
    </w:p>
    <w:p>
      <w:pPr>
        <w:spacing w:after="120"/>
        <w:jc w:val="both"/>
      </w:pPr>
      <w:r>
        <w:rPr>
          <w:rFonts w:ascii="Arial" w:cs="Arial" w:eastAsia="Arial" w:hAnsi="Arial"/>
          <w:sz w:val="24"/>
          <w:szCs w:val="24"/>
        </w:rPr>
        <w:t xml:space="preserve">Следует обратить внимание, что согласно пункту 1.1. названного Соглашения Исполнительный комитет состоит из 3-членов:</w:t>
      </w:r>
    </w:p>
    <w:p>
      <w:pPr>
        <w:spacing w:after="120"/>
        <w:jc w:val="both"/>
      </w:pPr>
      <w:r>
        <w:rPr>
          <w:rFonts w:ascii="Arial" w:cs="Arial" w:eastAsia="Arial" w:hAnsi="Arial"/>
          <w:sz w:val="24"/>
          <w:szCs w:val="24"/>
        </w:rPr>
        <w:t xml:space="preserve">- 1 член назначается Кыргызалтын;</w:t>
      </w:r>
    </w:p>
    <w:p>
      <w:pPr>
        <w:spacing w:after="120"/>
        <w:jc w:val="both"/>
      </w:pPr>
      <w:r>
        <w:rPr>
          <w:rFonts w:ascii="Arial" w:cs="Arial" w:eastAsia="Arial" w:hAnsi="Arial"/>
          <w:sz w:val="24"/>
          <w:szCs w:val="24"/>
        </w:rPr>
        <w:t xml:space="preserve">- 1 член назначается - КМК (дочерняя компания Камеко);</w:t>
      </w:r>
    </w:p>
    <w:p>
      <w:pPr>
        <w:spacing w:after="120"/>
        <w:jc w:val="both"/>
      </w:pPr>
      <w:r>
        <w:rPr>
          <w:rFonts w:ascii="Arial" w:cs="Arial" w:eastAsia="Arial" w:hAnsi="Arial"/>
          <w:sz w:val="24"/>
          <w:szCs w:val="24"/>
        </w:rPr>
        <w:t xml:space="preserve">- 1 член назначается КГК.</w:t>
      </w:r>
    </w:p>
    <w:p>
      <w:pPr>
        <w:spacing w:after="120"/>
        <w:jc w:val="both"/>
      </w:pPr>
      <w:r>
        <w:rPr>
          <w:rFonts w:ascii="Arial" w:cs="Arial" w:eastAsia="Arial" w:hAnsi="Arial"/>
          <w:sz w:val="24"/>
          <w:szCs w:val="24"/>
        </w:rPr>
        <w:t xml:space="preserve">Решения принимаются большинством членов исполнительного комитета.</w:t>
      </w:r>
    </w:p>
    <w:p>
      <w:pPr>
        <w:spacing w:after="120"/>
        <w:jc w:val="both"/>
      </w:pPr>
      <w:r>
        <w:rPr>
          <w:rFonts w:ascii="Arial" w:cs="Arial" w:eastAsia="Arial" w:hAnsi="Arial"/>
          <w:sz w:val="24"/>
          <w:szCs w:val="24"/>
        </w:rPr>
        <w:t xml:space="preserve">Предложенная схема управления проектом "Кумтор" существенно ограничила права кыргызской стороны как владельца 2/3 акций КГК. На деле, общее собрание акционеров КГК - высший орган управления акционерным обществом - как это предусмотрено в </w:t>
      </w:r>
      <w:hyperlink w:history="1" r:id="rIdountzwohkh0q0dokucfz1">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"Об акционерных обществах в Республике Кыргызстан", был заменен Исполнительным комитетом, в котором 2 члена представляли Камеко.</w:t>
      </w:r>
    </w:p>
    <w:p>
      <w:pPr>
        <w:spacing w:after="120"/>
        <w:jc w:val="both"/>
      </w:pPr>
      <w:r>
        <w:rPr>
          <w:rFonts w:ascii="Arial" w:cs="Arial" w:eastAsia="Arial" w:hAnsi="Arial"/>
          <w:sz w:val="24"/>
          <w:szCs w:val="24"/>
        </w:rPr>
        <w:t xml:space="preserve">Создание Исполнительного комитета противоречила </w:t>
      </w:r>
      <w:hyperlink w:history="1" r:id="rIdsihgjhtiwt4vpqquyvx3r">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"Об акционерных обществах в Республике Кыргызстан" поскольку делегирование полномочий общего собрания акционеров относящихся к его компетенции не допускается. Установленная формула определения вознаграждения КОК за управление проектом "Кумтор" способствовала увеличению расходов, в том числе непроизводственных.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Строительство и монтажные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Постановлением(7) Правительства (подписал А.Джумагулов) разрешено, в порядке исключения, компании КОК до утверждения в целом проекта в установленном порядке осуществлять разработку рабочей документации и параллельное выполнение по ней подготовительных и строительно-монтажных работ по внеплощадочным сооружениям и коммуникациям, объектам производственной базы, жилым домам и объектам культурно-бытового назначения в объемах, согласованных с подрядными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Обучение жителей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обязательств Камеко согласно Генерального соглашения (п.п (d) пункта 3.16) являлось, что Камеко обязуется через КОК использовать все возможное для найма и обучения жителей Кыргызской Республики и, во исполнение этого, организовать учебу для местных жителей по проекту "Кумтор". Обучение должно было включить подготовку для занятия управленческих должностей, определенных Камеко, и такое обучение могло проводиться как в Канаде, так и в Кыргызской Республике. Однако данное обязательство не было выполнено.</w:t>
      </w:r>
    </w:p>
    <w:p>
      <w:pPr>
        <w:spacing w:after="120"/>
        <w:jc w:val="both"/>
      </w:pPr>
      <w:r>
        <w:rPr>
          <w:rFonts w:ascii="Arial" w:cs="Arial" w:eastAsia="Arial" w:hAnsi="Arial"/>
          <w:sz w:val="24"/>
          <w:szCs w:val="24"/>
        </w:rPr>
        <w:t xml:space="preserve">В результате, за все годы работы проекта "Кумтор" Кыргызстан не получил обученных кадров, способных заменить иностранных специалистов как на месторождении, так и в управленческих должностях. Например, на октябрь 2012 года из 16 основных руководящих позиций в компании КОК только две занимают граждане Кыргызской Республики, причем это административно-хозяйственные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4.1.2. Концессионный договор 1993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Концессионный договор от 10 мая 1993 года (с изменениями и дополнениями от 30.05.1994 г.), заключен между Правительством и КГК (далее Концессионный договор), (подписали Премьер-министр Т.Чынгышев, генеральный директор КГК М.Давлетов). Срок действия Концессии составляет 50 лет со дня подписания.</w:t>
      </w:r>
    </w:p>
    <w:p>
      <w:pPr>
        <w:spacing w:after="120"/>
        <w:jc w:val="both"/>
      </w:pPr>
      <w:r>
        <w:rPr>
          <w:rFonts w:ascii="Arial" w:cs="Arial" w:eastAsia="Arial" w:hAnsi="Arial"/>
          <w:sz w:val="24"/>
          <w:szCs w:val="24"/>
        </w:rPr>
        <w:t xml:space="preserve">Концессионный договор был заключен в нарушение законодательства Кыргызской Республики. Так, как в соответствии с пунктом 3.4 части 3 Генерального соглашения предусматривает, что Правительство, после регистрации КОП (т.е. КГК), заключает и регистрирует концессионный договор, передающий КГК все права на полезные ископаемые по проекту "Кумтор".</w:t>
      </w:r>
    </w:p>
    <w:p>
      <w:pPr>
        <w:spacing w:after="120"/>
        <w:jc w:val="both"/>
      </w:pPr>
      <w:r>
        <w:rPr>
          <w:rFonts w:ascii="Arial" w:cs="Arial" w:eastAsia="Arial" w:hAnsi="Arial"/>
          <w:sz w:val="24"/>
          <w:szCs w:val="24"/>
        </w:rPr>
        <w:t xml:space="preserve">Однако, в соответствии со статьей 10 Закона "О концессиях и иностранных концессионных предприятиях в Республике Кыргызстан" решение о предоставлении объекта для концессии принимается Правительством по итогам конкурсов, а концессионеры приобретают право заключения концессионного договора с концессионным органом.</w:t>
      </w:r>
    </w:p>
    <w:p>
      <w:pPr>
        <w:spacing w:after="120"/>
        <w:jc w:val="both"/>
      </w:pPr>
      <w:r>
        <w:rPr>
          <w:rFonts w:ascii="Arial" w:cs="Arial" w:eastAsia="Arial" w:hAnsi="Arial"/>
          <w:sz w:val="24"/>
          <w:szCs w:val="24"/>
        </w:rPr>
        <w:t xml:space="preserve">Тем самым был нарушен основной принцип концессионной деятельности, предусмотренный вышеназванным Законом - это конкурсный подход к выбору концессионеров.</w:t>
      </w:r>
    </w:p>
    <w:p>
      <w:pPr>
        <w:spacing w:after="120"/>
        <w:jc w:val="both"/>
      </w:pPr>
      <w:r>
        <w:rPr>
          <w:rFonts w:ascii="Arial" w:cs="Arial" w:eastAsia="Arial" w:hAnsi="Arial"/>
          <w:sz w:val="24"/>
          <w:szCs w:val="24"/>
        </w:rPr>
        <w:t xml:space="preserve">Кроме этого, ни Генеральное соглашение, ни Концессионный договор не включали положения о плате за концессию и об арендной плате, как это предусмотрено статьей 11 Закона Кыргызской Республики "О концессиях и иностранных концессионных предприятиях в Республике Кыргызстан", согласно которой плата за концессию и арендная плата являются одними из прямых и обязательных концессионных платежей.</w:t>
      </w:r>
    </w:p>
    <w:p>
      <w:pPr>
        <w:spacing w:after="120"/>
        <w:jc w:val="both"/>
      </w:pPr>
      <w:r>
        <w:rPr>
          <w:rFonts w:ascii="Arial" w:cs="Arial" w:eastAsia="Arial" w:hAnsi="Arial"/>
          <w:sz w:val="24"/>
          <w:szCs w:val="24"/>
        </w:rPr>
        <w:t xml:space="preserve">Согласно пункту 3.3 Генерального соглашения начальные инвестиции Акционеров в КГК в сумме 45 млн. долларов США должна была осуществить Камеко через КМК.</w:t>
      </w:r>
    </w:p>
    <w:p>
      <w:pPr>
        <w:spacing w:after="120"/>
        <w:jc w:val="both"/>
      </w:pPr>
      <w:r>
        <w:rPr>
          <w:rFonts w:ascii="Arial" w:cs="Arial" w:eastAsia="Arial" w:hAnsi="Arial"/>
          <w:sz w:val="24"/>
          <w:szCs w:val="24"/>
        </w:rPr>
        <w:t xml:space="preserve">Однако подпунктом "b" пункта 3.3 Генерального соглашения предусмотрено, что расходы и издержки, связанные с разведкой и разработкой "Кумторского" месторождения, и не покрываемые за счет кредитов, финансируются пропорционально их соответствующим долям в акционерном капитале - 2/3 "Кыргызалтыном", 1/3 КМК.</w:t>
      </w:r>
    </w:p>
    <w:p>
      <w:pPr>
        <w:spacing w:after="120"/>
        <w:jc w:val="both"/>
      </w:pPr>
      <w:r>
        <w:rPr>
          <w:rFonts w:ascii="Arial" w:cs="Arial" w:eastAsia="Arial" w:hAnsi="Arial"/>
          <w:sz w:val="24"/>
          <w:szCs w:val="24"/>
        </w:rPr>
        <w:t xml:space="preserve">Камеко обязуется произвести выплату 15 млн. долларов США своего вклада и 30 млн. долларов США от имени "Кыргызалтына".</w:t>
      </w:r>
    </w:p>
    <w:p>
      <w:pPr>
        <w:spacing w:after="120"/>
        <w:jc w:val="both"/>
      </w:pPr>
      <w:r>
        <w:rPr>
          <w:rFonts w:ascii="Arial" w:cs="Arial" w:eastAsia="Arial" w:hAnsi="Arial"/>
          <w:sz w:val="24"/>
          <w:szCs w:val="24"/>
        </w:rPr>
        <w:t xml:space="preserve">Сумма в 30 млн. долларов США, выплачиваемая от имени "Кыргызалтына" признается косвенным концессионным платежом, что противоречит статье 11 Закона "О концессиях и иностранных концессионных предприятиях в Республике Кыргызстан".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4.1.3. Цианидная авария 1998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мая 1998 года при транспортировке цианида натрия произошла авария, грузовика, принадлежащего КОК, в результате которой автомашина с 20-тонным контейнером упала с моста в реку Барскоон Джеты-Огузского района Иссык-Кульской области.</w:t>
      </w:r>
    </w:p>
    <w:p>
      <w:pPr>
        <w:spacing w:after="120"/>
        <w:jc w:val="both"/>
      </w:pPr>
      <w:r>
        <w:rPr>
          <w:rFonts w:ascii="Arial" w:cs="Arial" w:eastAsia="Arial" w:hAnsi="Arial"/>
          <w:sz w:val="24"/>
          <w:szCs w:val="24"/>
        </w:rPr>
        <w:t xml:space="preserve">В целях реализации расследования причин чрезвычайного происшествия возникшего в результате аварии автомашины, перевозившей опасный груз, определения нанесения экологического и экономического ущерба, Правительством КР было принято постановление(8).</w:t>
      </w:r>
    </w:p>
    <w:p>
      <w:pPr>
        <w:spacing w:after="120"/>
        <w:jc w:val="both"/>
      </w:pPr>
      <w:r>
        <w:rPr>
          <w:rFonts w:ascii="Arial" w:cs="Arial" w:eastAsia="Arial" w:hAnsi="Arial"/>
          <w:sz w:val="24"/>
          <w:szCs w:val="24"/>
        </w:rPr>
        <w:t xml:space="preserve">По итогам работы специальной правительственной комиссии с участием депутатов Жогорку Кенеша КР, Правительством КР было принято постановление(9), которым указанная комиссия определила сумму прямого материального ущерба. При предъявлении материального ущерба специальная правительственная комиссия не принимала во внимание сумму, связанную с потерями урожая. Эта проблема была решена путем беспроцентного кредитования до конца 1999 года четырех сельхозперерабатывающих предприятий Иссык-Кульской области для организации сбора урожая в Джеты-Огузском районе.</w:t>
      </w:r>
    </w:p>
    <w:p>
      <w:pPr>
        <w:spacing w:after="120"/>
        <w:jc w:val="both"/>
      </w:pPr>
      <w:r>
        <w:rPr>
          <w:rFonts w:ascii="Arial" w:cs="Arial" w:eastAsia="Arial" w:hAnsi="Arial"/>
          <w:sz w:val="24"/>
          <w:szCs w:val="24"/>
        </w:rPr>
        <w:t xml:space="preserve">Позднее, между Правительством КР компанией "КОК" был заключен договор по урегулированию вопросов, связанных с компенсацией ущерба в результате аварии в Джеты-Огузском районе Иссык-Кульской области, который был одобрен постановлением Правительства КР(10).</w:t>
      </w:r>
    </w:p>
    <w:p>
      <w:pPr>
        <w:spacing w:after="120"/>
        <w:jc w:val="both"/>
      </w:pPr>
      <w:r>
        <w:rPr>
          <w:rFonts w:ascii="Arial" w:cs="Arial" w:eastAsia="Arial" w:hAnsi="Arial"/>
          <w:sz w:val="24"/>
          <w:szCs w:val="24"/>
        </w:rPr>
        <w:t xml:space="preserve">От имени Правительства КР указанный договор был подписан Вице-премьер-министром КР Б.Силаевым и одобрен 8 января 1999 года единственным арбитром Нью-Йоркского арбитражного суда Робертом Б. Вон Мереном.</w:t>
      </w:r>
    </w:p>
    <w:p>
      <w:pPr>
        <w:spacing w:after="120"/>
        <w:jc w:val="both"/>
      </w:pPr>
      <w:r>
        <w:rPr>
          <w:rFonts w:ascii="Arial" w:cs="Arial" w:eastAsia="Arial" w:hAnsi="Arial"/>
          <w:sz w:val="24"/>
          <w:szCs w:val="24"/>
        </w:rPr>
        <w:t xml:space="preserve">В данном договоре указано, что Правительство Кыргызской Республики выступает от имени всех пострадавших физических и юридических лиц в Кыргызской Республике и КОК пришли к полному и окончательному согласию о размерах компенсаций.</w:t>
      </w:r>
    </w:p>
    <w:p>
      <w:pPr>
        <w:spacing w:after="120"/>
        <w:jc w:val="both"/>
      </w:pPr>
      <w:r>
        <w:rPr>
          <w:rFonts w:ascii="Arial" w:cs="Arial" w:eastAsia="Arial" w:hAnsi="Arial"/>
          <w:sz w:val="24"/>
          <w:szCs w:val="24"/>
        </w:rPr>
        <w:t xml:space="preserve">Однако, частью 4 статьи 1 </w:t>
      </w:r>
      <w:hyperlink w:history="1" r:id="rIdqcjefoo3hoqaw7denh1h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Республики(11) было установлено, что от имени народа Кыргызстана вправе выступать избранные им Президент и Жогорку Кенеш.</w:t>
      </w:r>
    </w:p>
    <w:p>
      <w:pPr>
        <w:spacing w:after="120"/>
        <w:jc w:val="both"/>
      </w:pPr>
      <w:r>
        <w:rPr>
          <w:rFonts w:ascii="Arial" w:cs="Arial" w:eastAsia="Arial" w:hAnsi="Arial"/>
          <w:sz w:val="24"/>
          <w:szCs w:val="24"/>
        </w:rPr>
        <w:t xml:space="preserve">При этом, Правительство освободило КОК, Камеко и КГК и другие юридические и должностные лица участвующие в реализации проекта Кумтор от дальнейшей ответственности связанной с аварией.</w:t>
      </w:r>
    </w:p>
    <w:p>
      <w:pPr>
        <w:spacing w:after="120"/>
        <w:jc w:val="both"/>
      </w:pPr>
      <w:r>
        <w:rPr>
          <w:rFonts w:ascii="Arial" w:cs="Arial" w:eastAsia="Arial" w:hAnsi="Arial"/>
          <w:sz w:val="24"/>
          <w:szCs w:val="24"/>
        </w:rPr>
        <w:t xml:space="preserve">Общая сумма ущерба определена в размере 91279467 сом, что составило 4563973 долларов США, которые компания "КГК" перечислила согласно указанному договору кыргызской стороне.</w:t>
      </w:r>
    </w:p>
    <w:p>
      <w:pPr>
        <w:spacing w:after="120"/>
        <w:jc w:val="both"/>
      </w:pPr>
      <w:r>
        <w:rPr>
          <w:rFonts w:ascii="Arial" w:cs="Arial" w:eastAsia="Arial" w:hAnsi="Arial"/>
          <w:sz w:val="24"/>
          <w:szCs w:val="24"/>
        </w:rPr>
        <w:t xml:space="preserve">В свою очередь, Правительство КР принимает на себя обязательство выступать в роли ответчика и нести ответственность по всем имеющим отношение к аварии претензиям, искам, требованиям или требованиям материального характера которые были или могут быть поданы любыми физическими и юридическими лицами в учреждения или суды Кыргызской Республики.</w:t>
      </w:r>
    </w:p>
    <w:p>
      <w:pPr>
        <w:spacing w:after="120"/>
        <w:jc w:val="both"/>
      </w:pPr>
      <w:r>
        <w:rPr>
          <w:rFonts w:ascii="Arial" w:cs="Arial" w:eastAsia="Arial" w:hAnsi="Arial"/>
          <w:sz w:val="24"/>
          <w:szCs w:val="24"/>
        </w:rPr>
        <w:t xml:space="preserve">Более того, позже, в Соглашении о Новых условиях 2009 года было предусмотрено, что Пересмотренные Соглашения по Проекту должны предусматривать право Центерры и Проектных Компаний на зачет всех сумм на возмещение ущерба, взимаемых с Центерры и/или Проектных Компаний в соответствии с окончательным судебным решением, в счет налогов и других платежей, которые иным образом подлежали бы уплате по Новому Налоговому Режиму, при условии, что одна из сторон такого разбирательства ходатайствовала перед судом о привлечении Правительства в качестве стороны такого разбирательства, и Правительство было уведомлено о таком разбирательстве.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4.1.4. Реструктуризация проекта "Кумтор" 2003-2004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предложению Камеко о реструктуризации проекта "Кумтор" Правительством было принято постановление(12) по формированию кыргызской делегации для ведения переговоров с Камеко. В состав делегации вошли заместители министров (Э.Торомырзаев, Н.Алымбаев, А.Макаров, Н.Кириченко), депутаты Жогорку Кенеша КР (А.Жапаров, Ж.Эшенкулов), советник премьер-министра (В.Богдецкий), заместитель руководителя аппарата (М.Сатыбеков) и руководители отделов аппарата Правительства (Е.Белковская, А.Жолошев), и представитель АО "Кыргызалтын" (К.Кудайбергенов).</w:t>
      </w:r>
    </w:p>
    <w:p>
      <w:pPr>
        <w:spacing w:after="120"/>
        <w:jc w:val="both"/>
      </w:pPr>
      <w:r>
        <w:rPr>
          <w:rFonts w:ascii="Arial" w:cs="Arial" w:eastAsia="Arial" w:hAnsi="Arial"/>
          <w:sz w:val="24"/>
          <w:szCs w:val="24"/>
        </w:rPr>
        <w:t xml:space="preserve">Кыргызской делегации было поручено провести переговоры с канадской корпорацией Камеко с привлечением независимых финансовых и юридических консультантов для профессиональной подготовки юридических и финансовых документов, связанных с реструктуризацией проекта "Кумторзолото", и в месячный срок внести их на рассмотрение Правительства.</w:t>
      </w:r>
    </w:p>
    <w:p>
      <w:pPr>
        <w:spacing w:after="120"/>
        <w:jc w:val="both"/>
      </w:pPr>
      <w:r>
        <w:rPr>
          <w:rFonts w:ascii="Arial" w:cs="Arial" w:eastAsia="Arial" w:hAnsi="Arial"/>
          <w:sz w:val="24"/>
          <w:szCs w:val="24"/>
        </w:rPr>
        <w:t xml:space="preserve">Стороны доработали и согласовали проекты следующих документов:</w:t>
      </w:r>
    </w:p>
    <w:p>
      <w:pPr>
        <w:spacing w:after="120"/>
        <w:jc w:val="both"/>
      </w:pPr>
      <w:r>
        <w:rPr>
          <w:rFonts w:ascii="Arial" w:cs="Arial" w:eastAsia="Arial" w:hAnsi="Arial"/>
          <w:sz w:val="24"/>
          <w:szCs w:val="24"/>
        </w:rPr>
        <w:t xml:space="preserve">- Инвестиционное соглашение между Правительством Кыргызской Республики, "Центеррой", "Кумтор Голд Компании";</w:t>
      </w:r>
    </w:p>
    <w:p>
      <w:pPr>
        <w:spacing w:after="120"/>
        <w:jc w:val="both"/>
      </w:pPr>
      <w:r>
        <w:rPr>
          <w:rFonts w:ascii="Arial" w:cs="Arial" w:eastAsia="Arial" w:hAnsi="Arial"/>
          <w:sz w:val="24"/>
          <w:szCs w:val="24"/>
        </w:rPr>
        <w:t xml:space="preserve">- Измененное и дополненное Концессионное соглашение между Правительством Кыргызской Республики и "Кумтор Голд Компани";</w:t>
      </w:r>
    </w:p>
    <w:p>
      <w:pPr>
        <w:spacing w:after="120"/>
        <w:jc w:val="both"/>
      </w:pPr>
      <w:r>
        <w:rPr>
          <w:rFonts w:ascii="Arial" w:cs="Arial" w:eastAsia="Arial" w:hAnsi="Arial"/>
          <w:sz w:val="24"/>
          <w:szCs w:val="24"/>
        </w:rPr>
        <w:t xml:space="preserve">- Соглашение о новации и прекращении деятельности Генерального соглашения по Проекту "Кумтор" между АО "Кыргызалтын", "Камеко Корпорэйшн", "Центерра Голд Инк.".</w:t>
      </w:r>
    </w:p>
    <w:p>
      <w:pPr>
        <w:spacing w:after="120"/>
        <w:jc w:val="both"/>
      </w:pPr>
      <w:r>
        <w:rPr>
          <w:rFonts w:ascii="Arial" w:cs="Arial" w:eastAsia="Arial" w:hAnsi="Arial"/>
          <w:sz w:val="24"/>
          <w:szCs w:val="24"/>
        </w:rPr>
        <w:t xml:space="preserve">По результатам проведенных переговоров Стороны договорились рекомендовать вышеуказанный пакет документов на рассмотрение Правительства Кыргызской Республики и корпорации Камеко до 31 декабря 2003 года.</w:t>
      </w:r>
    </w:p>
    <w:p>
      <w:pPr>
        <w:spacing w:after="120"/>
        <w:jc w:val="both"/>
      </w:pPr>
      <w:r>
        <w:rPr>
          <w:rFonts w:ascii="Arial" w:cs="Arial" w:eastAsia="Arial" w:hAnsi="Arial"/>
          <w:sz w:val="24"/>
          <w:szCs w:val="24"/>
        </w:rPr>
        <w:t xml:space="preserve">31 декабря 2003 года было подписано (см. постановление ПКР № 835) Соглашение о реструктуризации проекта "Кумтор" между АО "Кыргызалтын" (подписывал К.Кудайбергенов), "Камеко Корпорэйшн", "Камеко Голд Инк." (Джеральд У.Грэнд, О.Ким Гохин) и компанией "Центерра Голд Инк." (Леонард А.Хоменюк, Джордж Р.Бернс) (далее - Соглашение о реструктуризации).</w:t>
      </w:r>
    </w:p>
    <w:p>
      <w:pPr>
        <w:spacing w:after="120"/>
        <w:jc w:val="both"/>
      </w:pPr>
      <w:r>
        <w:rPr>
          <w:rFonts w:ascii="Arial" w:cs="Arial" w:eastAsia="Arial" w:hAnsi="Arial"/>
          <w:sz w:val="24"/>
          <w:szCs w:val="24"/>
        </w:rPr>
        <w:t xml:space="preserve">Данные соглашения были заключены вопреки постановлению(13) Законодательного собрания Жогорку Кенеша от 20 июня 2003 года, в котором было отмечено, что условия Генерального соглашения по отношению к кыргызской стороне были изначально неэффективными и было поручено Правительству вносить изменения и дополнения в Генеральное соглашение и в ТЭО проекта "Кумтор" только с согласия парламента.</w:t>
      </w:r>
    </w:p>
    <w:p>
      <w:pPr>
        <w:spacing w:after="120"/>
        <w:jc w:val="both"/>
      </w:pPr>
      <w:r>
        <w:rPr>
          <w:rFonts w:ascii="Arial" w:cs="Arial" w:eastAsia="Arial" w:hAnsi="Arial"/>
          <w:sz w:val="24"/>
          <w:szCs w:val="24"/>
        </w:rPr>
        <w:t xml:space="preserve">В связи с этим, 25 июня 2004 года Законодательным собранием Жогорку Кенеша КР было принято постановление(14), пунктом 3 которого Правительству было рекомендовано отменить вышеназванное постановление Правительства.</w:t>
      </w:r>
    </w:p>
    <w:p>
      <w:pPr>
        <w:spacing w:after="120"/>
        <w:jc w:val="both"/>
      </w:pPr>
      <w:r>
        <w:rPr>
          <w:rFonts w:ascii="Arial" w:cs="Arial" w:eastAsia="Arial" w:hAnsi="Arial"/>
          <w:sz w:val="24"/>
          <w:szCs w:val="24"/>
        </w:rPr>
        <w:t xml:space="preserve">Данное решение Жогорку Кенеша так и не было исполнено, в связи с чем, 20 января 2005 года Законодательное собрание ЖК принимает постановление(15), которым постановление Правительства КР от 31 декабря 2003 года № 835 было признано превышением полномочий и соответственно противозаконным.</w:t>
      </w:r>
    </w:p>
    <w:p>
      <w:pPr>
        <w:spacing w:after="120"/>
        <w:jc w:val="both"/>
      </w:pPr>
      <w:r>
        <w:rPr>
          <w:rFonts w:ascii="Arial" w:cs="Arial" w:eastAsia="Arial" w:hAnsi="Arial"/>
          <w:sz w:val="24"/>
          <w:szCs w:val="24"/>
        </w:rPr>
        <w:t xml:space="preserve">Подписанные соглашения 2003-2004 годов стали для Кыргызстана самыми невыгодными, поскольку подписав Соглашение о реструктуризации, Кыргызстан существенно ограничил свои права по управлению проектом "Кумтор".</w:t>
      </w:r>
    </w:p>
    <w:p>
      <w:pPr>
        <w:spacing w:after="120"/>
        <w:jc w:val="both"/>
      </w:pPr>
      <w:r>
        <w:rPr>
          <w:rFonts w:ascii="Arial" w:cs="Arial" w:eastAsia="Arial" w:hAnsi="Arial"/>
          <w:sz w:val="24"/>
          <w:szCs w:val="24"/>
        </w:rPr>
        <w:t xml:space="preserve">В процессе реструктуризации Правительство КР обменяло 66,67% акций КГК на 33% простых акций "Центерра Голд Инк.", а "Камеко" 33,33% акций КГК на 67% простых акций Центерра Голд Инк.".</w:t>
      </w:r>
    </w:p>
    <w:p>
      <w:pPr>
        <w:spacing w:after="120"/>
        <w:jc w:val="both"/>
      </w:pPr>
      <w:r>
        <w:rPr>
          <w:rFonts w:ascii="Arial" w:cs="Arial" w:eastAsia="Arial" w:hAnsi="Arial"/>
          <w:sz w:val="24"/>
          <w:szCs w:val="24"/>
        </w:rPr>
        <w:t xml:space="preserve">После реструктуризации процентные доли в Центерре составили:</w:t>
      </w:r>
    </w:p>
    <w:p>
      <w:pPr>
        <w:spacing w:after="120"/>
        <w:jc w:val="both"/>
      </w:pPr>
      <w:r>
        <w:rPr>
          <w:rFonts w:ascii="Arial" w:cs="Arial" w:eastAsia="Arial" w:hAnsi="Arial"/>
          <w:sz w:val="24"/>
          <w:szCs w:val="24"/>
        </w:rPr>
        <w:t xml:space="preserve">- Правительства КР - 33%;</w:t>
      </w:r>
    </w:p>
    <w:p>
      <w:pPr>
        <w:spacing w:after="120"/>
        <w:jc w:val="both"/>
      </w:pPr>
      <w:r>
        <w:rPr>
          <w:rFonts w:ascii="Arial" w:cs="Arial" w:eastAsia="Arial" w:hAnsi="Arial"/>
          <w:sz w:val="24"/>
          <w:szCs w:val="24"/>
        </w:rPr>
        <w:t xml:space="preserve">- Камеко - 67%.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Соглашение акционеров "Центерра" от 9 января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акционеров "Центерра" от 9 января 2004 года (далее Соглашение акционеров) было заключено между АО "Кыргызалтын" (подписал К.Кудайбергенов), "Камеко Голд Инк.", "Кумтор Маунтин Корпорейшн" (подписали - Джеральд У.Грэнди, Леонард А.Хоменюк) и "Центерра Голд Инк." (подписали Леонард А.Хоменюк, Джордж Р.Бернс).</w:t>
      </w:r>
    </w:p>
    <w:p>
      <w:pPr>
        <w:spacing w:after="120"/>
        <w:jc w:val="both"/>
      </w:pPr>
      <w:r>
        <w:rPr>
          <w:rFonts w:ascii="Arial" w:cs="Arial" w:eastAsia="Arial" w:hAnsi="Arial"/>
          <w:sz w:val="24"/>
          <w:szCs w:val="24"/>
        </w:rPr>
        <w:t xml:space="preserve">Основная цель Соглашения акционеров заключалась в Первоначальном Публичном Предложении (далее - ППП) акций Центерра на Торонтской Фондовой Бирже.</w:t>
      </w:r>
    </w:p>
    <w:p>
      <w:pPr>
        <w:spacing w:after="120"/>
        <w:jc w:val="both"/>
      </w:pPr>
      <w:r>
        <w:rPr>
          <w:rFonts w:ascii="Arial" w:cs="Arial" w:eastAsia="Arial" w:hAnsi="Arial"/>
          <w:sz w:val="24"/>
          <w:szCs w:val="24"/>
        </w:rPr>
        <w:t xml:space="preserve">В итоге, после размещения акций Кыргызалтына (7,5 млн. акций) на Торонтской фондовой бирже, процентные доли в Центерре составили:</w:t>
      </w:r>
    </w:p>
    <w:p>
      <w:pPr>
        <w:spacing w:after="120"/>
        <w:jc w:val="both"/>
      </w:pPr>
      <w:r>
        <w:rPr>
          <w:rFonts w:ascii="Arial" w:cs="Arial" w:eastAsia="Arial" w:hAnsi="Arial"/>
          <w:sz w:val="24"/>
          <w:szCs w:val="24"/>
        </w:rPr>
        <w:t xml:space="preserve">- Кыргызалтын 15,66%,</w:t>
      </w:r>
    </w:p>
    <w:p>
      <w:pPr>
        <w:spacing w:after="120"/>
        <w:jc w:val="both"/>
      </w:pPr>
      <w:r>
        <w:rPr>
          <w:rFonts w:ascii="Arial" w:cs="Arial" w:eastAsia="Arial" w:hAnsi="Arial"/>
          <w:sz w:val="24"/>
          <w:szCs w:val="24"/>
        </w:rPr>
        <w:t xml:space="preserve">- Камеко 52,68%,</w:t>
      </w:r>
    </w:p>
    <w:p>
      <w:pPr>
        <w:spacing w:after="120"/>
        <w:jc w:val="both"/>
      </w:pPr>
      <w:r>
        <w:rPr>
          <w:rFonts w:ascii="Arial" w:cs="Arial" w:eastAsia="Arial" w:hAnsi="Arial"/>
          <w:sz w:val="24"/>
          <w:szCs w:val="24"/>
        </w:rPr>
        <w:t xml:space="preserve">- другие акционеры 31,66%.</w:t>
      </w:r>
    </w:p>
    <w:p>
      <w:pPr>
        <w:spacing w:after="120"/>
        <w:jc w:val="both"/>
      </w:pPr>
      <w:r>
        <w:rPr>
          <w:rFonts w:ascii="Arial" w:cs="Arial" w:eastAsia="Arial" w:hAnsi="Arial"/>
          <w:sz w:val="24"/>
          <w:szCs w:val="24"/>
        </w:rPr>
        <w:t xml:space="preserve">От продажи доли акций Кыргызалтына выручка составила 83,4 млн. долларов США, которые поступили в бюджет Кыргызской Республики.</w:t>
      </w:r>
    </w:p>
    <w:p>
      <w:pPr>
        <w:spacing w:after="120"/>
        <w:jc w:val="both"/>
      </w:pPr>
      <w:r>
        <w:rPr>
          <w:rFonts w:ascii="Arial" w:cs="Arial" w:eastAsia="Arial" w:hAnsi="Arial"/>
          <w:sz w:val="24"/>
          <w:szCs w:val="24"/>
        </w:rPr>
        <w:t xml:space="preserve">Таким образом, в процессе реструктуризации проекта "Кумтор" в 2003 году Кыргызалтын (по согласованию с Правительством КР) обменял свою долю 66,67% акций КГК на долю 33% простых акций "Центерра Голд Инк.". А после продажи части акций доля Кыргызалтына в компании Центерра уменьшилась с 33% до 15,66%. Фактически кыргызская сторона потеряла управление проектом "Кумтор".</w:t>
      </w:r>
    </w:p>
    <w:p>
      <w:pPr>
        <w:spacing w:after="120"/>
        <w:jc w:val="both"/>
      </w:pPr>
      <w:r>
        <w:rPr>
          <w:rFonts w:ascii="Arial" w:cs="Arial" w:eastAsia="Arial" w:hAnsi="Arial"/>
          <w:sz w:val="24"/>
          <w:szCs w:val="24"/>
        </w:rPr>
        <w:t xml:space="preserve">Государственная комиссия предполагает, что заключение таких невыгодных соглашений по реструктуризации проекта "Кумтор" связана с личными корыстными интересами лиц, руководивших на тот момент Кыргызской Республикой.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4.1.6. Не вступившие в силу Соглашения по проекту "Кумтор" от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мая 2007 года </w:t>
      </w:r>
      <w:hyperlink w:history="1" r:id="rId6wofhbnsleqhds4iyriyn">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А.Атамбаева № 251 создается экспертная группа, которая совместно с членами депутатской комиссии по парламентскому расследованию освоения проекта "Кумтор" подготовила заключение для переговоров с Камеко по вопросу увеличения доли кыргызской стороны в компании Центерра.</w:t>
      </w:r>
    </w:p>
    <w:p>
      <w:pPr>
        <w:spacing w:after="120"/>
        <w:jc w:val="both"/>
      </w:pPr>
      <w:r>
        <w:rPr>
          <w:rFonts w:ascii="Arial" w:cs="Arial" w:eastAsia="Arial" w:hAnsi="Arial"/>
          <w:sz w:val="24"/>
          <w:szCs w:val="24"/>
        </w:rPr>
        <w:t xml:space="preserve">В результате интенсивных переговоров с Камеко было достигнуто соглашение, что доля Кыргызалтына должна была быть на момент реструктуризации проекта "Кумтор" в 2003-04 годах 52% и Кыргызалтыну нужно передать 32,3 млн. акций. При этом компании "Центерра" из казначейства эмитирует в пользу Камеко 10 млн. акций и доля Кыргызалтына в Центерре должна была составить 29%. Также, общий размер вносимых налогов в 2008 году составил бы 10% от стоимости товарной продукции, в 2009 году 11%, с 2010 года - 12%, отчисления в фонд развития Иссык-Кульской области 1%, платеж за загрязнение окружающей среды - 310 тыс. долл.США.</w:t>
      </w:r>
    </w:p>
    <w:p>
      <w:pPr>
        <w:spacing w:after="120"/>
        <w:jc w:val="both"/>
      </w:pPr>
      <w:r>
        <w:rPr>
          <w:rFonts w:ascii="Arial" w:cs="Arial" w:eastAsia="Arial" w:hAnsi="Arial"/>
          <w:sz w:val="24"/>
          <w:szCs w:val="24"/>
        </w:rPr>
        <w:t xml:space="preserve">30 августа 2007 года было принято </w:t>
      </w:r>
      <w:hyperlink w:history="1" r:id="rIdaj4ehuxl1ydmn1xd7jfl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 382 (подписал А.Атамбаев) об одобрении соглашения между Правительством, Камеко и Центерра.</w:t>
      </w:r>
    </w:p>
    <w:p>
      <w:pPr>
        <w:spacing w:after="120"/>
        <w:jc w:val="both"/>
      </w:pPr>
      <w:r>
        <w:rPr>
          <w:rFonts w:ascii="Arial" w:cs="Arial" w:eastAsia="Arial" w:hAnsi="Arial"/>
          <w:sz w:val="24"/>
          <w:szCs w:val="24"/>
        </w:rPr>
        <w:t xml:space="preserve">В связи с роспуском Жогорку Кенеша и формированием нового Правительства 2 июня 2008 года Центерра была уведомлена о том, что данные соглашения не были ратифицированы Жогорку Кенешем КР в рамках определенного сторонами времени и следовательно они просрочены. То есть формально договоренности от 2007 года, не вступили в действие.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4.1.7. Соглашение о Новых условиях по проекту "Кумтор" от 24 апреля 2009 года (Переговоры официально вел А.Елисеев (неофициально М.Бакиев)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Новых условиях по проекту "Кумтор" от 24 апреля 2009 года подписывали от имени Правительства КР Премьер-министр И.Чудинов, от ОАО "Кыргызалтын" А.Джакыпов, от компании "Центерра Голд Инк." Стивен Лэнг, от ЗАО "Кумтор Голд Инк." А.Сазанов, от ЗАО "Кумтор Оперейтинг Компани" Роберт Д.Вандер, от "Камеко Корпорэйшн" Джеральд Гранди, О.Ким Гохин.</w:t>
      </w:r>
    </w:p>
    <w:p>
      <w:pPr>
        <w:spacing w:after="120"/>
        <w:jc w:val="both"/>
      </w:pPr>
      <w:r>
        <w:rPr>
          <w:rFonts w:ascii="Arial" w:cs="Arial" w:eastAsia="Arial" w:hAnsi="Arial"/>
          <w:sz w:val="24"/>
          <w:szCs w:val="24"/>
        </w:rPr>
        <w:t xml:space="preserve">Основными положениями Соглашения о новых условиях были:</w:t>
      </w:r>
    </w:p>
    <w:p>
      <w:pPr>
        <w:spacing w:after="120"/>
        <w:jc w:val="both"/>
      </w:pPr>
      <w:r>
        <w:rPr>
          <w:rFonts w:ascii="Arial" w:cs="Arial" w:eastAsia="Arial" w:hAnsi="Arial"/>
          <w:sz w:val="24"/>
          <w:szCs w:val="24"/>
        </w:rPr>
        <w:t xml:space="preserve">1. Камеко из своего пакета акций Центерры передает 25,3 млн. акций Кыргызалтыну, Центерра выпускает в пользу Кыргызалтына казначейские акции в количестве 18,2 млн. штук.</w:t>
      </w:r>
    </w:p>
    <w:p>
      <w:pPr>
        <w:spacing w:after="120"/>
        <w:jc w:val="both"/>
      </w:pPr>
      <w:r>
        <w:rPr>
          <w:rFonts w:ascii="Arial" w:cs="Arial" w:eastAsia="Arial" w:hAnsi="Arial"/>
          <w:sz w:val="24"/>
          <w:szCs w:val="24"/>
        </w:rPr>
        <w:t xml:space="preserve">В результате, процентная доля Кыргызалтына в Центерре увеличилась с 15,66% до 32,75%.</w:t>
      </w:r>
    </w:p>
    <w:p>
      <w:pPr>
        <w:spacing w:after="120"/>
        <w:jc w:val="both"/>
      </w:pPr>
      <w:r>
        <w:rPr>
          <w:rFonts w:ascii="Arial" w:cs="Arial" w:eastAsia="Arial" w:hAnsi="Arial"/>
          <w:sz w:val="24"/>
          <w:szCs w:val="24"/>
        </w:rPr>
        <w:t xml:space="preserve">2. Центерра в лице КГК получила расширение концессионной площади на 16,3 тысяч гектар (с перспективой прироста запасов).</w:t>
      </w:r>
    </w:p>
    <w:p>
      <w:pPr>
        <w:spacing w:after="120"/>
        <w:jc w:val="both"/>
      </w:pPr>
      <w:r>
        <w:rPr>
          <w:rFonts w:ascii="Arial" w:cs="Arial" w:eastAsia="Arial" w:hAnsi="Arial"/>
          <w:sz w:val="24"/>
          <w:szCs w:val="24"/>
        </w:rPr>
        <w:t xml:space="preserve">3. С 1 января 2008 года вплоть до прекращения действия пересмотренного Концессионного Договора (т.е. до 4 декабря 2042 года), проектные компании будут освобождены от уплаты всех прочих текущих и будущих налогов в отношении деятельности за исключением уплаты налогов, предусмотренных данным Соглашением.</w:t>
      </w:r>
    </w:p>
    <w:p>
      <w:pPr>
        <w:spacing w:after="120"/>
        <w:jc w:val="both"/>
      </w:pPr>
      <w:r>
        <w:rPr>
          <w:rFonts w:ascii="Arial" w:cs="Arial" w:eastAsia="Arial" w:hAnsi="Arial"/>
          <w:sz w:val="24"/>
          <w:szCs w:val="24"/>
        </w:rPr>
        <w:t xml:space="preserve">Однако в соответствии с частью 4 статьи 5 Налогового </w:t>
      </w:r>
      <w:hyperlink w:history="1" r:id="rIdxulcgpk9dy0tio8j2ay3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право установления налогов принадлежит Жогорку Кенешу. Налоги устанавливаются или отменяются исключительно Налоговым </w:t>
      </w:r>
      <w:hyperlink w:history="1" r:id="rIdpskfdgzdhg8pc80ttfoy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4.1.8. Пересмотренный Концессионный договор от 6 июня 2009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Пересмотренный концессионный договор от 6 июня 2009 года был заключен между Правительством Кыргызской Республики (подписал И.Чудинов) и ЗАО "Кумтор Голд Компани" (подписал А.Сазанов).</w:t>
      </w:r>
    </w:p>
    <w:p>
      <w:pPr>
        <w:spacing w:after="120"/>
        <w:jc w:val="both"/>
      </w:pPr>
      <w:r>
        <w:rPr>
          <w:rFonts w:ascii="Arial" w:cs="Arial" w:eastAsia="Arial" w:hAnsi="Arial"/>
          <w:sz w:val="24"/>
          <w:szCs w:val="24"/>
        </w:rPr>
        <w:t xml:space="preserve">Согласно пересмотренного концессионного договора Правительство Кыргызской Республики предоставило КГК концессию сроком на 50 лет (т.е. до 4 декабря 2042 года) и его "действие не может быть прекращено до истечения пятидесятилетнего срока, если только КГК официально не заявит о завершении разработки месторождения "Кумтор". На Концессию не будут распространяться какие-либо отмены, изменения Закона о Концессиях или поправки к нему".</w:t>
      </w:r>
    </w:p>
    <w:p>
      <w:pPr>
        <w:spacing w:after="120"/>
        <w:jc w:val="both"/>
      </w:pPr>
      <w:r>
        <w:rPr>
          <w:rFonts w:ascii="Arial" w:cs="Arial" w:eastAsia="Arial" w:hAnsi="Arial"/>
          <w:sz w:val="24"/>
          <w:szCs w:val="24"/>
        </w:rPr>
        <w:t xml:space="preserve">В соответствии со статьей 10 Закона Республики Кыргызстан "О концессиях и иностранных концессионных предприятиях в Республике Кыргызстан" проекты концессионных договоров до государственной регистрации проходят в обязательном порядке комплексную экспертизу, назначаемую Правительством Республики Кыргызстан с привлечением соответствующих специалистов. При этом заключение комиссии утверждается Правительством Республики Кыргызстан.</w:t>
      </w:r>
    </w:p>
    <w:p>
      <w:pPr>
        <w:spacing w:after="120"/>
        <w:jc w:val="both"/>
      </w:pPr>
      <w:r>
        <w:rPr>
          <w:rFonts w:ascii="Arial" w:cs="Arial" w:eastAsia="Arial" w:hAnsi="Arial"/>
          <w:sz w:val="24"/>
          <w:szCs w:val="24"/>
        </w:rPr>
        <w:t xml:space="preserve">В нарушение указанной статьи Закона комплексная экспертиза не проводилась.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4.1.9. Обращения депутатов Жогорку Кенеша М.Исановой и К.Исабекова в суды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июня 2009 года Конституционным судом в составе: председателя Сыдыковой С.К., заместителя председателя Суталинова А.А., судей - Абдугапарова А.А., Демина С.Н. (докладчик), Кененсариева А.С., Курбановой Ч.Ж., Мамырова О.Ж., Мусабековой Ч.А. и Эсенканова К.Э. было рассмотрено представление депутата Жогорку Кенеша М.Исановой о признании неконституционными Законов КР и решений Правительства:</w:t>
      </w:r>
    </w:p>
    <w:p>
      <w:pPr>
        <w:spacing w:after="120"/>
        <w:jc w:val="both"/>
      </w:pPr>
      <w:r>
        <w:rPr>
          <w:rFonts w:ascii="Arial" w:cs="Arial" w:eastAsia="Arial" w:hAnsi="Arial"/>
          <w:sz w:val="24"/>
          <w:szCs w:val="24"/>
        </w:rPr>
        <w:t xml:space="preserve">- </w:t>
      </w:r>
      <w:hyperlink w:history="1" r:id="rIdcxcgiwq0xwwdox2zfo9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внесении изменений и дополнений в Налоговый кодекс Кыргызской Республики" от 30 апреля 2009 года;</w:t>
      </w:r>
    </w:p>
    <w:p>
      <w:pPr>
        <w:spacing w:after="120"/>
        <w:jc w:val="both"/>
      </w:pPr>
      <w:r>
        <w:rPr>
          <w:rFonts w:ascii="Arial" w:cs="Arial" w:eastAsia="Arial" w:hAnsi="Arial"/>
          <w:sz w:val="24"/>
          <w:szCs w:val="24"/>
        </w:rPr>
        <w:t xml:space="preserve">- </w:t>
      </w:r>
      <w:hyperlink w:history="1" r:id="rIdbmdp1laorwhj9w9b2uwm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ратификации Соглашения о новых условиях по проекту "Кумтор" между Правительством Кыргызской Республики, ОАО "Кыргызалтын", канадской компанией "Центерра Голд Инк.", ЗАО "Кумтор Оперейтинг Компани", ЗАО "Кумтор Голд Компани" и канадской корпорацией "Камеко", подписанного 24 апреля 2009 года в городе Бишкек" от 30 апреля 2009 года;</w:t>
      </w:r>
    </w:p>
    <w:p>
      <w:pPr>
        <w:spacing w:after="120"/>
        <w:jc w:val="both"/>
      </w:pPr>
      <w:r>
        <w:rPr>
          <w:rFonts w:ascii="Arial" w:cs="Arial" w:eastAsia="Arial" w:hAnsi="Arial"/>
          <w:sz w:val="24"/>
          <w:szCs w:val="24"/>
        </w:rPr>
        <w:t xml:space="preserve">- </w:t>
      </w:r>
      <w:hyperlink w:history="1" r:id="rIdqbosbohpvae424levrgk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 внесении изменений в некоторые законодательные акты Кыргызской Республики" от 29 мая 2009 года;</w:t>
      </w:r>
    </w:p>
    <w:p>
      <w:pPr>
        <w:spacing w:after="120"/>
        <w:jc w:val="both"/>
      </w:pPr>
      <w:r>
        <w:rPr>
          <w:rFonts w:ascii="Arial" w:cs="Arial" w:eastAsia="Arial" w:hAnsi="Arial"/>
          <w:sz w:val="24"/>
          <w:szCs w:val="24"/>
        </w:rPr>
        <w:t xml:space="preserve">- распоряжение Правительства Кыргызской Республики № 181-р от 24 апреля 2009 года;</w:t>
      </w:r>
    </w:p>
    <w:p>
      <w:pPr>
        <w:spacing w:after="120"/>
        <w:jc w:val="both"/>
      </w:pPr>
      <w:r>
        <w:rPr>
          <w:rFonts w:ascii="Arial" w:cs="Arial" w:eastAsia="Arial" w:hAnsi="Arial"/>
          <w:sz w:val="24"/>
          <w:szCs w:val="24"/>
        </w:rPr>
        <w:t xml:space="preserve">- </w:t>
      </w:r>
      <w:hyperlink w:history="1" r:id="rIdib_a1scoehvoz6wgs7ui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 254 от 24 апреля 2009 года,</w:t>
      </w:r>
    </w:p>
    <w:p>
      <w:pPr>
        <w:spacing w:after="120"/>
        <w:jc w:val="both"/>
      </w:pPr>
      <w:r>
        <w:rPr>
          <w:rFonts w:ascii="Arial" w:cs="Arial" w:eastAsia="Arial" w:hAnsi="Arial"/>
          <w:sz w:val="24"/>
          <w:szCs w:val="24"/>
        </w:rPr>
        <w:t xml:space="preserve">и противоречащими части второй пункта 4 статьи 1, пункту 3 статьи 11, статье 22, подпункту 22 пункта 1 статьи 58 и пункту 1 статьи 74 </w:t>
      </w:r>
      <w:hyperlink w:history="1" r:id="rIdlzw7hsphnhcde0idzqy5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Согласно решению Конституционного суда представление было оставлено без удовлетворения (решение Конституционного суда от 2 июня 2009 года). Таким образом, Конституционный суд де-юре подтвердил что, принятые Законы и решения Правительства не противоречат </w:t>
      </w:r>
      <w:hyperlink w:history="1" r:id="rIdc8o4yszwce05ajpetg7p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 этом, согласно протоколу от 30 апреля 2009 года № 56 II сессии Жогорку Кенеша Кыргызской Республики 2008-2009 годов Исанова М.Н. голосовала за принятие </w:t>
      </w:r>
      <w:hyperlink w:history="1" r:id="rIdto7c_pjapl5cn0izsltu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ратификации Соглашения о новых условиях по проекту "Кумтор" между Правительством Кыргызской Республики, ОАО "Кыргызалтын", канадской компанией "Центерра Голд Инк.", ЗАО "Кумтор Оперейтинг Компани", ЗАО "Кумтор Голд Компани" и канадской корпорацией "Камеко", подписанного 24 апреля 2009 года в городе Бишкек".</w:t>
      </w:r>
    </w:p>
    <w:p>
      <w:pPr>
        <w:spacing w:after="120"/>
        <w:jc w:val="both"/>
      </w:pPr>
      <w:r>
        <w:rPr>
          <w:rFonts w:ascii="Arial" w:cs="Arial" w:eastAsia="Arial" w:hAnsi="Arial"/>
          <w:sz w:val="24"/>
          <w:szCs w:val="24"/>
        </w:rPr>
        <w:t xml:space="preserve">Государственная комиссия предполагает:</w:t>
      </w:r>
    </w:p>
    <w:p>
      <w:pPr>
        <w:spacing w:after="120"/>
        <w:jc w:val="both"/>
      </w:pPr>
      <w:r>
        <w:rPr>
          <w:rFonts w:ascii="Arial" w:cs="Arial" w:eastAsia="Arial" w:hAnsi="Arial"/>
          <w:sz w:val="24"/>
          <w:szCs w:val="24"/>
        </w:rPr>
        <w:t xml:space="preserve">- во-первых, обращение депутата М.Н.Исановой, представлявшей в парламенте правящую на тот момент политическую партию "Ак-Жол", было сделано преднамеренно в целях закрепления положений Соглашения решением Конституционного суда, и исключения возможности повторных обращений в Конституционный суд, поскольку решения Конституционного суда являются окончательными и обжалованию не подлежат;</w:t>
      </w:r>
    </w:p>
    <w:p>
      <w:pPr>
        <w:spacing w:after="120"/>
        <w:jc w:val="both"/>
      </w:pPr>
      <w:r>
        <w:rPr>
          <w:rFonts w:ascii="Arial" w:cs="Arial" w:eastAsia="Arial" w:hAnsi="Arial"/>
          <w:sz w:val="24"/>
          <w:szCs w:val="24"/>
        </w:rPr>
        <w:t xml:space="preserve">- во-вторых, позволило Правительству выполнить свое обязательство по предоставлению Камеко и Центерре судебного акта Конституционного суда о законности заключения Соглашения о Новых Условиях и Пересмотренных Соглашений по Проекту "Кумтор". Данное обязательство было закреплено в пункте 6.2. Соглашения о новых условиях от 24 апреля 2009 года.</w:t>
      </w:r>
    </w:p>
    <w:p>
      <w:pPr>
        <w:spacing w:after="120"/>
        <w:jc w:val="both"/>
      </w:pPr>
      <w:r>
        <w:rPr>
          <w:rFonts w:ascii="Arial" w:cs="Arial" w:eastAsia="Arial" w:hAnsi="Arial"/>
          <w:sz w:val="24"/>
          <w:szCs w:val="24"/>
        </w:rPr>
        <w:t xml:space="preserve">Из вышесказанного следует, что заключение Конституционного суда стало ключевым решением, закрепившим условия Соглашений 2009 года.</w:t>
      </w:r>
    </w:p>
    <w:p>
      <w:pPr>
        <w:spacing w:after="120"/>
        <w:jc w:val="both"/>
      </w:pPr>
      <w:r>
        <w:rPr>
          <w:rFonts w:ascii="Arial" w:cs="Arial" w:eastAsia="Arial" w:hAnsi="Arial"/>
          <w:sz w:val="24"/>
          <w:szCs w:val="24"/>
        </w:rPr>
        <w:t xml:space="preserve">Исабеков К.С. депутат Жогорку Кенеша Кыргызской Республики от фракции "Ак Жол" обратился в межрайонный суд города Бишкек с исковым заявлением о признании недействительными трех лицензий на право пользования недрами и лицензионных соглашений между Государственным агентством по геологии и минеральным ресурсам при Правительстве КР и ЗАО "Кумтор Голд Компани", выданных и заключенных в период 2005-2007 годы.</w:t>
      </w:r>
    </w:p>
    <w:p>
      <w:pPr>
        <w:spacing w:after="120"/>
        <w:jc w:val="both"/>
      </w:pPr>
      <w:r>
        <w:rPr>
          <w:rFonts w:ascii="Arial" w:cs="Arial" w:eastAsia="Arial" w:hAnsi="Arial"/>
          <w:sz w:val="24"/>
          <w:szCs w:val="24"/>
        </w:rPr>
        <w:t xml:space="preserve">В первой инстанции иск К.Исабекова был удовлетворен полностью (решение вынесено 17 июня 2008 года), во второй инстанции иск был им же отозван (определение от 7 мая 2009 года).</w:t>
      </w:r>
    </w:p>
    <w:p>
      <w:pPr>
        <w:spacing w:after="120"/>
        <w:jc w:val="both"/>
      </w:pPr>
      <w:r>
        <w:rPr>
          <w:rFonts w:ascii="Arial" w:cs="Arial" w:eastAsia="Arial" w:hAnsi="Arial"/>
          <w:sz w:val="24"/>
          <w:szCs w:val="24"/>
        </w:rPr>
        <w:t xml:space="preserve">Государственная комиссия предполагает, что данное обращение в судебные органы было преднамеренным, таким образом, было оказано давление на ЗАО "Кумтор Голд Компани", поскольку после подписания Соглашения о новых условиях иск был отозван.</w:t>
      </w:r>
    </w:p>
    <w:p>
      <w:pPr>
        <w:spacing w:after="120"/>
        <w:jc w:val="both"/>
      </w:pPr>
      <w:r>
        <w:rPr>
          <w:rFonts w:ascii="Arial" w:cs="Arial" w:eastAsia="Arial" w:hAnsi="Arial"/>
          <w:sz w:val="24"/>
          <w:szCs w:val="24"/>
        </w:rPr>
        <w:t xml:space="preserve">Однако Государственное агентство по геологии и минеральным ресурсам при Правительстве подало надзорную жалобу о пересмотре определения коллегии по административным и экономическим делам Бишкекского городского суда от 7 мая 2009 года. В свою очередь, коллегия по административным и экономическим делам Верховного суда Кыргызской Республики, отменила судебные акты предыдущих инстанций, вынесла постановление от 22 мая 2009 года об отказе в удовлетворении исковых требований Исабекова 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4.1.10. Обязательство по предоставлению земельного участка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постановлением Правительства(16) (подписал А.Джумагулов) от 7 октября 1994 года КГК были предоставлены 10070 га во временное пользование сроком на 15 лет на условиях аренды для строительства объектов "Кумторзолото" в урочище "Кумтор" Джети-Огузского района Ысык-Кульской области (срок истек в 2009 году).</w:t>
      </w:r>
    </w:p>
    <w:p>
      <w:pPr>
        <w:spacing w:after="120"/>
        <w:jc w:val="both"/>
      </w:pPr>
      <w:r>
        <w:rPr>
          <w:rFonts w:ascii="Arial" w:cs="Arial" w:eastAsia="Arial" w:hAnsi="Arial"/>
          <w:sz w:val="24"/>
          <w:szCs w:val="24"/>
        </w:rPr>
        <w:t xml:space="preserve">В последующем, Правительство своим решением(17) от 25 марта 2010 года (подписал Д.Усенов) к ранее предоставленному КГК земельному участку, площадью 10070 га, дополнительно предоставило для геологического изучения недр и разработки месторождений полезных ископаемых земельный участок площадью 16330,8 га, во временное пользование, на срок действия пересмотренного Концессионного договора (т.е. до 4 декабря 2042 года). В целом, КГК было предоставлено 26400,8 га земли.</w:t>
      </w:r>
    </w:p>
    <w:p>
      <w:pPr>
        <w:spacing w:after="120"/>
        <w:jc w:val="both"/>
      </w:pPr>
      <w:r>
        <w:rPr>
          <w:rFonts w:ascii="Arial" w:cs="Arial" w:eastAsia="Arial" w:hAnsi="Arial"/>
          <w:sz w:val="24"/>
          <w:szCs w:val="24"/>
        </w:rPr>
        <w:t xml:space="preserve">5 июля 2012 года Правительством принято постановление(18) (подписал О.Бабанов), согласно которому отменено действие вышеназванного постановления Правительства от 25 марта 2010 года со дня его принятия, т.е. КГК фактически осуществляет деятельность без соответствующего решения Правительства о предоставлении земельного участка.</w:t>
      </w:r>
    </w:p>
    <w:p>
      <w:pPr>
        <w:spacing w:after="120"/>
        <w:jc w:val="both"/>
      </w:pPr>
      <w:r>
        <w:rPr>
          <w:rFonts w:ascii="Arial" w:cs="Arial" w:eastAsia="Arial" w:hAnsi="Arial"/>
          <w:sz w:val="24"/>
          <w:szCs w:val="24"/>
        </w:rPr>
        <w:t xml:space="preserve">КГК обосновывает свою деятельность тем, что он руководствуется Пересмотренным концессионным договором от 2009 года, согласно которому концессионная площадь представляет собой всю территорию, предусмотренную лицензией КГК на геологическое изучение недр и разработку месторождения полезных ископаемых (лицензия № 79-97 от 8 декабря 2005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Экономический и социальный анализ проекта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Основные экономические и социальные показатели, выгоды от проекта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декабре 1992 года компания Камеко и Кыргызская Республика заключили соглашение, где впервые прописываются основные положения инвестирования в проект "Кумтор" с долей КР 2/3 и Камеко 1/3, включая создание компании ЗАО "Кумтор Голд Компани" (КГК) с тем обязательством, что Кыргызская Республика предоставит исключительные права на залежи золота проекта.</w:t>
      </w:r>
    </w:p>
    <w:p>
      <w:pPr>
        <w:spacing w:after="120"/>
        <w:jc w:val="both"/>
      </w:pPr>
      <w:r>
        <w:rPr>
          <w:rFonts w:ascii="Arial" w:cs="Arial" w:eastAsia="Arial" w:hAnsi="Arial"/>
          <w:sz w:val="24"/>
          <w:szCs w:val="24"/>
        </w:rPr>
        <w:t xml:space="preserve">В ТЭО 1993 года была проведена первая ориентировочная оценка стоимости проекта в размере 276,6 млн. долл.США. ТЭО было принято </w:t>
      </w:r>
      <w:hyperlink w:history="1" r:id="rIdduerrfrhnu5n4dm5j5tv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31 мая 1994 г. № 379. Увеличение окончательной стоимости в сравнении с расчетной по ТЭО составило 175,6 млн. долл.США. В обосновании увеличения стоимости согласно отчета комиссии, созданной распоряжением Правительства, одной из основных причин приводится увеличение строительно-монтажных работ (на 25%) в результате улучшения ТЭО на стадии проектирования и строительства, сокращение сроков строительства на 7 месяцев из-за отставания, а разработка самого ТЭО обошлась в 5,5 млн. долл.США, вознаграждение за управление 15,3 млн. долл.США. На организацию финансирования было потрачено 37,4 млн. долл.США, из которых 25 млн. долл.США - начисленные проценты, техконсультанты и советники - 5 млн. долл.США, юридические услуги - 7,4 млн. долл.США.</w:t>
      </w:r>
    </w:p>
    <w:p>
      <w:pPr>
        <w:spacing w:after="120"/>
        <w:jc w:val="both"/>
      </w:pPr>
      <w:r>
        <w:rPr>
          <w:rFonts w:ascii="Arial" w:cs="Arial" w:eastAsia="Arial" w:hAnsi="Arial"/>
          <w:sz w:val="24"/>
          <w:szCs w:val="24"/>
        </w:rPr>
        <w:t xml:space="preserve">Структура финансирования постройки фабрики была организована, в большей части за счет кредитных ресурсов. Так из объема 437,5 млн. долл.США, вложенный капитал (долевое участие) составил только лишь 45 млн. долл.США. Структура финансирования выглядела таким образом, что Камеко вложила собственных средств в проект в виде акционерного капитала только на 3,4%. Акционерный кредит предоставленный Камеко составил в сумме 107,43 млн. долл.США, при обслуживании Либор+6.</w:t>
      </w:r>
    </w:p>
    <w:p>
      <w:pPr>
        <w:spacing w:after="120"/>
        <w:jc w:val="both"/>
      </w:pPr>
      <w:r>
        <w:rPr>
          <w:rFonts w:ascii="Arial" w:cs="Arial" w:eastAsia="Arial" w:hAnsi="Arial"/>
          <w:sz w:val="24"/>
          <w:szCs w:val="24"/>
        </w:rPr>
        <w:t xml:space="preserve">Процентные платежи по субординированному долгу составили 62,1 млн. долл.США с 1996 по 2002 год, по старшему долгу 11,9 млн. долл.США, причем остаток акционерного займа Камеко на 2002 год составил 61 млн. долл.США, который в последствие был трансформирован в акции Центерры. Процентная ставка по субординированным долгам МФК и ЕБРР колебалась от 5% в 1996 году до 21,4% в 2004. Определенно, что Камеко только выиграла от такой структуры финансирования проекта и в конечном итоге еще выиграла от процентных платежей по акционерному займу.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4.2.2. Потери от соглашений 1992-1994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 "Кумтор" был передан для реализации корпорации Камеко, которая специализировалась в сфере добычи урана, посредством не прозрачных и не конкурентных механизмов. Предложения других компаний, специализирующихся в добыче золота на более выгодных условиях (например, Грайберг Продакшн Корп., Англо Америкэн, Ньюмонт и др.) были отвергнуты со стороны КР. В соглашениях четко прописывалось, что управленческие вопросы, такие, как: утверждение ТЭО, годовых планов, финансовых отчетов, утверждение капитальных затрат, изменения соглашения осуществлялось не менее чем 4/5 акционеров (80%), то есть в любом случае с одобрения Камеко. КР не принимала самостоятельных решений, всем процессом практически управляла Камеко.</w:t>
      </w:r>
    </w:p>
    <w:p>
      <w:pPr>
        <w:spacing w:after="120"/>
        <w:jc w:val="both"/>
      </w:pPr>
      <w:r>
        <w:rPr>
          <w:rFonts w:ascii="Arial" w:cs="Arial" w:eastAsia="Arial" w:hAnsi="Arial"/>
          <w:sz w:val="24"/>
          <w:szCs w:val="24"/>
        </w:rPr>
        <w:t xml:space="preserve">2) Формула "долевого" участия не соответствовала интересам КР когда чистая прибыль (не доходы и не раздел продукции-золота) после всех вычетов, включая расходы на обслуживание инвестиционного и акционерного (выданного Камеко) кредитов на разработку проекта делилась между КР и Камеко. Структура финансирования проекта "Кумтор" для его промышленного запуска (ТЭО, постройка фабрики и др.) была организована так, что средства Камеко вложенные в разработку проекта, фактически, составили 3,4% от общего объема затрат, при этом привлечением финансирования занималась Камеко под залог самого месторождения. Исходя из такой структуры инвестирования Камеко было не "важно" получение чистой прибыли, а наоборот увеличение расходов по проекту. КОК/КГК получали управленческое вознаграждение в размере 4% до постройки фабрики и 4,5% после от расходов по проекту, размер которого не обоснован и не понятен с экономической точки зрения.</w:t>
      </w:r>
    </w:p>
    <w:p>
      <w:pPr>
        <w:spacing w:after="120"/>
        <w:jc w:val="both"/>
      </w:pPr>
      <w:r>
        <w:rPr>
          <w:rFonts w:ascii="Arial" w:cs="Arial" w:eastAsia="Arial" w:hAnsi="Arial"/>
          <w:sz w:val="24"/>
          <w:szCs w:val="24"/>
        </w:rPr>
        <w:t xml:space="preserve">3) В мае 2002 года после завершения срока налоговых каникул, Правительством КР было принято изменение в соглашение по проекту "Кумтор" по возмещению части некоторых налогов - 1/3 КГК и 100% КОК, что составило обязательств со стороны КР на 31 декабря 2002 года 2,4 млн. долл. и на 31 декабря 2003 года 2,5 млн. долл., всего на 4,9 млн. долл. Это было сделано для снижения риска невыплаты инвестиционных кредитов и процентов по ним, включая акционерный заем от Камеко в размере 107,5 млн. долл. с процентной ставкой Либор+6%.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4.2.3. Экономические потери от соглашений 2003-2004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Соглашения по проекту "Кумтор" 2003-2004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пакета соглашений 2003-04 годов коснулось, в первую очередь, с принципиального решения по включению активов "Кумтора" в публичную компанию Центерра Голд Инк.", которую создало Камеко и акции которой размещались посредством первичного (IPO) и далее вторичного публичного размещения на Торонтской фондовой бирже в Канаде. По справедливой оценке активов и разделения между Камеко и КР в рамках подготовки проведения IPO были привлечены финансовые и технические консультанты как со стороны Камеко, так и КР. В 2003-04 году реструктуризация проекта "Кумтор" была осуществлена вложением следующих активов различных сторон.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Стороны   │          Вложенные активы          │  Доли в Центерре │</w:t>
      </w:r>
    </w:p>
    <w:p>
      <w:pPr>
        <w:spacing w:after="120"/>
        <w:jc w:val="both"/>
      </w:pPr>
      <w:r>
        <w:rPr>
          <w:rFonts w:ascii="Arial" w:cs="Arial" w:eastAsia="Arial" w:hAnsi="Arial"/>
          <w:sz w:val="24"/>
          <w:szCs w:val="24"/>
        </w:rPr>
        <w:t xml:space="preserve">│             │                                    │   при первичном  │</w:t>
      </w:r>
    </w:p>
    <w:p>
      <w:pPr>
        <w:spacing w:after="120"/>
        <w:jc w:val="both"/>
      </w:pPr>
      <w:r>
        <w:rPr>
          <w:rFonts w:ascii="Arial" w:cs="Arial" w:eastAsia="Arial" w:hAnsi="Arial"/>
          <w:sz w:val="24"/>
          <w:szCs w:val="24"/>
        </w:rPr>
        <w:t xml:space="preserve">│             │                                    │ размещении акций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│Кыргызалтын  │2/3 в КГК (месторождение "Кумтор")  │     1/3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│Камеко       │1/3 в КГК (месторождении "Кумтор"), │     2/3 (67%)    │</w:t>
      </w:r>
    </w:p>
    <w:p>
      <w:pPr>
        <w:spacing w:after="120"/>
        <w:jc w:val="both"/>
      </w:pPr>
      <w:r>
        <w:rPr>
          <w:rFonts w:ascii="Arial" w:cs="Arial" w:eastAsia="Arial" w:hAnsi="Arial"/>
          <w:sz w:val="24"/>
          <w:szCs w:val="24"/>
        </w:rPr>
        <w:t xml:space="preserve">│             │а также следующие мелкие в сравнении│                  │</w:t>
      </w:r>
    </w:p>
    <w:p>
      <w:pPr>
        <w:spacing w:after="120"/>
        <w:jc w:val="both"/>
      </w:pPr>
      <w:r>
        <w:rPr>
          <w:rFonts w:ascii="Arial" w:cs="Arial" w:eastAsia="Arial" w:hAnsi="Arial"/>
          <w:sz w:val="24"/>
          <w:szCs w:val="24"/>
        </w:rPr>
        <w:t xml:space="preserve">│             │с Кумтором активы:                  │                  │</w:t>
      </w:r>
    </w:p>
    <w:p>
      <w:pPr>
        <w:spacing w:after="120"/>
        <w:jc w:val="both"/>
      </w:pPr>
      <w:r>
        <w:rPr>
          <w:rFonts w:ascii="Arial" w:cs="Arial" w:eastAsia="Arial" w:hAnsi="Arial"/>
          <w:sz w:val="24"/>
          <w:szCs w:val="24"/>
        </w:rPr>
        <w:t xml:space="preserve">│             │- 53,6% в компании AGR, которая     │                  │</w:t>
      </w:r>
    </w:p>
    <w:p>
      <w:pPr>
        <w:spacing w:after="120"/>
        <w:jc w:val="both"/>
      </w:pPr>
      <w:r>
        <w:rPr>
          <w:rFonts w:ascii="Arial" w:cs="Arial" w:eastAsia="Arial" w:hAnsi="Arial"/>
          <w:sz w:val="24"/>
          <w:szCs w:val="24"/>
        </w:rPr>
        <w:t xml:space="preserve">│             │владела 95% в проекте Бору;         │                  │</w:t>
      </w:r>
    </w:p>
    <w:p>
      <w:pPr>
        <w:spacing w:after="120"/>
        <w:jc w:val="both"/>
      </w:pPr>
      <w:r>
        <w:rPr>
          <w:rFonts w:ascii="Arial" w:cs="Arial" w:eastAsia="Arial" w:hAnsi="Arial"/>
          <w:sz w:val="24"/>
          <w:szCs w:val="24"/>
        </w:rPr>
        <w:t xml:space="preserve">│             │- акционерные займы, выданные Камеко│                  │</w:t>
      </w:r>
    </w:p>
    <w:p>
      <w:pPr>
        <w:spacing w:after="120"/>
        <w:jc w:val="both"/>
      </w:pPr>
      <w:r>
        <w:rPr>
          <w:rFonts w:ascii="Arial" w:cs="Arial" w:eastAsia="Arial" w:hAnsi="Arial"/>
          <w:sz w:val="24"/>
          <w:szCs w:val="24"/>
        </w:rPr>
        <w:t xml:space="preserve">│             │Барбадос на постройку фабрик по Бору│                  │</w:t>
      </w:r>
    </w:p>
    <w:p>
      <w:pPr>
        <w:spacing w:after="120"/>
        <w:jc w:val="both"/>
      </w:pPr>
      <w:r>
        <w:rPr>
          <w:rFonts w:ascii="Arial" w:cs="Arial" w:eastAsia="Arial" w:hAnsi="Arial"/>
          <w:sz w:val="24"/>
          <w:szCs w:val="24"/>
        </w:rPr>
        <w:t xml:space="preserve">│             │и Кумтор;                           │                  │</w:t>
      </w:r>
    </w:p>
    <w:p>
      <w:pPr>
        <w:spacing w:after="120"/>
        <w:jc w:val="both"/>
      </w:pPr>
      <w:r>
        <w:rPr>
          <w:rFonts w:ascii="Arial" w:cs="Arial" w:eastAsia="Arial" w:hAnsi="Arial"/>
          <w:sz w:val="24"/>
          <w:szCs w:val="24"/>
        </w:rPr>
        <w:t xml:space="preserve">│             │- 73% в проекте Гацуурт (права на   │                  │</w:t>
      </w:r>
    </w:p>
    <w:p>
      <w:pPr>
        <w:spacing w:after="120"/>
        <w:jc w:val="both"/>
      </w:pPr>
      <w:r>
        <w:rPr>
          <w:rFonts w:ascii="Arial" w:cs="Arial" w:eastAsia="Arial" w:hAnsi="Arial"/>
          <w:sz w:val="24"/>
          <w:szCs w:val="24"/>
        </w:rPr>
        <w:t xml:space="preserve">│             │разработку);                        │                  │</w:t>
      </w:r>
    </w:p>
    <w:p>
      <w:pPr>
        <w:spacing w:after="120"/>
        <w:jc w:val="both"/>
      </w:pPr>
      <w:r>
        <w:rPr>
          <w:rFonts w:ascii="Arial" w:cs="Arial" w:eastAsia="Arial" w:hAnsi="Arial"/>
          <w:sz w:val="24"/>
          <w:szCs w:val="24"/>
        </w:rPr>
        <w:t xml:space="preserve">│             │- 62,14% в проекте RE№ (Невада,     │                  │</w:t>
      </w:r>
    </w:p>
    <w:p>
      <w:pPr>
        <w:spacing w:after="120"/>
        <w:jc w:val="both"/>
      </w:pPr>
      <w:r>
        <w:rPr>
          <w:rFonts w:ascii="Arial" w:cs="Arial" w:eastAsia="Arial" w:hAnsi="Arial"/>
          <w:sz w:val="24"/>
          <w:szCs w:val="24"/>
        </w:rPr>
        <w:t xml:space="preserve">│             │США)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Проблемы и потери от соглашений 2003-04 годов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процессу реструктуризации проекта "Кумтор" КР, практически, была не подготовлена и интересы страны были значительно ущемлены. Расчетные модели от консультантов (Cutfield Freema№ a№d Со, Стандарт банка) были подготовлены на основе условий пакета соглашений по проекту "Кумтор" от 1992-94 годов, данных Камеко которые, как расчетная база, были неприемлемы и со значительным ущемлением интересов КР, в дополнение к некачественным допущениям в моделях оценки активов и принятому долгосрочному прогнозу цены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По занижению потенциала месторождения "Кумтор" и доли Кыргызалтына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по золоту на месторождении "Кумтор" по отчету Strathco№a Mi№erals Services limited, привлеченная Камеко, были следующими: запасы (резервы) - 101 тонн, ресурсы - 57,9 тонн, предполагаемые ресурсы - 45 тонн. Согласно информации Госагентства КР по геологии за контурами нового варианта карьера осталась существенная часть запасов металла, ранее входивших в ТЭО 1995 года - 33,8 тонн балансового и 3,9 тонн забалансового золота, ранее входивших в старый карьер ТЭО 1995 года. При создании Центерры, согласно оценок и стандартов ГосКомГеологии КР и экспертной группы, созданной 22 мая 2007 года распоряжением премьер-министра КР была учтена только лишь часть геологических запасов (57 из 237 тонны) и часть прогнозных ресурсов (21 из 200 тонн). Хотя в проспекте размещения акций Центерры четко указывается о вероятном и значительном приращении ресурсов "Кумтора".</w:t>
      </w:r>
    </w:p>
    <w:p>
      <w:pPr>
        <w:spacing w:after="120"/>
        <w:jc w:val="both"/>
      </w:pPr>
      <w:r>
        <w:rPr>
          <w:rFonts w:ascii="Arial" w:cs="Arial" w:eastAsia="Arial" w:hAnsi="Arial"/>
          <w:sz w:val="24"/>
          <w:szCs w:val="24"/>
        </w:rPr>
        <w:t xml:space="preserve">Акционерные займы от Камеко на постройку фабрик, что на месторождении "Кумтор", так и на Бору трансформировались в акции Центерры, а не были просто переведены как долги. Данный факт значительно повысил долю Камеко. В конечном итоге согласно расчетов Стандарт банка доли в Центерре должны были быть 38% Кыргызалтын и 62% Камеко, но Правительством КР принимается решение в новом соглашении с Камеко о распределении долей: 33% Кыргызалтыну и 67% Камеко. Потери из-за занижения доли с 38% до 33% составили 32,2 млн. долл.США (по цене первичного размещения в 15,5 канадских долл. за акцию).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По завышению оценок Бору/Гацуурт, РЕН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месторождениям Бору, Гацуурт и РЕН данные были использованы от Камеко и никто их не проверял. При реструктуризации проекта были приняты неаудированные со стороны КР данные по Бору, Гацуурт, РЕН, предоставленные Камеко. За оставшийся пакет акций в 43,8% в компании AGR (владелец месторождения Бору/Гацуурт) Центерра, при вторичном размещении в 2004 году, заплатила акциями в размере 5204605 шт., что в денежном выражении составило 58,9 млн. долл.США, хотя в марте 2002 года Камеко купила 52% AGR за 12 млн. долл. плюс вексель на сумму 4,8 млн. долл.США. То есть при вторичном размещении акций Центерры в 2004 году за оставшийся пакет в 43,8% было, фактически, заплачено 58,9 млн. долл., что показывает очевидную и осознанную "переоценку" активов Бору/Гацуурт. Существует высокая вероятность того, что акционеры AGR, включая мажоритарного - Ce№tral Asia Gold были аффилированы с Камеко и руководством КР того времени. Также, денежная оценка подразумеваемых ресурсов месторождения РЕН была завышена. Этот актив вообще не должен был оцениваться и включаться в Центерру.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Другие денежные потери при эмиссии акций Центерры и оплаты услуг консультантов, инвестиционных банков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Субординированный заем от МФК и ЕБРР в сумме 20 млн. долл.США был преобразован в акции Центерры в размере пакета 3061212 акций. То есть за кредит в 20 млн. долл. Центерра выплатила акциями на сумму 34,6 млн. долл.США и трансформация этого долга даже с учетом процентов была "переоценена" Камеко и Кыргызалтыном в пользу ЕБРР и МФК.</w:t>
      </w:r>
    </w:p>
    <w:p>
      <w:pPr>
        <w:spacing w:after="120"/>
        <w:jc w:val="both"/>
      </w:pPr>
      <w:r>
        <w:rPr>
          <w:rFonts w:ascii="Arial" w:cs="Arial" w:eastAsia="Arial" w:hAnsi="Arial"/>
          <w:sz w:val="24"/>
          <w:szCs w:val="24"/>
        </w:rPr>
        <w:t xml:space="preserve">При вторичном размещении акций в 2004 году Кыргызалтын продал 7,5 млн. акций Центерры и получил за вычетом услуг андеррайтеров и др. 83,4 млн. долл.США которые пошли в бюджет КР и направлялись на покрытие дефицита и социальное финансирование, эффект от которого был не ясен и не ощутим. Формальным обоснованием этого шага со стороны КР и Кыргызалтына является то, что Всемирный банк и МВФ выразили мнение что КР нуждается в зарезервированном объеме средств (в виде фонда в 52 млн. долл.США) для борьбы с бедностью и финансирования социальных проектов и программ, однако официальных рекомендаций от этих институтов по вопросу продажи 7,5 млн. акций нет. Таким образом, де-факто неизвестны ответственные (Министерство финансов не предоставило информацию) и нет экономического обоснования этой операции, которая снизила долю Кыргызалтына в Центерре до 15,66%.</w:t>
      </w:r>
    </w:p>
    <w:p>
      <w:pPr>
        <w:spacing w:after="120"/>
        <w:jc w:val="both"/>
      </w:pPr>
      <w:r>
        <w:rPr>
          <w:rFonts w:ascii="Arial" w:cs="Arial" w:eastAsia="Arial" w:hAnsi="Arial"/>
          <w:sz w:val="24"/>
          <w:szCs w:val="24"/>
        </w:rPr>
        <w:t xml:space="preserve">Услуги консультантов, инвестиционных банкиров, вероятно, были переоценены. Так, например, услуги андеррайтеров были в размере 5% от стоимости 1 акции. Оплата финансовому консультанту КР Стандарт банку составила 2,6 млн. долл.США. Также, президент и главное должностное лицо (президент КОК, президент Камеко Голд и AGR) Хоменюк Л. за заслуги в реструктуризации проекта "Кумтор" получил из пакета акций, принадлежащего Камеко Голд 176247 акций Центерры (на сумму около 2 млн. долл.США) и 50% покрытие выплат налогов от этих акций. Также, супруга Хоменюка Л. - М.Стивенс была нанята консультантом КОК, Камеко, Центерры и получила за 2002-04 годы 1,2 млн. долл.США, причем позже она продолжала оказывать услуги Центерре и в период с 2006-08 годы получила 1,4 млн. канадских долларов.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Сомнительные финансовые операции по 4 млн. долл. и 11 млн. долл.США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4 млн. долл. При рассмотрении первого предложения Камеко при реструктуризации "Кумтора" Камеко, предварительно, авансировало Правительство КР на сумму 4 млн. долл.США, которые поступили в бюджет КР. 18 марта 2003 года Камеко обратилось к Правительству КР с требованием возврата этой суммы из-за того, что реструктуризация не была принята. В этот период появляется некая оффшорная компания "Эккерд" (Британские виргинские острова) с предложением об урегулировании долга перед Камеко в обмен на 15% акций КГК (владелец "Кумтора"). Позже, Кыргызалтын (Кудайбергенов К.) заключает договор урегулирования долга КР перед Камеко с компанией Эккерд в обмен за отказ Кыргызалтына, как владельца 2/3 в КГК, от 2/3 страховых выплат по аварии на руднике в июле 2002 года в пользу Эккерд. Но согласно принятого пакета соглашений от 2003-04 года по "Кумтору" Камеко освободило от обязательств по авансу в 4 млн. долл. Правительство КР. Фактически, Эккерд согласно договора не урегулировала вопрос долга с Камеко, а это сделало само Правительство КР принятием пакета соглашений от 2003-04 года. Компенсация по страховому случаю 2002 года на проекте "Кумтор" была получена КГК только в 2006 году.</w:t>
      </w:r>
    </w:p>
    <w:p>
      <w:pPr>
        <w:spacing w:after="120"/>
        <w:jc w:val="both"/>
      </w:pPr>
      <w:r>
        <w:rPr>
          <w:rFonts w:ascii="Arial" w:cs="Arial" w:eastAsia="Arial" w:hAnsi="Arial"/>
          <w:sz w:val="24"/>
          <w:szCs w:val="24"/>
        </w:rPr>
        <w:t xml:space="preserve">По 11 млн. долл. Центерра за счет своих средств выплатила 11 млн. долл. Кыргызалтыну, как компенсацию стоимости реализации опциона в 2% акций Центерры. Данный факт вызывает множество вопросов с точки зрения экономической сути, поскольку Кыргызалтын мог получить напрямую 2% акций Центерры в ходе реструктуризации, а не в виде "непрозрачной" компенсации по опциону, выплачиваемой Центеррой. Причем эти 11 млн. долл. в день получения от Центерры Кыргызалтыном на счет в Стандарт банке (Лондон) были переведены им (проще говоря выведены) на счет Эккерд в АйзКрауклес банк (Рига) и были, фактически, потеряны для КР (на основании письма К.Кудайбергенова). Данные факты вокруг аванса в 4 млн. долл.США Правительству, договора с Эккерд и последующего перевода на его счет 11 млн. долл.США Кыргызалтыном, а также первоначального намерения Эккерд получить 15% акций КГК говорят о косвенной связи Камеко, Эккерд и о коррупционной составляющей процесса реструктуризации проекта "Кумтор", в которой были задействованы как Камеко, Центерра, так и руководство Кыргызалтына.</w:t>
      </w:r>
    </w:p>
    <w:p>
      <w:pPr>
        <w:spacing w:after="120"/>
        <w:jc w:val="both"/>
      </w:pPr>
      <w:r>
        <w:rPr>
          <w:rFonts w:ascii="Arial" w:cs="Arial" w:eastAsia="Arial" w:hAnsi="Arial"/>
          <w:sz w:val="24"/>
          <w:szCs w:val="24"/>
        </w:rPr>
        <w:t xml:space="preserve">Необходимо отметить, что все компании, которые контролировали разведку и разработку проектов Камеко, помимо "Кумтора" и активы которых в последствие были включены в Центерру были зарегистрированы в оффшорных зонах. То есть конечные бенефициары (кто был за ними, как они покупали/продавали доли в проектах) этих компаний неизвестны. С точки зрения корпоративного управления все процессы контролировались другими лицами, но не КР.</w:t>
      </w:r>
    </w:p>
    <w:p>
      <w:pPr>
        <w:spacing w:after="120"/>
        <w:jc w:val="both"/>
      </w:pPr>
      <w:r>
        <w:rPr>
          <w:rFonts w:ascii="Arial" w:cs="Arial" w:eastAsia="Arial" w:hAnsi="Arial"/>
          <w:sz w:val="24"/>
          <w:szCs w:val="24"/>
        </w:rPr>
        <w:t xml:space="preserve">Из вышеприведенной информации потери КР от реструктуризации соглашения от 2003-04 годов были, оценочно, в пределах дополнительных 11-13% акций Центерры, которые должны были быть у Кыргызалтына, что составляло в денежном выражении на момент первичного размещения в 2004 году 71-83 млн. долл.США (что на текущий момент с учетом котировок акций Центерры, как минимум, составило бы 142-166 млн. долл.).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4.2.4. Экономические потери от соглашения 2009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апреля 2009 года принимается новый пакет соглашений между КР, Кыргызалтыном, Камеко, Центеррой, КОК и КГК, который был ратифицирован Жогорку Кенешем 30 апреля 2009 года. Структуризацией сделок и проектированием соглашений от 2009 года занимался Елисеев А. (председатель Совета директоров ОАО "Кыргызалтын"). В рамках этого пакета соглашений было, также, подписано мировое соглашение снимающие все претензии по арбитражным разбирательствам, по налогам и другим финансовым вопросам, претензиям, штрафам, различным выплатам, налоговым и уголовным преследованиям операционных компаний, их должностных лиц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Проспект размещения акций Центерры 2009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проспекте размещения акций указано, что в соответствие с новыми соглашениями от 2009 года концессионная площадь была увеличена на 16,3 тыс. га. На месторождении "Кумтор" было добавлено резервов на 1,3 млн. унций золота (40,43 тонн) и таким образом доказанные и вероятные запасы (резервы) составили 4,9 млн. унций (152,4 тонн) на 31 октября 2009 года. Центерра в июне 2009 получает лицензию на разработку площади в размере 16,3 тыс. га, в центре "Кумторского" месторождения, лицензию на разработку проекта Коенды, площадью 133,6 кв.км, в октябре 2009 на разработку Карасайского проекта площадью 139,4 кв.км. По соглашениям "Кумтор" состоит из Центрального участка и участков - Сары-Тор, Юго-Западный, Северо-Восточный, также Штокверковая и SB зоны.</w:t>
      </w:r>
    </w:p>
    <w:p>
      <w:pPr>
        <w:spacing w:after="120"/>
        <w:jc w:val="both"/>
      </w:pPr>
      <w:r>
        <w:rPr>
          <w:rFonts w:ascii="Arial" w:cs="Arial" w:eastAsia="Arial" w:hAnsi="Arial"/>
          <w:sz w:val="24"/>
          <w:szCs w:val="24"/>
        </w:rPr>
        <w:t xml:space="preserve">Центерра из казначейства выпускает 18232615 акций в пользу Кыргызалтына, что составляет увеличение капитала Центерры примерно на 120 млн. долл. Камеко в декабре 2009 года продала полностью весь оставшийся пакет акций по цене 10,25 канадских долларов за акцию в количестве 88816472 акции и за вычетом оплаты услуг андеррайтеров в 0,41 канадских долларов за акцию получила нетто 872 млн. канадских долларов или 823 млн. долл.США. Камеко 21 декабря 2009 года, прождав с апреля 2009 года для того чтобы акции восстановились в цене и достигли 10,25 канадских долларов за акцию, полностью выходит из Центерры, продав весь свой пакет в 88618472 акции. Весь процесс перехода от соглашений 2007 года, включая иски, налоговые претензии со стороны КР, которые так и не вступили, де факто, в силу к соглашениям 2009 года вызывает следующие вопросы.</w:t>
      </w:r>
    </w:p>
    <w:p>
      <w:pPr>
        <w:spacing w:after="120"/>
        <w:jc w:val="both"/>
      </w:pPr>
      <w:r>
        <w:rPr>
          <w:rFonts w:ascii="Arial" w:cs="Arial" w:eastAsia="Arial" w:hAnsi="Arial"/>
          <w:sz w:val="24"/>
          <w:szCs w:val="24"/>
        </w:rPr>
        <w:t xml:space="preserve">КР с точки зрения соглашений по проекту "Кумтор" от 2003-04 года, улучшила свои позиции путем увеличения доли в Центерре с 15,66% до 32,75%, увеличения представительства в Совете директоров Центерры от КР до 2 человек, получения различных компенсаций и выплат в денежной форме и более оптимального налогового режима. Но это было сделано в обмен на увеличение концессионной площади на 16,3 тыс. га и прироста запасов "Кумтора" на 40,43 тонны золота. К тому же, базой или основой сравнения новых условий соглашения от 2009 являются соглашения от 2003-04 года, которые значительно ухудшили интересы КР, даже в сравнении с соглашениями 1992-94 годов.</w:t>
      </w:r>
    </w:p>
    <w:p>
      <w:pPr>
        <w:spacing w:after="120"/>
        <w:jc w:val="both"/>
      </w:pPr>
      <w:r>
        <w:rPr>
          <w:rFonts w:ascii="Arial" w:cs="Arial" w:eastAsia="Arial" w:hAnsi="Arial"/>
          <w:sz w:val="24"/>
          <w:szCs w:val="24"/>
        </w:rPr>
        <w:t xml:space="preserve">1) Увеличение доли Кыргызалтына в Центерре произошло за счет передачи 25300000 акций Камеко и выпуска Центеррой 18232615 казначейских акций в пользу Кыргызалтына. С точки зрения Камеко она передала этот пакет и продала все оставшиеся 88618472 акции по цене за акцию 10,25 канадских долларов. Пакет акций Камеко в Центерре в 2004 году стоил 588,6 млн. канадских долларов и спустя 5 лет Камеко продает свой пакет за 908 млн. канадских долл. Разница составляет 319,4 млн. канадских долларов (300 млн. долл.США), что является приростом стоимости пакета акций Центерры, которой владела Камеко.</w:t>
      </w:r>
    </w:p>
    <w:p>
      <w:pPr>
        <w:spacing w:after="120"/>
        <w:jc w:val="both"/>
      </w:pPr>
      <w:r>
        <w:rPr>
          <w:rFonts w:ascii="Arial" w:cs="Arial" w:eastAsia="Arial" w:hAnsi="Arial"/>
          <w:sz w:val="24"/>
          <w:szCs w:val="24"/>
        </w:rPr>
        <w:t xml:space="preserve">2) 2 члена Совета директоров Центерры представлены от Кыргызалтына, при этом один из них должен быть независимым от Правительства КР. Данная позиция ущемляет и ограничивает интересы Кыргызалтына по количеству членов в совет директоров Центерры и не соответствуют принципам корпоративного управления с точки зрения законодательства Канады и обладания пакетом в 32,75%. Совет директоров Центерры в 2011 году номинировал Алдашева Н. в свой состав с учетом того факта, что Кыргызалтын владеет крупнейшим пакетом акций, а также пожеланий Правительства КР.</w:t>
      </w:r>
    </w:p>
    <w:p>
      <w:pPr>
        <w:spacing w:after="120"/>
        <w:jc w:val="both"/>
      </w:pPr>
      <w:r>
        <w:rPr>
          <w:rFonts w:ascii="Arial" w:cs="Arial" w:eastAsia="Arial" w:hAnsi="Arial"/>
          <w:sz w:val="24"/>
          <w:szCs w:val="24"/>
        </w:rPr>
        <w:t xml:space="preserve">3) В проспекте вторичного предложения от 2009 года акций Центерры указано, что по месторождению "Кумтор" было добавлено резервов на 1,3 млн. унций (40,43 тонн) золота, а также было расширение концессионной площади на 16 тыс. га, включая дополнительные (Штокверковый и SB зоны, Юго-Западный участок) и две лицензии были выданы на геологическую разведку Коендинского и Карасайского участков, которые значительно увеличили ресурсы Центерры. В случае дополнительной эмиссии казначейских акций под прирост резервов "Кумтора" увеличение капитализации Центерры, потенциально могло составить 700 млн. долл.США.</w:t>
      </w:r>
    </w:p>
    <w:p>
      <w:pPr>
        <w:spacing w:after="120"/>
        <w:jc w:val="both"/>
      </w:pPr>
      <w:r>
        <w:rPr>
          <w:rFonts w:ascii="Arial" w:cs="Arial" w:eastAsia="Arial" w:hAnsi="Arial"/>
          <w:sz w:val="24"/>
          <w:szCs w:val="24"/>
        </w:rPr>
        <w:t xml:space="preserve">4) Соглашение 2009 года расширяет концессионную площадь и дополнительно передает 16,3 тыс. га в концессию Центерре, включая часть земель в 240 га Сарычат-Эрташского заповедника. При этом неясен будущий потенциал по запасам золота этого участка и оценка компенсаций по экологическому ущербу.</w:t>
      </w:r>
    </w:p>
    <w:p>
      <w:pPr>
        <w:spacing w:after="120"/>
        <w:jc w:val="both"/>
      </w:pPr>
      <w:r>
        <w:rPr>
          <w:rFonts w:ascii="Arial" w:cs="Arial" w:eastAsia="Arial" w:hAnsi="Arial"/>
          <w:sz w:val="24"/>
          <w:szCs w:val="24"/>
        </w:rPr>
        <w:t xml:space="preserve">За период с начала золотодобычи на "Кумторе", с мая 1997 по 2011 год было добыто всего 8382,2 тыс. унций золота (260,7 тонн), реализовано 8373,6 тыс. унций (260,4 тонн), суммарная выручка КГК составила 4860,7 млн. долл.США, суммарные расходы 3839,7 млн. долл.США, чистая прибыль составила 1021 млн. долл.США. С 2008 по 2011 годы, наблюдается значительное увеличение выручки (200% роста) и, соответственно, прибыли с 92,8 млн. до 435,7 млн. долл.США (469% роста), вызванное резким повышением цены на золото. Вместе с тем также наблюдается значительное повышение расходов (139% роста), которое во многом объясняется повышением расходов по налогам и роялти (383% роста), привязанных к показателю доходов после очередной реструктуризации проекта "Кумтор" в 2009 году.</w:t>
      </w:r>
    </w:p>
    <w:p>
      <w:pPr>
        <w:spacing w:after="120"/>
        <w:jc w:val="both"/>
      </w:pPr>
      <w:r>
        <w:rPr>
          <w:rFonts w:ascii="Arial" w:cs="Arial" w:eastAsia="Arial" w:hAnsi="Arial"/>
          <w:sz w:val="24"/>
          <w:szCs w:val="24"/>
        </w:rPr>
        <w:t xml:space="preserve">Проект РЕН, включенный в активы Центерры не принес дохода. В 2010 году РЕН был продан всего за 34,9 млн. долл.США (РЕН в 2003 был приобретен за 35 млн. долл.), с учетом того факта, что цена золота за это время выросла примерно с 400 долл. за унцию до 1100 долл. С 2004 по 2010 год расходы (убытки) по этому месторождению составили около 11,5 млн. долл.США. То есть это убытки, которые создала Центерра неэффективным управлением и непонятно, почему РЕН вообще был включен в активы Центерры при ее создании и был продан только в 2010 году.</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"Доли" Кумтора в общих показателях Центерры │ 2010  │ 2009  │ 2008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в % от общих по Центерре             │ 82,8% │ 76,4% │ 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│Товары, сервис и материалы, купленные для    │ 79,9% │ 79,3% │ 80,5% │</w:t>
      </w:r>
    </w:p>
    <w:p>
      <w:pPr>
        <w:spacing w:after="120"/>
        <w:jc w:val="both"/>
      </w:pPr>
      <w:r>
        <w:rPr>
          <w:rFonts w:ascii="Arial" w:cs="Arial" w:eastAsia="Arial" w:hAnsi="Arial"/>
          <w:sz w:val="24"/>
          <w:szCs w:val="24"/>
        </w:rPr>
        <w:t xml:space="preserve">│операционной деятельности, в % от общих по   │       │       │       │</w:t>
      </w:r>
    </w:p>
    <w:p>
      <w:pPr>
        <w:spacing w:after="120"/>
        <w:jc w:val="both"/>
      </w:pPr>
      <w:r>
        <w:rPr>
          <w:rFonts w:ascii="Arial" w:cs="Arial" w:eastAsia="Arial" w:hAnsi="Arial"/>
          <w:sz w:val="24"/>
          <w:szCs w:val="24"/>
        </w:rPr>
        <w:t xml:space="preserve">│Центерре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на разведку и разработку, в % от     │ 38,0% │ 46,8% │ 58,3% │</w:t>
      </w:r>
    </w:p>
    <w:p>
      <w:pPr>
        <w:spacing w:after="120"/>
        <w:jc w:val="both"/>
      </w:pPr>
      <w:r>
        <w:rPr>
          <w:rFonts w:ascii="Arial" w:cs="Arial" w:eastAsia="Arial" w:hAnsi="Arial"/>
          <w:sz w:val="24"/>
          <w:szCs w:val="24"/>
        </w:rPr>
        <w:t xml:space="preserve">│общих по Центерре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расходы, в % от общих по Центерре│ 88,0% │ 81,7% │ 60,4%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│Зарплата и выплаты, связанные с              │ 79,1% │ 82,1% │ 77,0% │</w:t>
      </w:r>
    </w:p>
    <w:p>
      <w:pPr>
        <w:spacing w:after="120"/>
        <w:jc w:val="both"/>
      </w:pPr>
      <w:r>
        <w:rPr>
          <w:rFonts w:ascii="Arial" w:cs="Arial" w:eastAsia="Arial" w:hAnsi="Arial"/>
          <w:sz w:val="24"/>
          <w:szCs w:val="24"/>
        </w:rPr>
        <w:t xml:space="preserve">│производством, в % от общих по Центерре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│Налоги и роялти, связанные с производством,  │ 80,6% │ 74,3% │ 56,1% │</w:t>
      </w:r>
    </w:p>
    <w:p>
      <w:pPr>
        <w:spacing w:after="120"/>
        <w:jc w:val="both"/>
      </w:pPr>
      <w:r>
        <w:rPr>
          <w:rFonts w:ascii="Arial" w:cs="Arial" w:eastAsia="Arial" w:hAnsi="Arial"/>
          <w:sz w:val="24"/>
          <w:szCs w:val="24"/>
        </w:rPr>
        <w:t xml:space="preserve">│в % от общих по Центерре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Доля "Кумтора" в общих показателях Центерры составляет свыше 80%, причем в 2011 году проект "Кумтор" принес Центерре 92,3% ее доходов. В сравнении 2011 с 2010 годом видно, что доходы и объем проданного золота по "Кумтору" растут на 34% и 5%, когда как по месторождению Бору падают на 46% и 57% соответственно. При этом "затраты продаж" (cost of sales(19)) золота в долл. на 1 унцию по "Кумтору" растут на 16%, по Бору на 67% и по месторождению Бору/Гацуурт составили уже на 1 унцию 979 долл. На основе данных за 2011 год видно, что проект "Кумтор" принес доходов Центерре в 11,8 раз больше чем Бору/Гацуурт. Выработка золота на Бору резко падает что обосновано приближением окончания отработки месторождения. Центерра становится полностью зависимой от "Кумтора" и, практически, все геологоразведочные по всем проектам, включая АТО, Кара-Бельдыр и другие будут финансироваться из доходов, получаемых от "Кумтора".</w:t>
      </w:r>
    </w:p>
    <w:p>
      <w:pPr>
        <w:spacing w:after="120"/>
        <w:jc w:val="both"/>
      </w:pPr>
      <w:r>
        <w:rPr>
          <w:rFonts w:ascii="Arial" w:cs="Arial" w:eastAsia="Arial" w:hAnsi="Arial"/>
          <w:sz w:val="24"/>
          <w:szCs w:val="24"/>
        </w:rPr>
        <w:t xml:space="preserve">В период с 2009 года цены на золото начинают следовать стабильному тренду увеличения с 800 долл.США за унцию до максимального в 1900 долл. за унцию, в настоящий момент цена на золото находится на уровне 1700 долл. США за унцию. Общие денежные затраты на продажу золота в расчете на 1 унцию(20) на месторождении "Кумтор" составляют (по данным финансовой отчетности Центерры и КОК):</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│2004│2005│2006│2007│2008│2009│2010│2011│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денежные затраты на 1  │ 200│ 274│ 544│ 540│ 438│ 460│ 409│ 482│</w:t>
      </w:r>
    </w:p>
    <w:p>
      <w:pPr>
        <w:spacing w:after="120"/>
        <w:jc w:val="both"/>
      </w:pPr>
      <w:r>
        <w:rPr>
          <w:rFonts w:ascii="Arial" w:cs="Arial" w:eastAsia="Arial" w:hAnsi="Arial"/>
          <w:sz w:val="24"/>
          <w:szCs w:val="24"/>
        </w:rPr>
        <w:t xml:space="preserve">│унц. в долл.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│Средняя годовая цена за тр.  │ 409│ 444│ 604│ 696│ 872│ 973│1225│1572│</w:t>
      </w:r>
    </w:p>
    <w:p>
      <w:pPr>
        <w:spacing w:after="120"/>
        <w:jc w:val="both"/>
      </w:pPr>
      <w:r>
        <w:rPr>
          <w:rFonts w:ascii="Arial" w:cs="Arial" w:eastAsia="Arial" w:hAnsi="Arial"/>
          <w:sz w:val="24"/>
          <w:szCs w:val="24"/>
        </w:rPr>
        <w:t xml:space="preserve">│унцию золота(21)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Согласно динамики цен на золото до 2007 года "Кумтор" работал на уровне "нормальных" прибылей, когда цена на золото была в диапазоне от 400 долл. до 700 долл. за унцию, но когда цена стала подниматься свыше 600 долл. за унцию (см. Приложение 1 стр 11. График 2. Цена на золото с 2008) в сравнении с общими денежными затратами на 1 унцию по "Кумтору", Центерра, где основным активом является "Кумтор", стала получать значительные прибыли. В целом, направление денежных потоков в Центерре за счет этой "высокой" прибыли шло на увеличение капитального финансирования "Кумтора" и инвестирование в разведку других месторождений, а также прочих операционных расходов.</w:t>
      </w:r>
    </w:p>
    <w:p>
      <w:pPr>
        <w:spacing w:after="120"/>
        <w:jc w:val="both"/>
      </w:pPr>
      <w:r>
        <w:rPr>
          <w:rFonts w:ascii="Arial" w:cs="Arial" w:eastAsia="Arial" w:hAnsi="Arial"/>
          <w:sz w:val="24"/>
          <w:szCs w:val="24"/>
        </w:rPr>
        <w:t xml:space="preserve">В настоящее время высокая концентрация денежных потоков Центерры за счет месторождения "Кумтор" является значительным риском для компании, а также одним из показателей неэффективности управления в Центерре.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4.2.5. Потери от неэффективного управления проектом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Публичные компании в Канаде регулируются федеральным Законом "О бизнес корпорациях в Канаде" (Ca№ada busi№ess corporatio№ Act), при этом деятельность Центерры регулируется законодательством провинции Онтарио и законодательством о рынке ценных бумаг Канады. Закон "О бизнес корпорациях в Канаде" в принципах определяет требования ко всему аспектам функционирования корпораций.</w:t>
      </w:r>
    </w:p>
    <w:p>
      <w:pPr>
        <w:spacing w:after="120"/>
        <w:jc w:val="both"/>
      </w:pPr>
      <w:r>
        <w:rPr>
          <w:rFonts w:ascii="Arial" w:cs="Arial" w:eastAsia="Arial" w:hAnsi="Arial"/>
          <w:sz w:val="24"/>
          <w:szCs w:val="24"/>
        </w:rPr>
        <w:t xml:space="preserve">По акционерам Центерры (на 1 декабря 2012): из взаимных фондов с более 1% владения это специализированные фонды, которые вкладывают средства в редкие металлы, золото и др. Из институциональных инвесторов, основные акционеры (с долей более 1%) в сумме владеют 37,41% без учета Кыргызалтына, доля которого составляет 32,75%. Перечень акционеров (более 1% владения):</w:t>
      </w:r>
    </w:p>
    <w:p>
      <w:pPr>
        <w:spacing w:after="120"/>
        <w:jc w:val="both"/>
      </w:pPr>
      <w:r>
        <w:rPr>
          <w:rFonts w:ascii="Arial" w:cs="Arial" w:eastAsia="Arial" w:hAnsi="Arial"/>
          <w:sz w:val="24"/>
          <w:szCs w:val="24"/>
        </w:rPr>
        <w:t xml:space="preserve">Взаимные фонды:</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Va</w:t>
      </w:r>
      <w:r>
        <w:rPr>
          <w:rFonts w:ascii="Arial" w:cs="Arial" w:eastAsia="Arial" w:hAnsi="Arial"/>
          <w:sz w:val="24"/>
          <w:szCs w:val="24"/>
        </w:rPr>
        <w:t xml:space="preserve">№</w:t>
      </w:r>
      <w:r>
        <w:rPr>
          <w:rFonts w:ascii="Arial" w:cs="Arial" w:eastAsia="Arial" w:hAnsi="Arial"/>
          <w:sz w:val="24"/>
          <w:szCs w:val="24"/>
        </w:rPr>
        <w:t xml:space="preserve">guard precious metals a</w:t>
      </w:r>
      <w:r>
        <w:rPr>
          <w:rFonts w:ascii="Arial" w:cs="Arial" w:eastAsia="Arial" w:hAnsi="Arial"/>
          <w:sz w:val="24"/>
          <w:szCs w:val="24"/>
        </w:rPr>
        <w:t xml:space="preserve">№</w:t>
      </w:r>
      <w:r>
        <w:rPr>
          <w:rFonts w:ascii="Arial" w:cs="Arial" w:eastAsia="Arial" w:hAnsi="Arial"/>
          <w:sz w:val="24"/>
          <w:szCs w:val="24"/>
        </w:rPr>
        <w:t xml:space="preserve">d mi</w:t>
      </w:r>
      <w:r>
        <w:rPr>
          <w:rFonts w:ascii="Arial" w:cs="Arial" w:eastAsia="Arial" w:hAnsi="Arial"/>
          <w:sz w:val="24"/>
          <w:szCs w:val="24"/>
        </w:rPr>
        <w:t xml:space="preserve">№</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g I</w:t>
      </w:r>
      <w:r>
        <w:rPr>
          <w:rFonts w:ascii="Arial" w:cs="Arial" w:eastAsia="Arial" w:hAnsi="Arial"/>
          <w:sz w:val="24"/>
          <w:szCs w:val="24"/>
        </w:rPr>
        <w:t xml:space="preserve">№</w:t>
      </w:r>
      <w:r>
        <w:rPr>
          <w:rFonts w:ascii="Arial" w:cs="Arial" w:eastAsia="Arial" w:hAnsi="Arial"/>
          <w:sz w:val="24"/>
          <w:szCs w:val="24"/>
        </w:rPr>
        <w:t xml:space="preserve">v</w:t>
      </w:r>
      <w:r>
        <w:rPr>
          <w:rFonts w:ascii="Arial" w:cs="Arial" w:eastAsia="Arial" w:hAnsi="Arial"/>
          <w:sz w:val="24"/>
          <w:szCs w:val="24"/>
        </w:rPr>
        <w:t xml:space="preserve"> (7,65%);</w:t>
      </w:r>
    </w:p>
    <w:p>
      <w:pPr>
        <w:spacing w:after="120"/>
        <w:jc w:val="both"/>
      </w:pPr>
      <w:r>
        <w:rPr>
          <w:rFonts w:ascii="Arial" w:cs="Arial" w:eastAsia="Arial" w:hAnsi="Arial"/>
          <w:sz w:val="24"/>
          <w:szCs w:val="24"/>
        </w:rPr>
        <w:t xml:space="preserve">- Fra№kli№ gold a№d precious metals fu№d A (1,61%);</w:t>
      </w:r>
    </w:p>
    <w:p>
      <w:pPr>
        <w:spacing w:after="120"/>
        <w:jc w:val="both"/>
      </w:pPr>
      <w:r>
        <w:rPr>
          <w:rFonts w:ascii="Arial" w:cs="Arial" w:eastAsia="Arial" w:hAnsi="Arial"/>
          <w:sz w:val="24"/>
          <w:szCs w:val="24"/>
        </w:rPr>
        <w:t xml:space="preserve">- USAA Precious metals a№d mi№erals (1,99%).</w:t>
      </w:r>
    </w:p>
    <w:p>
      <w:pPr>
        <w:spacing w:after="120"/>
        <w:jc w:val="both"/>
      </w:pPr>
      <w:r>
        <w:rPr>
          <w:rFonts w:ascii="Arial" w:cs="Arial" w:eastAsia="Arial" w:hAnsi="Arial"/>
          <w:sz w:val="24"/>
          <w:szCs w:val="24"/>
        </w:rPr>
        <w:t xml:space="preserve">Институциональные инвесторы:</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Paulso</w:t>
      </w:r>
      <w:r>
        <w:rPr>
          <w:rFonts w:ascii="Arial" w:cs="Arial" w:eastAsia="Arial" w:hAnsi="Arial"/>
          <w:sz w:val="24"/>
          <w:szCs w:val="24"/>
        </w:rPr>
        <w:t xml:space="preserve">№ &amp; </w:t>
      </w:r>
      <w:r>
        <w:rPr>
          <w:rFonts w:ascii="Arial" w:cs="Arial" w:eastAsia="Arial" w:hAnsi="Arial"/>
          <w:sz w:val="24"/>
          <w:szCs w:val="24"/>
        </w:rPr>
        <w:t xml:space="preserve">Compa</w:t>
      </w:r>
      <w:r>
        <w:rPr>
          <w:rFonts w:ascii="Arial" w:cs="Arial" w:eastAsia="Arial" w:hAnsi="Arial"/>
          <w:sz w:val="24"/>
          <w:szCs w:val="24"/>
        </w:rPr>
        <w:t xml:space="preserve">№</w:t>
      </w:r>
      <w:r>
        <w:rPr>
          <w:rFonts w:ascii="Arial" w:cs="Arial" w:eastAsia="Arial" w:hAnsi="Arial"/>
          <w:sz w:val="24"/>
          <w:szCs w:val="24"/>
        </w:rPr>
        <w:t xml:space="preserve">y I</w:t>
      </w:r>
      <w:r>
        <w:rPr>
          <w:rFonts w:ascii="Arial" w:cs="Arial" w:eastAsia="Arial" w:hAnsi="Arial"/>
          <w:sz w:val="24"/>
          <w:szCs w:val="24"/>
        </w:rPr>
        <w:t xml:space="preserve">№</w:t>
      </w:r>
      <w:r>
        <w:rPr>
          <w:rFonts w:ascii="Arial" w:cs="Arial" w:eastAsia="Arial" w:hAnsi="Arial"/>
          <w:sz w:val="24"/>
          <w:szCs w:val="24"/>
        </w:rPr>
        <w:t xml:space="preserve">c</w:t>
      </w:r>
      <w:r>
        <w:rPr>
          <w:rFonts w:ascii="Arial" w:cs="Arial" w:eastAsia="Arial" w:hAnsi="Arial"/>
          <w:sz w:val="24"/>
          <w:szCs w:val="24"/>
        </w:rPr>
        <w:t xml:space="preserve"> (9,62%);</w:t>
      </w:r>
    </w:p>
    <w:p>
      <w:pPr>
        <w:spacing w:after="120"/>
        <w:jc w:val="both"/>
      </w:pPr>
      <w:r>
        <w:rPr>
          <w:rFonts w:ascii="Arial" w:cs="Arial" w:eastAsia="Arial" w:hAnsi="Arial"/>
          <w:sz w:val="24"/>
          <w:szCs w:val="24"/>
        </w:rPr>
        <w:t xml:space="preserve">- Capital group I№ter№atio№al I№c (9,99%);</w:t>
      </w:r>
    </w:p>
    <w:p>
      <w:pPr>
        <w:spacing w:after="120"/>
        <w:jc w:val="both"/>
      </w:pPr>
      <w:r>
        <w:rPr>
          <w:rFonts w:ascii="Arial" w:cs="Arial" w:eastAsia="Arial" w:hAnsi="Arial"/>
          <w:sz w:val="24"/>
          <w:szCs w:val="24"/>
        </w:rPr>
        <w:t xml:space="preserve">- M&amp;G i№vestme№t ma№ageme№t Ltd (7,63%);</w:t>
      </w:r>
    </w:p>
    <w:p>
      <w:pPr>
        <w:spacing w:after="120"/>
        <w:jc w:val="both"/>
      </w:pPr>
      <w:r>
        <w:rPr>
          <w:rFonts w:ascii="Arial" w:cs="Arial" w:eastAsia="Arial" w:hAnsi="Arial"/>
          <w:sz w:val="24"/>
          <w:szCs w:val="24"/>
        </w:rPr>
        <w:t xml:space="preserve">- Black Rock fi№a№cial ma№ageme№t, I№c (3%);</w:t>
      </w:r>
    </w:p>
    <w:p>
      <w:pPr>
        <w:spacing w:after="120"/>
        <w:jc w:val="both"/>
      </w:pPr>
      <w:r>
        <w:rPr>
          <w:rFonts w:ascii="Arial" w:cs="Arial" w:eastAsia="Arial" w:hAnsi="Arial"/>
          <w:sz w:val="24"/>
          <w:szCs w:val="24"/>
        </w:rPr>
        <w:t xml:space="preserve">- AXA life Europe (2,44%);</w:t>
      </w:r>
    </w:p>
    <w:p>
      <w:pPr>
        <w:spacing w:after="120"/>
        <w:jc w:val="both"/>
      </w:pPr>
      <w:r>
        <w:rPr>
          <w:rFonts w:ascii="Arial" w:cs="Arial" w:eastAsia="Arial" w:hAnsi="Arial"/>
          <w:sz w:val="24"/>
          <w:szCs w:val="24"/>
        </w:rPr>
        <w:t xml:space="preserve">- Fra№kli№ Advisers, I№c (1,61%);</w:t>
      </w:r>
    </w:p>
    <w:p>
      <w:pPr>
        <w:spacing w:after="120"/>
        <w:jc w:val="both"/>
      </w:pPr>
      <w:r>
        <w:rPr>
          <w:rFonts w:ascii="Arial" w:cs="Arial" w:eastAsia="Arial" w:hAnsi="Arial"/>
          <w:sz w:val="24"/>
          <w:szCs w:val="24"/>
        </w:rPr>
        <w:t xml:space="preserve">- USAA Asset ma№ageme№t compa№y (1,99%);</w:t>
      </w:r>
    </w:p>
    <w:p>
      <w:pPr>
        <w:spacing w:after="120"/>
        <w:jc w:val="both"/>
      </w:pPr>
      <w:r>
        <w:rPr>
          <w:rFonts w:ascii="Arial" w:cs="Arial" w:eastAsia="Arial" w:hAnsi="Arial"/>
          <w:sz w:val="24"/>
          <w:szCs w:val="24"/>
        </w:rPr>
        <w:t xml:space="preserve">- Capital i№ter№atio№al research a№d ma№ageme№t (1,13%).</w:t>
      </w:r>
    </w:p>
    <w:p>
      <w:pPr>
        <w:spacing w:after="120"/>
        <w:jc w:val="both"/>
      </w:pPr>
      <w:r>
        <w:rPr>
          <w:rFonts w:ascii="Arial" w:cs="Arial" w:eastAsia="Arial" w:hAnsi="Arial"/>
          <w:sz w:val="24"/>
          <w:szCs w:val="24"/>
        </w:rPr>
        <w:t xml:space="preserve">Основные акционеры - институциональные инвесторы это профессиональные инвестиционные управляющие, которые предоставляют услуги широкому кругу клиентов, включая специальные клиенто-ориентированные услуги. Кыргызалтын управляет долей в 32,75% простых акций в Центерре, и, значит, согласно законодательству Канады (отдельные соглашения с КР могут быть оспорены в международном арбитраже см. ниже) должна обладать всеми правами регулируемыми законом "О бизнес корпорациях в Канаде" (Ca№ada busi№ess corporatio№ Act) (пункты 104-110).</w:t>
      </w:r>
    </w:p>
    <w:p>
      <w:pPr>
        <w:spacing w:after="120"/>
        <w:jc w:val="both"/>
      </w:pPr>
      <w:r>
        <w:rPr>
          <w:rFonts w:ascii="Arial" w:cs="Arial" w:eastAsia="Arial" w:hAnsi="Arial"/>
          <w:sz w:val="24"/>
          <w:szCs w:val="24"/>
        </w:rPr>
        <w:t xml:space="preserve">Крупный акционер - Кыргызалтын не владеет полной информацией о том, на сколько распределение капитала выгодно и оптимально. В публичных корпорациях, где нет держателя контрольного пакета акций, зачастую присутствуют проблемы в корпоративном управлении, связанные с "автономностью" директоров. То есть, Кыргызалтын сталкивается с проблемой, когда он, практически, не контролирует процессы на уровне совета директоров, и в Центерре налицо отсутствие "обратной связи" директоров с акционерами и высокая степень "автономности" директоров.</w:t>
      </w:r>
    </w:p>
    <w:p>
      <w:pPr>
        <w:spacing w:after="120"/>
        <w:jc w:val="both"/>
      </w:pPr>
      <w:r>
        <w:rPr>
          <w:rFonts w:ascii="Arial" w:cs="Arial" w:eastAsia="Arial" w:hAnsi="Arial"/>
          <w:sz w:val="24"/>
          <w:szCs w:val="24"/>
        </w:rPr>
        <w:t xml:space="preserve">Исходя из приведенного анализа КР должна менять ситуацию в связи с тем, что проект "Кумтор" дает более 90% денежного потока Центерры, а Кыргызалтын будучи самым крупным акционером и владея 32,75% простых акций, де факто, реализует права владельца мелкого пакета акций и "неэффективен" в вопросах влияния и контроля на КГК и КОК.</w:t>
      </w:r>
    </w:p>
    <w:p>
      <w:pPr>
        <w:spacing w:after="120"/>
        <w:jc w:val="both"/>
      </w:pPr>
      <w:r>
        <w:rPr>
          <w:rFonts w:ascii="Arial" w:cs="Arial" w:eastAsia="Arial" w:hAnsi="Arial"/>
          <w:sz w:val="24"/>
          <w:szCs w:val="24"/>
        </w:rPr>
        <w:t xml:space="preserve">Сравнительный анализ проекта "Кумтор" с аналогичными проектами, реализуемыми за рубежом, показывает, что показатель капитальных затрат и, соответственно, амортизационных расходов Центерры Голд значительно превышает данные показатели других зарубежных корпораций. Для сравнения были взяты такие ведущие международные корпорации, как ОАО "Полюс Голд" (Российская Федерация), ОАО "Англо Голд Ашанти" (ЮАР), ОАО "Африкан Баррик Голд" (Великобритания), входящие в число 10 крупнейших золотодобывающих компаний мира.</w:t>
      </w:r>
    </w:p>
    <w:p>
      <w:pPr>
        <w:spacing w:after="120"/>
        <w:jc w:val="both"/>
      </w:pPr>
      <w:r>
        <w:rPr>
          <w:rFonts w:ascii="Arial" w:cs="Arial" w:eastAsia="Arial" w:hAnsi="Arial"/>
          <w:sz w:val="24"/>
          <w:szCs w:val="24"/>
        </w:rPr>
        <w:t xml:space="preserve">Так, доля амортизационных расходов в себестоимости продукции по итогам 2011 года составила в Центерре 24%, в "Полюс Голд" 15%, в "Англо Голд Ашанти" и "Африкан Баррик Голд" по 19%. Если сравнивать отдельно КГК, то доля амортизационных расходов в составе себестоимости КГК составила 27%, тогда как в себестоимости "Алданзолото" (компания из Якутии, входящая в российскую корпорацию "Полюс Голд") составила лишь 7%. Доля капитальных затрат в стоимости основных средств в Центерре также самая высокая - 46%, тогда как в "Англо Голд Ашанти" 25%, в "Полюс Голд" и "Африкан Баррик Голд" по 21%. При этом нужно учитывать, что на "Кумторе" ведется открытая добыча золота, тогда как в сравниваемых международных корпорациях наряду с открытой осуществляется подземная добыча. Так, в "Англо Голд Ашанти" подземным методом добывается 54% золота, а в "Африкан Баррик Голд" подземная добыча осуществляется на 50% месторождений, тогда как в Центерре ни на одном из месторождений нет подземной добычи.</w:t>
      </w:r>
    </w:p>
    <w:p>
      <w:pPr>
        <w:spacing w:after="120"/>
        <w:jc w:val="both"/>
      </w:pPr>
      <w:r>
        <w:rPr>
          <w:rFonts w:ascii="Arial" w:cs="Arial" w:eastAsia="Arial" w:hAnsi="Arial"/>
          <w:sz w:val="24"/>
          <w:szCs w:val="24"/>
        </w:rPr>
        <w:t xml:space="preserve">Кроме того, содержание золота, исходя из доказанных и прогнозных резервов, на месторождениях Центерры составляет в среднем 2,9 грамма на тонну, тогда как в "Полюс Голд" этот показатель составляет 2,1 г/т, а в "Англо Голд Ашанти" - 1,8 г/т. Если рассматривать по отдельным месторождениям, то, на "Кумторе" содержание золота составляет 3,7 г/т, а на месторождении "Куранах" (ОАО "Алданзолото", Якутия) составляет 1,6 г/т. То есть, учитывая открытый способ добычи и высокий уровень содержания золота, доли капитальных затрат и амортизационных расходов в Центерре должны быть ниже, чем в других компаниях. Но на практике получается наоборот: капитальные затраты и амортизационные расходы Центерры остаются сильно завышенными, что говорит о неоптимальной высокой капиталоемкости при производстве золота на "Кумторе".</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2011 год       │"Центерра│"Африкан│"Полюс Голд"│"Англо Голд│</w:t>
      </w:r>
    </w:p>
    <w:p>
      <w:pPr>
        <w:spacing w:after="120"/>
        <w:jc w:val="both"/>
      </w:pPr>
      <w:r>
        <w:rPr>
          <w:rFonts w:ascii="Arial" w:cs="Arial" w:eastAsia="Arial" w:hAnsi="Arial"/>
          <w:sz w:val="24"/>
          <w:szCs w:val="24"/>
        </w:rPr>
        <w:t xml:space="preserve">│                         │  Голд"  │ Баррик │            │  Ашанти"  │</w:t>
      </w:r>
    </w:p>
    <w:p>
      <w:pPr>
        <w:spacing w:after="120"/>
        <w:jc w:val="both"/>
      </w:pPr>
      <w:r>
        <w:rPr>
          <w:rFonts w:ascii="Arial" w:cs="Arial" w:eastAsia="Arial" w:hAnsi="Arial"/>
          <w:sz w:val="24"/>
          <w:szCs w:val="24"/>
        </w:rPr>
        <w:t xml:space="preserve">│                         │         │  Голд"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золота (тыс.│   642,4 │  688,3 │   1495,0   │   4331,0  │</w:t>
      </w:r>
    </w:p>
    <w:p>
      <w:pPr>
        <w:spacing w:after="120"/>
        <w:jc w:val="both"/>
      </w:pPr>
      <w:r>
        <w:rPr>
          <w:rFonts w:ascii="Arial" w:cs="Arial" w:eastAsia="Arial" w:hAnsi="Arial"/>
          <w:sz w:val="24"/>
          <w:szCs w:val="24"/>
        </w:rPr>
        <w:t xml:space="preserve">│унций)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(млн. долл.США)   │  1020,3 │ 1217,9 │   2402,7   │   6569,0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(млн. долл.США)  │   649,4 │  933,1 │   1844,7   │   4971,0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│Чистая прибыль (млн.     │   370,9 │  284,8 │    558,0   │   1598,0  │</w:t>
      </w:r>
    </w:p>
    <w:p>
      <w:pPr>
        <w:spacing w:after="120"/>
        <w:jc w:val="both"/>
      </w:pPr>
      <w:r>
        <w:rPr>
          <w:rFonts w:ascii="Arial" w:cs="Arial" w:eastAsia="Arial" w:hAnsi="Arial"/>
          <w:sz w:val="24"/>
          <w:szCs w:val="24"/>
        </w:rPr>
        <w:t xml:space="preserve">│долл.США)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расходов на 1 │   502   │  692   │    661     │    728    │</w:t>
      </w:r>
    </w:p>
    <w:p>
      <w:pPr>
        <w:spacing w:after="120"/>
        <w:jc w:val="both"/>
      </w:pPr>
      <w:r>
        <w:rPr>
          <w:rFonts w:ascii="Arial" w:cs="Arial" w:eastAsia="Arial" w:hAnsi="Arial"/>
          <w:sz w:val="24"/>
          <w:szCs w:val="24"/>
        </w:rPr>
        <w:t xml:space="preserve">│унцию - по кассовому     │         │        │            │           │</w:t>
      </w:r>
    </w:p>
    <w:p>
      <w:pPr>
        <w:spacing w:after="120"/>
        <w:jc w:val="both"/>
      </w:pPr>
      <w:r>
        <w:rPr>
          <w:rFonts w:ascii="Arial" w:cs="Arial" w:eastAsia="Arial" w:hAnsi="Arial"/>
          <w:sz w:val="24"/>
          <w:szCs w:val="24"/>
        </w:rPr>
        <w:t xml:space="preserve">│методу (долл.США)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│Рентабельность активов   │    22%  │    9%  │     13%    │     15%   │</w:t>
      </w:r>
    </w:p>
    <w:p>
      <w:pPr>
        <w:spacing w:after="120"/>
        <w:jc w:val="both"/>
      </w:pPr>
      <w:r>
        <w:rPr>
          <w:rFonts w:ascii="Arial" w:cs="Arial" w:eastAsia="Arial" w:hAnsi="Arial"/>
          <w:sz w:val="24"/>
          <w:szCs w:val="24"/>
        </w:rPr>
        <w:t xml:space="preserve">│(чистая прибыль/общие    │         │        │            │           │</w:t>
      </w:r>
    </w:p>
    <w:p>
      <w:pPr>
        <w:spacing w:after="120"/>
        <w:jc w:val="both"/>
      </w:pPr>
      <w:r>
        <w:rPr>
          <w:rFonts w:ascii="Arial" w:cs="Arial" w:eastAsia="Arial" w:hAnsi="Arial"/>
          <w:sz w:val="24"/>
          <w:szCs w:val="24"/>
        </w:rPr>
        <w:t xml:space="preserve">│активы)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    14%  │   13%  │     18%    │     14%   │</w:t>
      </w:r>
    </w:p>
    <w:p>
      <w:pPr>
        <w:spacing w:after="120"/>
        <w:jc w:val="both"/>
      </w:pPr>
      <w:r>
        <w:rPr>
          <w:rFonts w:ascii="Arial" w:cs="Arial" w:eastAsia="Arial" w:hAnsi="Arial"/>
          <w:sz w:val="24"/>
          <w:szCs w:val="24"/>
        </w:rPr>
        <w:t xml:space="preserve">│налогообложения (налоги и│         │        │            │           │</w:t>
      </w:r>
    </w:p>
    <w:p>
      <w:pPr>
        <w:spacing w:after="120"/>
        <w:jc w:val="both"/>
      </w:pPr>
      <w:r>
        <w:rPr>
          <w:rFonts w:ascii="Arial" w:cs="Arial" w:eastAsia="Arial" w:hAnsi="Arial"/>
          <w:sz w:val="24"/>
          <w:szCs w:val="24"/>
        </w:rPr>
        <w:t xml:space="preserve">│роялти/доходы)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│Доля амортизационных     │    24%  │   19%  │     15%    │     19%   │</w:t>
      </w:r>
    </w:p>
    <w:p>
      <w:pPr>
        <w:spacing w:after="120"/>
        <w:jc w:val="both"/>
      </w:pPr>
      <w:r>
        <w:rPr>
          <w:rFonts w:ascii="Arial" w:cs="Arial" w:eastAsia="Arial" w:hAnsi="Arial"/>
          <w:sz w:val="24"/>
          <w:szCs w:val="24"/>
        </w:rPr>
        <w:t xml:space="preserve">│расходов (расходы на     │         │        │            │           │</w:t>
      </w:r>
    </w:p>
    <w:p>
      <w:pPr>
        <w:spacing w:after="120"/>
        <w:jc w:val="both"/>
      </w:pPr>
      <w:r>
        <w:rPr>
          <w:rFonts w:ascii="Arial" w:cs="Arial" w:eastAsia="Arial" w:hAnsi="Arial"/>
          <w:sz w:val="24"/>
          <w:szCs w:val="24"/>
        </w:rPr>
        <w:t xml:space="preserve">│амортизацию/             │         │        │            │           │</w:t>
      </w:r>
    </w:p>
    <w:p>
      <w:pPr>
        <w:spacing w:after="120"/>
        <w:jc w:val="both"/>
      </w:pPr>
      <w:r>
        <w:rPr>
          <w:rFonts w:ascii="Arial" w:cs="Arial" w:eastAsia="Arial" w:hAnsi="Arial"/>
          <w:sz w:val="24"/>
          <w:szCs w:val="24"/>
        </w:rPr>
        <w:t xml:space="preserve">│себестоимость)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│Доля капитальных затрат  │    46%  │   21%  │     21%    │     25%   │</w:t>
      </w:r>
    </w:p>
    <w:p>
      <w:pPr>
        <w:spacing w:after="120"/>
        <w:jc w:val="both"/>
      </w:pPr>
      <w:r>
        <w:rPr>
          <w:rFonts w:ascii="Arial" w:cs="Arial" w:eastAsia="Arial" w:hAnsi="Arial"/>
          <w:sz w:val="24"/>
          <w:szCs w:val="24"/>
        </w:rPr>
        <w:t xml:space="preserve">│в стоимости основных     │         │        │            │           │</w:t>
      </w:r>
    </w:p>
    <w:p>
      <w:pPr>
        <w:spacing w:after="120"/>
        <w:jc w:val="both"/>
      </w:pPr>
      <w:r>
        <w:rPr>
          <w:rFonts w:ascii="Arial" w:cs="Arial" w:eastAsia="Arial" w:hAnsi="Arial"/>
          <w:sz w:val="24"/>
          <w:szCs w:val="24"/>
        </w:rPr>
        <w:t xml:space="preserve">│средствах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Центерре коэффициент налогообложения (рассчитываемый как сумма всех налогов и обязательных платежей в бюджет по отношению к выручке) остается сравнительно низким и составил по итогам 2011 года 14%, а, например, в "Полюс Голд" коэффициент налогообложения составил 18%. По налогам примечателен пример Индонезии, где у корпорации "Фрипорт-МакМоРан" (США), разрабатывающей золотое месторождение Грасберг в Индонезии, только налог на прибыль по отношению к общей выручке составил 28%.</w:t>
      </w:r>
    </w:p>
    <w:p>
      <w:pPr>
        <w:spacing w:after="120"/>
        <w:jc w:val="both"/>
      </w:pPr>
      <w:r>
        <w:rPr>
          <w:rFonts w:ascii="Arial" w:cs="Arial" w:eastAsia="Arial" w:hAnsi="Arial"/>
          <w:sz w:val="24"/>
          <w:szCs w:val="24"/>
        </w:rPr>
        <w:t xml:space="preserve">Доходность по дивидендам (рассчитываемая как отношение выплаченных дивидендов к капиталу, а именно к общей балансовой стоимости обыкновенных акций) в 2011 году в "Центерра Голд" составила около 15%, а, например, в "Полюс Голд" 15000%, т.е. если в "Центерра Голд" на 1 вложенный доллар в акции получено 15 центов дивидендов, то в "Полюс Голд" на 1 доллар акций получено 150 долларов дивидендов.</w:t>
      </w:r>
    </w:p>
    <w:p>
      <w:pPr>
        <w:spacing w:after="120"/>
        <w:jc w:val="both"/>
      </w:pPr>
      <w:r>
        <w:rPr>
          <w:rFonts w:ascii="Arial" w:cs="Arial" w:eastAsia="Arial" w:hAnsi="Arial"/>
          <w:sz w:val="24"/>
          <w:szCs w:val="24"/>
        </w:rPr>
        <w:t xml:space="preserve">В составе Центерры имеются только 2 разработанных рудника - "Кумтор" и "Бору" (к тому же, Бору находится на стадии закрытия), а остальные 8 имеющихся участков находятся на стадии изучений, исследований, разведок или подготовительных работ. Но при этом "Кумтор" является основной генерирующей единицей для доходов Центерры - почти 92% доходов по итогам 2011 года. В то же время в других международных золотодобывающих корпорациях производство диверсифицировано, и в каждом из них имеются от 4 до 20 работающих месторождений.</w:t>
      </w:r>
    </w:p>
    <w:p>
      <w:pPr>
        <w:spacing w:after="120"/>
        <w:jc w:val="both"/>
      </w:pPr>
      <w:r>
        <w:rPr>
          <w:rFonts w:ascii="Arial" w:cs="Arial" w:eastAsia="Arial" w:hAnsi="Arial"/>
          <w:sz w:val="24"/>
          <w:szCs w:val="24"/>
        </w:rPr>
        <w:t xml:space="preserve">Таким образом, как показывает сравнительный анализ, Центерра имеет наихудшие показатели по капиталоемкости и диверсификации производства по сравнению с другими золотодобывающими корпорациями, использованными в сравнительном анализе, а также низкие показатели налогообложения. При этом на "Кумторе", который приносит 92% доходов Центерры, осуществляется открытая добыча, а содержание золота в руде одно из самых высоких в мире, что, наоборот, должно способствовать экономии капитальных затрат и повышению суммы взимаемых налогов, учитывая преимущественные условия добычи.</w:t>
      </w:r>
    </w:p>
    <w:p>
      <w:pPr>
        <w:spacing w:after="120"/>
        <w:jc w:val="both"/>
      </w:pPr>
      <w:r>
        <w:rPr>
          <w:rFonts w:ascii="Arial" w:cs="Arial" w:eastAsia="Arial" w:hAnsi="Arial"/>
          <w:sz w:val="24"/>
          <w:szCs w:val="24"/>
        </w:rPr>
        <w:t xml:space="preserve">По резервам на рекультивацию Центерра создает малые объемы резервов по сравнению с другими корпорациями. Так, доля резервов на рекультивацию в общих активах Центерры составила в 2011 году 3,2%, что ниже чем у остальных корпораций: в "Африкан Баррик Голд" - 4,8%, в "Полюс Голд" - 3,6%, в "Англо Голд Ашанти" - 6,9%. По доле резервов на рекультивацию в получаемых доходах у Центерры также наименьшие показатели 5,3%, тогда как в "Африкан Баррик Голд" - 12,9%, в "Полюс Голд" - 6,2%, в "Англо Голд Ашанти" - 11,4%.</w:t>
      </w:r>
    </w:p>
    <w:p>
      <w:pPr>
        <w:spacing w:after="120"/>
        <w:jc w:val="both"/>
      </w:pPr>
      <w:r>
        <w:rPr>
          <w:rFonts w:ascii="Arial" w:cs="Arial" w:eastAsia="Arial" w:hAnsi="Arial"/>
          <w:sz w:val="24"/>
          <w:szCs w:val="24"/>
        </w:rPr>
        <w:t xml:space="preserve">Из общих резервов на рекультивацию в сумме 55,6 млн. долларов США в 2011 году на "Кумтор" приходилось лишь 30,4 млн. долларов США (55%), а на "Бороо" 25,2 млн. долларов США (45%), хотя "Кумтор" приносит 92% доходов Центерры. Данные цифры показывают об очень заниженных резервах на рекультивацию в "Кумторе". Однако все должны осознавать, что резерв на рекультивацию должен создаваться с учетом реальных оценок по обеспечению безопасности и успешному восстановлению окружающей среды на месторождении "Кумтор" и близлежащей территории после закрытия рудника.</w:t>
      </w:r>
    </w:p>
    <w:p>
      <w:pPr>
        <w:spacing w:after="120"/>
        <w:jc w:val="both"/>
      </w:pPr>
      <w:r>
        <w:rPr>
          <w:rFonts w:ascii="Arial" w:cs="Arial" w:eastAsia="Arial" w:hAnsi="Arial"/>
          <w:sz w:val="24"/>
          <w:szCs w:val="24"/>
        </w:rPr>
        <w:t xml:space="preserve">По условиям всех 3-х соглашений по "Кумтору" (от 1992, 2003 и 2009 годов) наиболее выгодным было соглашение от 1992 года. Так, по суммам налогов, обязательных платежей и дивидендов финансовые потери КР от последующих реструктуризаций (2003 и 2009 годов) могут оцениваться приблизительно до 174 млн. долл.США. И это, кроме того, что Кыргызалтын потерял контрольный пакет акций в "Кумторе", и вместо 66,7% акций в КГК дающих прямой контроль, на сегодняшний день имеет лишь 32,75% доли косвенного участия.</w:t>
      </w:r>
    </w:p>
    <w:p>
      <w:pPr>
        <w:spacing w:after="120"/>
        <w:jc w:val="both"/>
      </w:pPr>
      <w:r>
        <w:rPr>
          <w:rFonts w:ascii="Arial" w:cs="Arial" w:eastAsia="Arial" w:hAnsi="Arial"/>
          <w:sz w:val="24"/>
          <w:szCs w:val="24"/>
        </w:rPr>
        <w:t xml:space="preserve">Также, анализ исполнения финансовых показателей ТЭО от 1995 года показал неэффективность управления проектом "Кумтор". Так, фактический чистый приток денежных средств КГК (в виде чистой балансовой прибыли) в период с 1994 по 2008 годы составил около 183 млн. долларов США, что существенно ниже, чем ожидалось по ТЭО за этот же период (прогнозировалось 480 млн. долларов США при цене золота в 375 долларов США за унцию), хотя цена золота поднялась выше этой отметки уже в 2004 году. То есть, "Кумтор Голд Компани" в период 1994-2008 годы получил в 2,6 раза меньше, чем ожидалось по ТЭО, и потери прибыли от неэффективного управления составили порядка 397 млн. долл.США.</w:t>
      </w:r>
    </w:p>
    <w:p>
      <w:pPr>
        <w:spacing w:after="120"/>
        <w:jc w:val="both"/>
      </w:pPr>
      <w:r>
        <w:rPr>
          <w:rFonts w:ascii="Arial" w:cs="Arial" w:eastAsia="Arial" w:hAnsi="Arial"/>
          <w:sz w:val="24"/>
          <w:szCs w:val="24"/>
        </w:rPr>
        <w:t xml:space="preserve">По использованию денежных средств Фонда развития Иссык-Кульской области, анализ показывает, что средства фонда в основном были использованы на социально-культурное финансирование объектов здравоохранения, образования и культуры, и при этом использовались неэффективным образом. Общие отчисления в фонд в период 1997-2012 годы составили 23 млн. долларов США и 141,8 млн. сомов. Управление фондом осуществляется через наблюдательный совет, в состав которого должны включаться представители от местных кенешей районов, городов и области и общественных организаций, однако распорядителем средств является глава области. В целом нужно сказать, что средства фонда используются неэффективным образом, и не направляются на финансирование приоритетных производств и развитие бизнеса (например, промышленность, сельскохозяйственная переработка), которые имеют потенциал к увеличению "добавленной" стоимости и мультипликативному эффекту в экономике, а также улучшению деловой инфраструктуры региона.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Анализ горно-технических и экологических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Анализ горно-технических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ноябре 1993 г. канадской фирмой "Килборн Вэстэрн Инкорпорэйтед" (далее "Килборн") по заказу "Камеко" была завершена разработка Технико-экономического обоснования (ТЭО) на разработку "Кумторского" золоторудного месторождения. Разработка ТЭО осуществлялась исключительно иностранными специалистами, то есть без участия представителей кыргызской стороны. В начале 1994 г. ТЭО было представлено на рассмотрение и утверждение Правительству КР, которое передало его на экспертизу тринадцати профилирующим организациям Кыргызстана согласно статей 11, 13 и 25 </w:t>
      </w:r>
      <w:hyperlink w:history="1" r:id="rIdb_ujd8lultlwh02hcxfq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недрах" (в редакции 15 декабря 1992 года). К экспертизе ТЭО были привлечены квалифицированные специалисты, которые внесли более 60 предложений и замечаний, направленных на повышение качества проекта, эффективности и экологической безопасности отработки месторождения. Работа местных экспертов над пересмотром технико-экономических параметров проекта продолжалась до мая 1995 г.</w:t>
      </w:r>
    </w:p>
    <w:p>
      <w:pPr>
        <w:spacing w:after="120"/>
        <w:jc w:val="both"/>
      </w:pPr>
      <w:r>
        <w:rPr>
          <w:rFonts w:ascii="Arial" w:cs="Arial" w:eastAsia="Arial" w:hAnsi="Arial"/>
          <w:sz w:val="24"/>
          <w:szCs w:val="24"/>
        </w:rPr>
        <w:t xml:space="preserve">Правительство КР в нарушении </w:t>
      </w:r>
      <w:hyperlink w:history="1" r:id="rId0e25czvd2j9ci4yp6yhl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недрах от 15 декабря 1992 года, не дожидаясь результатов экспертизы, в мае 1994 г. специальным постановлением утвердило ТЭО. Это фактически развязало руки КОК, которая проигнорировав большую часть замечаний и предложений экспертов, приступила к строительным работам исключительно на основе ТЭО.</w:t>
      </w:r>
    </w:p>
    <w:p>
      <w:pPr>
        <w:spacing w:after="120"/>
        <w:jc w:val="both"/>
      </w:pPr>
      <w:r>
        <w:rPr>
          <w:rFonts w:ascii="Arial" w:cs="Arial" w:eastAsia="Arial" w:hAnsi="Arial"/>
          <w:sz w:val="24"/>
          <w:szCs w:val="24"/>
        </w:rPr>
        <w:t xml:space="preserve">Пересмотренный вариант ТЭО 1995 года стал основанием для экономических расчетов по определению необходимых объемов финансирования. Для ускорения ввода предприятия в эксплуатацию КОК предложила вариант параллельного так называемого "рабочего проектирования и строительства". Правительство приняло такой вариант.</w:t>
      </w:r>
    </w:p>
    <w:p>
      <w:pPr>
        <w:spacing w:after="120"/>
        <w:jc w:val="both"/>
      </w:pPr>
      <w:r>
        <w:rPr>
          <w:rFonts w:ascii="Arial" w:cs="Arial" w:eastAsia="Arial" w:hAnsi="Arial"/>
          <w:sz w:val="24"/>
          <w:szCs w:val="24"/>
        </w:rPr>
        <w:t xml:space="preserve">Но в процессе реализации проекта "Кумтор" выявились все недостатки данного решения, связанные с недооценкой существенных природно-климатических и горно-геологических факторов высокогорья и затрат, что привело к возникновению целого ряда экономических, технологических и экологических проблем (перерасход при строительстве на 176,6 млн. долларов США, сдвиг дамбы хвостохранилища, отсутствие оборотного водоснабжения и др.).</w:t>
      </w:r>
    </w:p>
    <w:p>
      <w:pPr>
        <w:spacing w:after="120"/>
        <w:jc w:val="both"/>
      </w:pPr>
      <w:r>
        <w:rPr>
          <w:rFonts w:ascii="Arial" w:cs="Arial" w:eastAsia="Arial" w:hAnsi="Arial"/>
          <w:sz w:val="24"/>
          <w:szCs w:val="24"/>
        </w:rPr>
        <w:t xml:space="preserve">В нарушение </w:t>
      </w:r>
      <w:hyperlink w:history="1" r:id="rIdrwwfduvxzyieygmkz4tc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недрах" горные работы на руднике "Кумтор" (участок "Центральный") начались в 1996 году без получения лицензии на право пользования недрами с целью разработки, на основании Концессионного договора от 10 мая 1993 года.</w:t>
      </w:r>
    </w:p>
    <w:p>
      <w:pPr>
        <w:spacing w:after="120"/>
        <w:jc w:val="both"/>
      </w:pPr>
      <w:r>
        <w:rPr>
          <w:rFonts w:ascii="Arial" w:cs="Arial" w:eastAsia="Arial" w:hAnsi="Arial"/>
          <w:sz w:val="24"/>
          <w:szCs w:val="24"/>
        </w:rPr>
        <w:t xml:space="preserve">По поручению Правительства от 8.12.1995 года № 33-29/119 Министерство юстиции, рассмотрев письмо Государственного комитета по геологии, использованию и охране недр КР по вопросу лицензирования деятельности на пользование недрами золоторудного месторождения "Кумтор", письмом от 13.12.1995 года № 02-/221 за подписью заместителя министра К.Э.Эсенканова, сообщило, что деятельность КГК не подлежит дополнительному лицензированию.</w:t>
      </w:r>
    </w:p>
    <w:p>
      <w:pPr>
        <w:spacing w:after="120"/>
        <w:jc w:val="both"/>
      </w:pPr>
      <w:r>
        <w:rPr>
          <w:rFonts w:ascii="Arial" w:cs="Arial" w:eastAsia="Arial" w:hAnsi="Arial"/>
          <w:sz w:val="24"/>
          <w:szCs w:val="24"/>
        </w:rPr>
        <w:t xml:space="preserve">В последующем Министерство юстиции письмом за подписью министра Гутниченко Л.В. от 23.12.1997 года № 02-4/246, сообщило, что Стороны данного договора согласно п.10.3 ч.10 Концессионного договора должны соблюдать все законы Кыргызской Республики, что предполагает соблюдение законодательных актов КР, которые приняты после заключения концессионного договора.</w:t>
      </w:r>
    </w:p>
    <w:p>
      <w:pPr>
        <w:spacing w:after="120"/>
        <w:jc w:val="both"/>
      </w:pPr>
      <w:r>
        <w:rPr>
          <w:rFonts w:ascii="Arial" w:cs="Arial" w:eastAsia="Arial" w:hAnsi="Arial"/>
          <w:sz w:val="24"/>
          <w:szCs w:val="24"/>
        </w:rPr>
        <w:t xml:space="preserve">Однако, КОК отказывается от получения лицензии на участок "Центральный", ссылаясь на разъяснение заместителя Министра юстиции К.Э.Эсенканова. Несмотря на отсутствие лицензии, государственные органы выдают положительные заключения технической и экологической экспертиз, утверждают планы развития горных работ поданному участку и принимают годовые отчеты об их выполнении.</w:t>
      </w:r>
    </w:p>
    <w:p>
      <w:pPr>
        <w:spacing w:after="120"/>
        <w:jc w:val="both"/>
      </w:pPr>
      <w:r>
        <w:rPr>
          <w:rFonts w:ascii="Arial" w:cs="Arial" w:eastAsia="Arial" w:hAnsi="Arial"/>
          <w:sz w:val="24"/>
          <w:szCs w:val="24"/>
        </w:rPr>
        <w:t xml:space="preserve">В нарушение статьи 16 </w:t>
      </w:r>
      <w:hyperlink w:history="1" r:id="rIdqkojce8gd5ysievjhbtt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недрах" в настоящее время горные работы проводятся без технического проекта. Отсутствие технического проекта ведет к неэффективной разработке месторождения.</w:t>
      </w:r>
    </w:p>
    <w:p>
      <w:pPr>
        <w:spacing w:after="120"/>
        <w:jc w:val="both"/>
      </w:pPr>
      <w:r>
        <w:rPr>
          <w:rFonts w:ascii="Arial" w:cs="Arial" w:eastAsia="Arial" w:hAnsi="Arial"/>
          <w:sz w:val="24"/>
          <w:szCs w:val="24"/>
        </w:rPr>
        <w:t xml:space="preserve">По мере углубления центрального карьера возрастает коэффициент вскрыши (33:1) и идет удорожание открытой разработки месторождения. Согласно ТЭО предусматривалась комбинированная разработка (открытым и подземным способом).</w:t>
      </w:r>
    </w:p>
    <w:p>
      <w:pPr>
        <w:spacing w:after="120"/>
        <w:jc w:val="both"/>
      </w:pPr>
      <w:r>
        <w:rPr>
          <w:rFonts w:ascii="Arial" w:cs="Arial" w:eastAsia="Arial" w:hAnsi="Arial"/>
          <w:sz w:val="24"/>
          <w:szCs w:val="24"/>
        </w:rPr>
        <w:t xml:space="preserve">КОК затратил на строительство наклонных съездов № 1 и № 2 по состоянию на июль 2012 года 170,1 млн. долл.США и прекратил подготовительные работы для перехода на подземную разработку. По информации президента КОК М.Фишера подземная разработка намечается не ранее 2018 года (письмо исх. EXE 3966 от 30.10.2012 года). При этом КОК начал разработку участка Юго-Западный с нарезкой еще одного ледника Сары-Тор.</w:t>
      </w:r>
    </w:p>
    <w:p>
      <w:pPr>
        <w:spacing w:after="120"/>
        <w:jc w:val="both"/>
      </w:pPr>
      <w:r>
        <w:rPr>
          <w:rFonts w:ascii="Arial" w:cs="Arial" w:eastAsia="Arial" w:hAnsi="Arial"/>
          <w:sz w:val="24"/>
          <w:szCs w:val="24"/>
        </w:rPr>
        <w:t xml:space="preserve">a) Золотоизвлекательная фабрика рудника (ЗИФ) запущена в эксплуатацию в конце 1996 года с использованием технологии цианидного выщелачивания при этом за период 1996-2011 гг. израсходовано свыше 90 тыс. тонн цианида натрия. Согласно ТЭО расчетная производительность ЗИФ составляет 4,8 млн. тонн руды в год и выпуск (сплав Доре) 500 тыс. унций золота. При этом необходимо отметить, что в отдельные годы переработка превышала предусмотренную в ТЭО мощность на 10-15%.</w:t>
      </w:r>
    </w:p>
    <w:p>
      <w:pPr>
        <w:spacing w:after="120"/>
        <w:jc w:val="both"/>
      </w:pPr>
      <w:r>
        <w:rPr>
          <w:rFonts w:ascii="Arial" w:cs="Arial" w:eastAsia="Arial" w:hAnsi="Arial"/>
          <w:sz w:val="24"/>
          <w:szCs w:val="24"/>
        </w:rPr>
        <w:t xml:space="preserve">Это отрицательно влияет на показатели технологического процесса (тонкость помола, время цианирования и т.д.) и приводит к снижению извлечения и сверхнормативным потерям золота.</w:t>
      </w:r>
    </w:p>
    <w:p>
      <w:pPr>
        <w:spacing w:after="120"/>
        <w:jc w:val="both"/>
      </w:pPr>
      <w:r>
        <w:rPr>
          <w:rFonts w:ascii="Arial" w:cs="Arial" w:eastAsia="Arial" w:hAnsi="Arial"/>
          <w:sz w:val="24"/>
          <w:szCs w:val="24"/>
        </w:rPr>
        <w:t xml:space="preserve">На основании ст.46 </w:t>
      </w:r>
      <w:hyperlink w:history="1" r:id="rIdjqv7p-asawypwagejrtn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недрах" в марте 2010 года Министерством природных ресурсов Кыргызской Республики к Компании "КОК" были выставлены штрафные санкции за экономический ущерб в размере 27,55 млн. долл.США, за невыполнение проектных показателей по технологическому извлечению по итогам работы за 2009 год (по проекту - 80,1%, факт 76,73%). Данные штрафные санкции были проигнорированы со стороны КОК. Министерство природных ресурсов не предприняло дальнейших действий по взысканию.</w:t>
      </w:r>
    </w:p>
    <w:p>
      <w:pPr>
        <w:spacing w:after="120"/>
        <w:jc w:val="both"/>
      </w:pPr>
      <w:r>
        <w:rPr>
          <w:rFonts w:ascii="Arial" w:cs="Arial" w:eastAsia="Arial" w:hAnsi="Arial"/>
          <w:sz w:val="24"/>
          <w:szCs w:val="24"/>
        </w:rPr>
        <w:t xml:space="preserve">В настоящее время КОК не ведутся изыскательские работы по геолого-экономической оценке комплексного извлечения попутных полезных ископаемых. Согласно исследованиям "Гиналмаззолото", проведенным в 1987-89 гг., извлечение полезных компонентов из "Кумторской" руды составило: Золото - 91%; Серебра - 80%; Серы - 88%; Теллура - 90% при расчетном получении до 40 тонн теллура и до 2000 тонн вольфрама в год.</w:t>
      </w:r>
    </w:p>
    <w:p>
      <w:pPr>
        <w:spacing w:after="120"/>
        <w:jc w:val="both"/>
      </w:pPr>
      <w:r>
        <w:rPr>
          <w:rFonts w:ascii="Arial" w:cs="Arial" w:eastAsia="Arial" w:hAnsi="Arial"/>
          <w:sz w:val="24"/>
          <w:szCs w:val="24"/>
        </w:rPr>
        <w:t xml:space="preserve">В результате проведенного экспертного помесячного компьютерного анализа отчетных данных металлургического баланса, представленного КОК (вх.: EXE 3153 от 24.08.2012 г.) за весь период деятельности, выявлена нестабильность работы ЗИФ в отдельные периоды по выполнению технологических показателей, что привело к сверхнормативным потерям за весь период работы КОК и составили 5,543 тонны золота.</w:t>
      </w:r>
    </w:p>
    <w:p>
      <w:pPr>
        <w:spacing w:after="120"/>
        <w:jc w:val="both"/>
      </w:pPr>
      <w:r>
        <w:rPr>
          <w:rFonts w:ascii="Arial" w:cs="Arial" w:eastAsia="Arial" w:hAnsi="Arial"/>
          <w:sz w:val="24"/>
          <w:szCs w:val="24"/>
        </w:rPr>
        <w:t xml:space="preserve">Предусмотренная в ТЭО система оборотного водоснабжения ЗИФ отсутствует. В мировой практике золотодобывающих предприятий использующих цианидную технологию, оборотное водоснабжение является обязательным и предусматривает постоянное полное или частичное использование стоков, что дает не только экономию свежей воды, но и снижает количество сбрасываемых токсичных реагентов в окружающую среду.</w:t>
      </w:r>
    </w:p>
    <w:p>
      <w:pPr>
        <w:spacing w:after="120"/>
        <w:jc w:val="both"/>
      </w:pPr>
      <w:r>
        <w:rPr>
          <w:rFonts w:ascii="Arial" w:cs="Arial" w:eastAsia="Arial" w:hAnsi="Arial"/>
          <w:sz w:val="24"/>
          <w:szCs w:val="24"/>
        </w:rPr>
        <w:t xml:space="preserve">Государственными уполномоченными органами не осуществляется надлежащий контроль за использованием и охраной недр:</w:t>
      </w:r>
    </w:p>
    <w:p>
      <w:pPr>
        <w:spacing w:after="120"/>
        <w:jc w:val="both"/>
      </w:pPr>
      <w:r>
        <w:rPr>
          <w:rFonts w:ascii="Arial" w:cs="Arial" w:eastAsia="Arial" w:hAnsi="Arial"/>
          <w:sz w:val="24"/>
          <w:szCs w:val="24"/>
        </w:rPr>
        <w:t xml:space="preserve">- не проводятся маркшейдерские замеры (объемы горных работ);</w:t>
      </w:r>
    </w:p>
    <w:p>
      <w:pPr>
        <w:spacing w:after="120"/>
        <w:jc w:val="both"/>
      </w:pPr>
      <w:r>
        <w:rPr>
          <w:rFonts w:ascii="Arial" w:cs="Arial" w:eastAsia="Arial" w:hAnsi="Arial"/>
          <w:sz w:val="24"/>
          <w:szCs w:val="24"/>
        </w:rPr>
        <w:t xml:space="preserve">- замеры содержания в руде и технологического извлечения на ЗИФ, подсчет реального полученного золота.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Хвостохранилище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комиссия по приемке в эксплуатацию хвостохранилища (председатель Б.Силаев) подписала Акт приемки в эксплуатацию хвостохранилища в декабре 1999 года.</w:t>
      </w:r>
    </w:p>
    <w:p>
      <w:pPr>
        <w:spacing w:after="120"/>
        <w:jc w:val="both"/>
      </w:pPr>
      <w:r>
        <w:rPr>
          <w:rFonts w:ascii="Arial" w:cs="Arial" w:eastAsia="Arial" w:hAnsi="Arial"/>
          <w:sz w:val="24"/>
          <w:szCs w:val="24"/>
        </w:rPr>
        <w:t xml:space="preserve">Но уже в апреле 1999 года, то есть за 9 месяцев до подписания Акта была обнаружена подвижка дамбы и просачивание цианидов, что произошло из-за допущенных ошибок при проектировании и строительстве хвостохранилища.</w:t>
      </w:r>
    </w:p>
    <w:p>
      <w:pPr>
        <w:spacing w:after="120"/>
        <w:jc w:val="both"/>
      </w:pPr>
      <w:r>
        <w:rPr>
          <w:rFonts w:ascii="Arial" w:cs="Arial" w:eastAsia="Arial" w:hAnsi="Arial"/>
          <w:sz w:val="24"/>
          <w:szCs w:val="24"/>
        </w:rPr>
        <w:t xml:space="preserve">КОК вынужден проводить укрепительные работы. На это уже затрачено более 43 млн. долл.США, тогда как на строительство хвостохранилища потрачено всего 9,6 млн. долл.США.</w:t>
      </w:r>
    </w:p>
    <w:p>
      <w:pPr>
        <w:spacing w:after="120"/>
        <w:jc w:val="both"/>
      </w:pPr>
      <w:r>
        <w:rPr>
          <w:rFonts w:ascii="Arial" w:cs="Arial" w:eastAsia="Arial" w:hAnsi="Arial"/>
          <w:sz w:val="24"/>
          <w:szCs w:val="24"/>
        </w:rPr>
        <w:t xml:space="preserve">Укрепление дамбы планируется завершить в 2016 году, что будет сопровождаться дополнительными расходами в то время как по информации КОК на строительство нового хвостохранилища потребует 60-70 млн. долларов США.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Анализ экологических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Состояние озера Петрова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Проведенные в 2006-2009 годы исследования отечественных и зарубежных экспертов и исследовательских организаций и институтов показали, что возможен размыв плотины озера, что создает угрозу для хвостохранилища и даны рекомендации по снижению уровня воды в озере Петрова.</w:t>
      </w:r>
    </w:p>
    <w:p>
      <w:pPr>
        <w:spacing w:after="120"/>
        <w:jc w:val="both"/>
      </w:pPr>
      <w:r>
        <w:rPr>
          <w:rFonts w:ascii="Arial" w:cs="Arial" w:eastAsia="Arial" w:hAnsi="Arial"/>
          <w:sz w:val="24"/>
          <w:szCs w:val="24"/>
        </w:rPr>
        <w:t xml:space="preserve">КОК привлек институт по проектированию водохозяйственного, мелиоративного строительства ОАО "Севкавгипроводхоз" для подготовки предпроектных решений. КОК планирует завершить разработку планового понижения уровня воды в озере Петрова во 2-3 квартале 2013 года.</w:t>
      </w:r>
    </w:p>
    <w:p>
      <w:pPr>
        <w:spacing w:after="120"/>
        <w:jc w:val="both"/>
      </w:pPr>
      <w:r>
        <w:rPr>
          <w:rFonts w:ascii="Arial" w:cs="Arial" w:eastAsia="Arial" w:hAnsi="Arial"/>
          <w:sz w:val="24"/>
          <w:szCs w:val="24"/>
        </w:rPr>
        <w:t xml:space="preserve">КОК производит откачку воды из озера Петрова для собственного потребления, но этого недостаточно чтобы стабилизировать уровень воды в озере. В настоящее время происходит прирост объема воды в озере Петрова (1,8 млн. куб.м/год) и растет вероятность прорыва естественной плотины озера.</w:t>
      </w:r>
    </w:p>
    <w:p>
      <w:pPr>
        <w:spacing w:after="120"/>
        <w:jc w:val="both"/>
      </w:pPr>
      <w:r>
        <w:rPr>
          <w:rFonts w:ascii="Arial" w:cs="Arial" w:eastAsia="Arial" w:hAnsi="Arial"/>
          <w:sz w:val="24"/>
          <w:szCs w:val="24"/>
        </w:rPr>
        <w:t xml:space="preserve">Если не предпринять меры по предотвращению формирования селя при неотвратимом прорыве озера Петрова, не удастся избежать экологической катастрофы регионального масштаба в виде загрязнения бассейна реки Нарын цианидами из "Кумторского" хвостохранилища.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Водопотребление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Озеро Петрова служит единственным источником водоснабжения рудника "Кумтор". При этом КОК бесплатно пользуется чистой водой ледникового происхождения, ничего не платит, тогда как все хозяйствующие субъекты и население Кыргызстана платят за воду (к примеру, в г.Бишкек 7 сом/куб.м). В соответствии со статьей 48 Водного </w:t>
      </w:r>
      <w:hyperlink w:history="1" r:id="rId_tnjcpjbnby9enr6gg3b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плата за пользование водой как за природный ресурс ежегодно устанавливается Жогорку Кенешем Кыргызской Республики для каждого главного бассейна на основе фактических затрат по изучению, оценке и охране водных ресурсов, а также затрат на мероприятия по функционированию Государственной водной администрации.</w:t>
      </w:r>
    </w:p>
    <w:p>
      <w:pPr>
        <w:spacing w:after="120"/>
        <w:jc w:val="both"/>
      </w:pPr>
      <w:r>
        <w:rPr>
          <w:rFonts w:ascii="Arial" w:cs="Arial" w:eastAsia="Arial" w:hAnsi="Arial"/>
          <w:sz w:val="24"/>
          <w:szCs w:val="24"/>
        </w:rPr>
        <w:t xml:space="preserve">До настоящего времени плата за пользование водой из озера Петрова не была установлена. Государственная комиссия считает это серьезным упущением уполномоченного государственного органа. Необходимо установить эту плату, чтобы обоснованно предъявить требование об оплате за пользование воды из озера.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Качество воды, карьерные и отвальные стоки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Из-за систематического сброса промстоков из хвостохранилища и с отвалов, карьера в бассейн рек "Кумтор"-"Тарагай"-"Нарын" происходит загрязнение воды и донных отложений сульфатами и тяжелыми металлами.</w:t>
      </w:r>
    </w:p>
    <w:p>
      <w:pPr>
        <w:spacing w:after="120"/>
        <w:jc w:val="both"/>
      </w:pPr>
      <w:r>
        <w:rPr>
          <w:rFonts w:ascii="Arial" w:cs="Arial" w:eastAsia="Arial" w:hAnsi="Arial"/>
          <w:sz w:val="24"/>
          <w:szCs w:val="24"/>
        </w:rPr>
        <w:t xml:space="preserve">Результаты анализов проб воды, донных отложений и грунта, выполненные лабораториями из Германии и Словении свидетельствуют о превышении ПДК:</w:t>
      </w:r>
    </w:p>
    <w:p>
      <w:pPr>
        <w:spacing w:after="120"/>
        <w:jc w:val="both"/>
      </w:pPr>
      <w:r>
        <w:rPr>
          <w:rFonts w:ascii="Arial" w:cs="Arial" w:eastAsia="Arial" w:hAnsi="Arial"/>
          <w:sz w:val="24"/>
          <w:szCs w:val="24"/>
        </w:rPr>
        <w:t xml:space="preserve">- в воде: мышьяка - 2 раза, марганца и нитратов аммония - 1,7 раза, железа - 4 раза, сульфатов - 1,4 раза;</w:t>
      </w:r>
    </w:p>
    <w:p>
      <w:pPr>
        <w:spacing w:after="120"/>
        <w:jc w:val="both"/>
      </w:pPr>
      <w:r>
        <w:rPr>
          <w:rFonts w:ascii="Arial" w:cs="Arial" w:eastAsia="Arial" w:hAnsi="Arial"/>
          <w:sz w:val="24"/>
          <w:szCs w:val="24"/>
        </w:rPr>
        <w:t xml:space="preserve">- в донных отложениях в точке КЗС по сравнению с фоновой:</w:t>
      </w:r>
    </w:p>
    <w:p>
      <w:pPr>
        <w:spacing w:after="120"/>
        <w:jc w:val="both"/>
      </w:pPr>
      <w:r>
        <w:rPr>
          <w:rFonts w:ascii="Arial" w:cs="Arial" w:eastAsia="Arial" w:hAnsi="Arial"/>
          <w:sz w:val="24"/>
          <w:szCs w:val="24"/>
        </w:rPr>
        <w:t xml:space="preserve">превышение по вольфраму 6,5 раза, молибдену 6,12 раза, кадмию 4,68 раза, кобальту 4,27 раза, хрому 4,24 раза, мышьяку 4 раза, свинцу 3,43 раза, никелю 3,47 раза, меди 3,1 раза, железу 2,5 раза, марганцу 2,13 раза, сурьме 2,8 раза, теллуру 2,12 раза, серебру 1,5 раза.</w:t>
      </w:r>
    </w:p>
    <w:p>
      <w:pPr>
        <w:spacing w:after="120"/>
        <w:jc w:val="both"/>
      </w:pPr>
      <w:r>
        <w:rPr>
          <w:rFonts w:ascii="Arial" w:cs="Arial" w:eastAsia="Arial" w:hAnsi="Arial"/>
          <w:sz w:val="24"/>
          <w:szCs w:val="24"/>
        </w:rPr>
        <w:t xml:space="preserve">Отказ от строительства прудов-отстойников ниже отвалов в бассейнах ручьев Лысый, Давыдова и Сарытор предусмотренный в ТЭО для очистки воды стали причиной загрязнения речных вод стоками с карьера и отвалов.</w:t>
      </w:r>
    </w:p>
    <w:p>
      <w:pPr>
        <w:spacing w:after="120"/>
        <w:jc w:val="both"/>
      </w:pPr>
      <w:r>
        <w:rPr>
          <w:rFonts w:ascii="Arial" w:cs="Arial" w:eastAsia="Arial" w:hAnsi="Arial"/>
          <w:sz w:val="24"/>
          <w:szCs w:val="24"/>
        </w:rPr>
        <w:t xml:space="preserve">Совместное складирование отбитых и разрыхленных масс льда с пустыми породами 20-30%, которые обладают потенциалом кислотообразования, ведет к систематическому и долговременному загрязнению талых ледниковых и атмосферных осадков стекающих в реки "Кумтор"-"Тарагай"-"Нарын".</w:t>
      </w:r>
    </w:p>
    <w:p>
      <w:pPr>
        <w:spacing w:after="120"/>
        <w:jc w:val="both"/>
      </w:pPr>
      <w:r>
        <w:rPr>
          <w:rFonts w:ascii="Arial" w:cs="Arial" w:eastAsia="Arial" w:hAnsi="Arial"/>
          <w:sz w:val="24"/>
          <w:szCs w:val="24"/>
        </w:rPr>
        <w:t xml:space="preserve">Для проведения взрывных работ используется взрывчатое вещество (ВВ) - игданит, представляющее собой нитрат аммония с добавлением дизельного топлива. По сведениям КОК за 1996-2011 гг. при проведении взрывных работ использовано свыше 280 тыс. тонн ВВ. По результатам проведенных анализов воды р."Кумтор" (ГАООСиЛХ) на точке КЗС выявлено превышение предельно-допустимой концентрации по нитрату аммония - 4,7, нефтепродуктов - 1,7 раза.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Выбросы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источниками загрязнения атмосферного воздуха являются карьеры, отвалы горных пород, ЗИФ, участок дробилки, лаборатория, бетонный узел и автотранспортные средства. Основную массу загрязняющих веществ представляет неорганическая пыль от взрывных работ в объеме 849,5 тонн в год. В рамках работы Государственной комиссии уточнены расчеты платы за выбросы за период 2009-2011 годы. По расчетам специалистов были выявлены неучтенные объемы выбросов от стационарных и передвижных источников. В нормативно-технической документации (экологические паспорта, корректировки нормативов ПДВ) допущены несоответствия, не обеспечена полнота и достоверность данных. Допущены нарушения в ведении первичного учета выбросов, паспортов ПГУ. Установленные расчетным методом объемы выбросов КОК являются заниженными, что приводит к заниженным значениям ущерба от выбросов. Государственными органами охраны окружающей среды КР не определен согласованный перечень методик к применению в расчетах выбросов. В деятельности КОК допущено превышение установленных нормативов выбросов в 2010 году на 12,5 тонн (фактическое количество - 875,146 т.). В расчетах платы за выбросы допущены ошибки при определении коэффициентов, многократно занижены.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Использование земельных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Поскольку Правительство своим решением разрешило параллельное проектирование и строительство объектов рудника "Кумтор" на основании ТЭО, это привело к тому, что в деятельности КОК были допущены нарушения экологических требований по использованию земельных ресурсов.</w:t>
      </w:r>
    </w:p>
    <w:p>
      <w:pPr>
        <w:spacing w:after="120"/>
        <w:jc w:val="both"/>
      </w:pPr>
      <w:r>
        <w:rPr>
          <w:rFonts w:ascii="Arial" w:cs="Arial" w:eastAsia="Arial" w:hAnsi="Arial"/>
          <w:sz w:val="24"/>
          <w:szCs w:val="24"/>
        </w:rPr>
        <w:t xml:space="preserve">В соответствии с требованием Земельного </w:t>
      </w:r>
      <w:hyperlink w:history="1" r:id="rIdmeyrfkc-kazhbyvbaqdb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КР, ЕПБ и Положения "О рекультивации (восстановлении) земель и порядке их приемки в эксплуатацию" необходимо было провести снятие и складирование плодородного слоя почвы перед началом строительства объектов (дороги, хвостохранилища, здании, сооружении и т.д.). КОК не представил документальных подтверждений того, что производилось снятие и складирование плодородного слоя почвы. В настоящее Государственной инспекцией по экологической и технической безопасности при Правительстве предъявлена претензия за ущерб причиненный земельным ресурсам.</w:t>
      </w:r>
    </w:p>
    <w:p>
      <w:pPr>
        <w:spacing w:after="120"/>
        <w:jc w:val="both"/>
      </w:pPr>
      <w:r>
        <w:rPr>
          <w:rFonts w:ascii="Arial" w:cs="Arial" w:eastAsia="Arial" w:hAnsi="Arial"/>
          <w:sz w:val="24"/>
          <w:szCs w:val="24"/>
        </w:rPr>
        <w:t xml:space="preserve">В экологическом паспорте КОК отмечено, что проводится рекультивация нарушенных земель в районе старых демонтированных мостов на технологической дороге Барскоон-Кумтор. При проведении проверки выявлено что предусмотренные работы не выполняются. КОК не представил проект рекультивации и информацию по выполненным работам.</w:t>
      </w:r>
    </w:p>
    <w:p>
      <w:pPr>
        <w:spacing w:after="120"/>
        <w:jc w:val="both"/>
      </w:pPr>
      <w:r>
        <w:rPr>
          <w:rFonts w:ascii="Arial" w:cs="Arial" w:eastAsia="Arial" w:hAnsi="Arial"/>
          <w:sz w:val="24"/>
          <w:szCs w:val="24"/>
        </w:rPr>
        <w:t xml:space="preserve">В соответствии с требованиями Положения о водоохранных зонах и полосах водных объектов в пределах водоохранных зон и полос водных объектов запрещается строительство новых, расширение и реконструкция действующих промышленных предприятий и выполнение других видов работ, оказывающих вредное влияние на состояние водных объектов.</w:t>
      </w:r>
    </w:p>
    <w:p>
      <w:pPr>
        <w:spacing w:after="120"/>
        <w:jc w:val="both"/>
      </w:pPr>
      <w:r>
        <w:rPr>
          <w:rFonts w:ascii="Arial" w:cs="Arial" w:eastAsia="Arial" w:hAnsi="Arial"/>
          <w:sz w:val="24"/>
          <w:szCs w:val="24"/>
        </w:rPr>
        <w:t xml:space="preserve">Однако в нарушение указанного Положения на проекты разработки карьера песчано-гравийной смеси (ПГС) были выданы положительные заключения экологической экспертизы уполномоченными государственными органами на проведение работ. Лабораторные исследования реки "Кумтор" в конце зоны смешения показали, повышенное содержание нефтепродуктов.</w:t>
      </w:r>
    </w:p>
    <w:p>
      <w:pPr>
        <w:spacing w:after="120"/>
        <w:jc w:val="both"/>
      </w:pPr>
      <w:r>
        <w:rPr>
          <w:rFonts w:ascii="Arial" w:cs="Arial" w:eastAsia="Arial" w:hAnsi="Arial"/>
          <w:sz w:val="24"/>
          <w:szCs w:val="24"/>
        </w:rPr>
        <w:t xml:space="preserve">Государственная комиссия отмечает, что в долинах ручьев Лысый, Чон Сарытор, Кичи Сарытор складированы отвалы горных пород без снятия плодородного слоя почвы. Для оценки нанесенного ущерба необходимо проведение дополнительных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Растительно-почвенный покров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Хозяйственно-полезные виды растений в бассейнах рек "Кумтор", Арабель и Барскоон представлены: кормовыми, лекарственными, декоративными, пищевыми, медоносными, эфиромасличными, дубильными растениями.</w:t>
      </w:r>
    </w:p>
    <w:p>
      <w:pPr>
        <w:spacing w:after="120"/>
        <w:jc w:val="both"/>
      </w:pPr>
      <w:r>
        <w:rPr>
          <w:rFonts w:ascii="Arial" w:cs="Arial" w:eastAsia="Arial" w:hAnsi="Arial"/>
          <w:sz w:val="24"/>
          <w:szCs w:val="24"/>
        </w:rPr>
        <w:t xml:space="preserve">На техногенных участках КОК произрастают два особо значимых не только для кыргызской, но и для мировой флоры вида: Tulipa tetraphylla (Тюльпан четырехлистный), Taraxacum syrtorum (Одуванчик сыртовый), эндемик - виды, занесенные в Красную Книгу Кыргызстана.</w:t>
      </w:r>
    </w:p>
    <w:p>
      <w:pPr>
        <w:spacing w:after="120"/>
        <w:jc w:val="both"/>
      </w:pPr>
      <w:r>
        <w:rPr>
          <w:rFonts w:ascii="Arial" w:cs="Arial" w:eastAsia="Arial" w:hAnsi="Arial"/>
          <w:sz w:val="24"/>
          <w:szCs w:val="24"/>
        </w:rPr>
        <w:t xml:space="preserve">По исследованию сотрудниками Биолого-почвенного института НАН КР отмечено, что отрицательное влияние деятельности КОК на состояние окружающей среды на сегодняшний день выходит далеко за пределы месторождения.</w:t>
      </w:r>
    </w:p>
    <w:p>
      <w:pPr>
        <w:spacing w:after="120"/>
        <w:jc w:val="both"/>
      </w:pPr>
      <w:r>
        <w:rPr>
          <w:rFonts w:ascii="Arial" w:cs="Arial" w:eastAsia="Arial" w:hAnsi="Arial"/>
          <w:sz w:val="24"/>
          <w:szCs w:val="24"/>
        </w:rPr>
        <w:t xml:space="preserve">- В пределах лицензионной площади КОК на территории 6344106 кв.м, в том числе в местах произрастания Taraxacum syrtorum (Одуванчик сыртовый) фактически уничтожен плодородный слой почвы.</w:t>
      </w:r>
    </w:p>
    <w:p>
      <w:pPr>
        <w:spacing w:after="120"/>
        <w:jc w:val="both"/>
      </w:pPr>
      <w:r>
        <w:rPr>
          <w:rFonts w:ascii="Arial" w:cs="Arial" w:eastAsia="Arial" w:hAnsi="Arial"/>
          <w:sz w:val="24"/>
          <w:szCs w:val="24"/>
        </w:rPr>
        <w:t xml:space="preserve">- На технологической автодороге "Кумтор" - ущ. Барскоон (между 5-6 км на площади около 4000 кв.м и между 33-35 км на площади около 15000 кв.м) выявлено уничтожение растительно-почвенного покрова от промышленной деятельности КОК;</w:t>
      </w:r>
    </w:p>
    <w:p>
      <w:pPr>
        <w:spacing w:after="120"/>
        <w:jc w:val="both"/>
      </w:pPr>
      <w:r>
        <w:rPr>
          <w:rFonts w:ascii="Arial" w:cs="Arial" w:eastAsia="Arial" w:hAnsi="Arial"/>
          <w:sz w:val="24"/>
          <w:szCs w:val="24"/>
        </w:rPr>
        <w:t xml:space="preserve">- Вдоль технологической дороги проложенной по ущелью Барскоон количество цветущих растений формации Picea schre№kia№a (Ель Шренка) составило всего 15 видов, тогда как в параллельно расположенных ущельях (Соготту, Чон-Кызыл-Суу, Каракол) их отмечено более 40 видов.</w:t>
      </w:r>
    </w:p>
    <w:p>
      <w:pPr>
        <w:spacing w:after="120"/>
        <w:jc w:val="both"/>
      </w:pPr>
      <w:r>
        <w:rPr>
          <w:rFonts w:ascii="Arial" w:cs="Arial" w:eastAsia="Arial" w:hAnsi="Arial"/>
          <w:sz w:val="24"/>
          <w:szCs w:val="24"/>
        </w:rPr>
        <w:t xml:space="preserve">Такое негативное влияние на окружающую среду вызвано в первую очередь недостаточным проведением мероприятий по пылеподавлению на указанных технологических дорогах и ограничение выхлопных газов.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Влияние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w:t>
      </w:r>
      <w:hyperlink w:history="1" r:id="rIdoz7emctnweijmdj25m3v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отходах производства и потребления в КР" отходы, являющиеся источниками загрязнения окружающей среды, подлежат уничтожению, переработке, очистке, хранению либо захоронению на специальных полигонах или в других отведенных местах размещения отходов, или сжиганию в специальных установках.</w:t>
      </w:r>
    </w:p>
    <w:p>
      <w:pPr>
        <w:spacing w:after="120"/>
        <w:jc w:val="both"/>
      </w:pPr>
      <w:r>
        <w:rPr>
          <w:rFonts w:ascii="Arial" w:cs="Arial" w:eastAsia="Arial" w:hAnsi="Arial"/>
          <w:sz w:val="24"/>
          <w:szCs w:val="24"/>
        </w:rPr>
        <w:t xml:space="preserve">По итогам выявлены следующие нарушения законодательства об обращении с отходами:</w:t>
      </w:r>
    </w:p>
    <w:p>
      <w:pPr>
        <w:spacing w:after="120"/>
        <w:jc w:val="both"/>
      </w:pPr>
      <w:r>
        <w:rPr>
          <w:rFonts w:ascii="Arial" w:cs="Arial" w:eastAsia="Arial" w:hAnsi="Arial"/>
          <w:sz w:val="24"/>
          <w:szCs w:val="24"/>
        </w:rPr>
        <w:t xml:space="preserve">1) Не соблюдаются требования ст.10 п.4 "Размещение опасных отходов допускается только в специально оборудованных для этих целей сооружениях":</w:t>
      </w:r>
    </w:p>
    <w:p>
      <w:pPr>
        <w:spacing w:after="120"/>
        <w:jc w:val="both"/>
      </w:pPr>
      <w:r>
        <w:rPr>
          <w:rFonts w:ascii="Arial" w:cs="Arial" w:eastAsia="Arial" w:hAnsi="Arial"/>
          <w:sz w:val="24"/>
          <w:szCs w:val="24"/>
        </w:rPr>
        <w:t xml:space="preserve">КОК не построил специальные места, полигонов для размещения токсичных и нетоксичных отходов. В настоящее время имеется только одно специальное место для размещения отходов - накопитель жидких токсичных отходов (хвостохранилище), проект на размещения токсичных и нетоксичных отходов отсутствует.</w:t>
      </w:r>
    </w:p>
    <w:p>
      <w:pPr>
        <w:spacing w:after="120"/>
        <w:jc w:val="both"/>
      </w:pPr>
      <w:r>
        <w:rPr>
          <w:rFonts w:ascii="Arial" w:cs="Arial" w:eastAsia="Arial" w:hAnsi="Arial"/>
          <w:sz w:val="24"/>
          <w:szCs w:val="24"/>
        </w:rPr>
        <w:t xml:space="preserve">2) Не соблюдаются требования п.5 ст.8 </w:t>
      </w:r>
      <w:hyperlink w:history="1" r:id="rIdbekzvzj3ro9eq19eexhd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отходах производства и потребления в КР" "При захоронении отходов ведение мониторинга мест захоронения является обязательным. Мониторинг осуществляется собственником объекта размещения отходов в порядке, согласованном с компетентным органом": мониторинг мест размещения отходов не проводится, план мониторинга не составляется.</w:t>
      </w:r>
    </w:p>
    <w:p>
      <w:pPr>
        <w:spacing w:after="120"/>
        <w:jc w:val="both"/>
      </w:pPr>
      <w:r>
        <w:rPr>
          <w:rFonts w:ascii="Arial" w:cs="Arial" w:eastAsia="Arial" w:hAnsi="Arial"/>
          <w:sz w:val="24"/>
          <w:szCs w:val="24"/>
        </w:rPr>
        <w:t xml:space="preserve">3) В нарушение требования п.1 ст.10 </w:t>
      </w:r>
      <w:hyperlink w:history="1" r:id="rId_wo2qwwsmgjbdup9spxh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"Об отходах производства и потребления в КР", - "В целях охраны атмосферного воздуха запрещается захоронение, обезвреживание и сжигание на территории хозяйствующих субъектов и поселений отходов производств" до 2009 года бытовые отходы сжигались (по данным КОК).</w:t>
      </w:r>
    </w:p>
    <w:p>
      <w:pPr>
        <w:spacing w:after="120"/>
        <w:jc w:val="both"/>
      </w:pPr>
      <w:r>
        <w:rPr>
          <w:rFonts w:ascii="Arial" w:cs="Arial" w:eastAsia="Arial" w:hAnsi="Arial"/>
          <w:sz w:val="24"/>
          <w:szCs w:val="24"/>
        </w:rPr>
        <w:t xml:space="preserve">Особо отмечаем, что за весь период деятельности КОК плата за размещение отходов не взимается (</w:t>
      </w:r>
      <w:hyperlink w:history="1" r:id="rIdfodf7nw4wykjwz5szeo_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охране окружающей среды" ст.15).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Состояние отвального хозяйства рудника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Руководством КОК допущены серьезные отступления от положений о складировании отвалов, изложенных в ТЭО.</w:t>
      </w:r>
    </w:p>
    <w:p>
      <w:pPr>
        <w:spacing w:after="120"/>
        <w:jc w:val="both"/>
      </w:pPr>
      <w:r>
        <w:rPr>
          <w:rFonts w:ascii="Arial" w:cs="Arial" w:eastAsia="Arial" w:hAnsi="Arial"/>
          <w:sz w:val="24"/>
          <w:szCs w:val="24"/>
        </w:rPr>
        <w:t xml:space="preserve">КОК принял решение о складировании гигантских масс вскрышных пород на ледниках, вопреки, зафиксированному в ТЭО варианту размещения на отведенных площадях в долинах ручьев Лысый и Чон-Сарытор. Обоснованием такого решения КОК указал значительное сокращение транспортных расходов и заключения ряда проектных организаций.</w:t>
      </w:r>
    </w:p>
    <w:p>
      <w:pPr>
        <w:spacing w:after="120"/>
        <w:jc w:val="both"/>
      </w:pPr>
      <w:r>
        <w:rPr>
          <w:rFonts w:ascii="Arial" w:cs="Arial" w:eastAsia="Arial" w:hAnsi="Arial"/>
          <w:sz w:val="24"/>
          <w:szCs w:val="24"/>
        </w:rPr>
        <w:t xml:space="preserve">Но при этом в заключении "ГИНАЛМАЗЗОЛОТО" при разработке ТЭО (том 1, книга 1, стр.126) проекта "Кумтор" отмечено, что "... предельная высота устойчивых отвалов на леднике не должна превышать 35 м. Однако, в связи с тем, что практики отсыпки отвалов на мощные толщи льда не имеется, целесообразно продолжить исследования".</w:t>
      </w:r>
    </w:p>
    <w:p>
      <w:pPr>
        <w:spacing w:after="120"/>
        <w:jc w:val="both"/>
      </w:pPr>
      <w:r>
        <w:rPr>
          <w:rFonts w:ascii="Arial" w:cs="Arial" w:eastAsia="Arial" w:hAnsi="Arial"/>
          <w:sz w:val="24"/>
          <w:szCs w:val="24"/>
        </w:rPr>
        <w:t xml:space="preserve">Однако, указанные рекомендации ведущих гляциологов СССР и проектировщиков из "ГИНАЛМАЗЗОЛОТО" были проигнорированы.</w:t>
      </w:r>
    </w:p>
    <w:p>
      <w:pPr>
        <w:spacing w:after="120"/>
        <w:jc w:val="both"/>
      </w:pPr>
      <w:r>
        <w:rPr>
          <w:rFonts w:ascii="Arial" w:cs="Arial" w:eastAsia="Arial" w:hAnsi="Arial"/>
          <w:sz w:val="24"/>
          <w:szCs w:val="24"/>
        </w:rPr>
        <w:t xml:space="preserve">КОК обратился в проектно-исследовательский центр "Кен-Тоо" который подготовил заключение о возможности увеличения высоты отвалов до 90 м. Фактически в ряде случаев формировались отвалы высотой до 120 м. Все это привело к фактическому уничтожению большей части ледника Давыдова, объем которого составляет 77 млн. куб.м, что эквивалентно 60 млрд. литрам чистой ледниковой воды. Такая ситуация чревата серьезными экологическими проблемами долговременного и систематического загрязнения поверхностных вод в бассейне рек "Кумтор"-"Нарын".</w:t>
      </w:r>
    </w:p>
    <w:p>
      <w:pPr>
        <w:spacing w:after="120"/>
        <w:jc w:val="both"/>
      </w:pPr>
      <w:r>
        <w:rPr>
          <w:rFonts w:ascii="Arial" w:cs="Arial" w:eastAsia="Arial" w:hAnsi="Arial"/>
          <w:sz w:val="24"/>
          <w:szCs w:val="24"/>
        </w:rPr>
        <w:t xml:space="preserve">Начиная с 2007 года, добычные работы неоднократно останавливались из-за аварий вызванных значительной ползучестью отвалов и ледника над зоной SB в пределах Центрального карьера. Эти движения отвалов и ледника продолжаются до настоящего времени.</w:t>
      </w:r>
    </w:p>
    <w:p>
      <w:pPr>
        <w:spacing w:after="120"/>
        <w:jc w:val="both"/>
      </w:pPr>
      <w:r>
        <w:rPr>
          <w:rFonts w:ascii="Arial" w:cs="Arial" w:eastAsia="Arial" w:hAnsi="Arial"/>
          <w:sz w:val="24"/>
          <w:szCs w:val="24"/>
        </w:rPr>
        <w:t xml:space="preserve">Это значительно усложняет работу в карьере, в частности заблокировало доступ к богатой зоне оруднения SB на неопределенный период времени. Перебои в работе рудника стали причиной остановки ЗИФ в конце июля 2012 года. Ее работа была возобновлена с 17 сентября 2012 года.</w:t>
      </w:r>
    </w:p>
    <w:p>
      <w:pPr>
        <w:spacing w:after="120"/>
        <w:jc w:val="both"/>
      </w:pPr>
      <w:r>
        <w:rPr>
          <w:rFonts w:ascii="Arial" w:cs="Arial" w:eastAsia="Arial" w:hAnsi="Arial"/>
          <w:sz w:val="24"/>
          <w:szCs w:val="24"/>
        </w:rPr>
        <w:t xml:space="preserve">Государственная комиссия отмечает, что в нарушение норм Закона КР "О воде" и "ЕПБ" уполномоченные государственные органы выдали положительные заключения на размещение породных отвалов на ледниках.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 концептуальном плане вывода объектов рудника "Кумтор"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у КОК имеется лишь общая концепция рекультивации основных объектов, которая периодически меняется.</w:t>
      </w:r>
    </w:p>
    <w:p>
      <w:pPr>
        <w:spacing w:after="120"/>
        <w:jc w:val="both"/>
      </w:pPr>
      <w:r>
        <w:rPr>
          <w:rFonts w:ascii="Arial" w:cs="Arial" w:eastAsia="Arial" w:hAnsi="Arial"/>
          <w:sz w:val="24"/>
          <w:szCs w:val="24"/>
        </w:rPr>
        <w:t xml:space="preserve">Согласно "Концептуальному плану вывода объектов рудника "Кумтор" из эксплуатации" (КПВЭ, 2011 г.) общие затраты на закрытие рудника оцениваются в 29 млн. долларов США. Из них примерно 20 млн. долларов США предназначена с закрытием объектов хвостового хозяйства.</w:t>
      </w:r>
    </w:p>
    <w:p>
      <w:pPr>
        <w:spacing w:after="120"/>
        <w:jc w:val="both"/>
      </w:pPr>
      <w:r>
        <w:rPr>
          <w:rFonts w:ascii="Arial" w:cs="Arial" w:eastAsia="Arial" w:hAnsi="Arial"/>
          <w:sz w:val="24"/>
          <w:szCs w:val="24"/>
        </w:rPr>
        <w:t xml:space="preserve">КОК учредила Фонд рекультивации, общий баланс Фонда по состоянию на ноябрь 2012 года составляет 11,3 млн. долларов США.</w:t>
      </w:r>
    </w:p>
    <w:p>
      <w:pPr>
        <w:spacing w:after="120"/>
        <w:jc w:val="both"/>
      </w:pPr>
      <w:r>
        <w:rPr>
          <w:rFonts w:ascii="Arial" w:cs="Arial" w:eastAsia="Arial" w:hAnsi="Arial"/>
          <w:sz w:val="24"/>
          <w:szCs w:val="24"/>
        </w:rPr>
        <w:t xml:space="preserve">Очевидно, что этих средств недостаточно для адекватного закрытия рудника и рекультивации его основных объектов. Только для строительства предприятия для очистки промстоков из карьерных водоемов и ледово-каменных отвалов потребуется более 30 млн. долларов США. Значительные средства потребуются для укладки каменной наброски у основания ограждающей дамбы хвостохранилища, формирование канала с углублением русла р.Арабель и укрепление ее берегов габионами, надежное покрытие поверхности хвостохранилища и отвалов, сооружение систем водоотлива из карьеров.</w:t>
      </w:r>
    </w:p>
    <w:p>
      <w:pPr>
        <w:spacing w:after="120"/>
        <w:jc w:val="both"/>
      </w:pPr>
      <w:r>
        <w:rPr>
          <w:rFonts w:ascii="Arial" w:cs="Arial" w:eastAsia="Arial" w:hAnsi="Arial"/>
          <w:sz w:val="24"/>
          <w:szCs w:val="24"/>
        </w:rPr>
        <w:t xml:space="preserve">Согласно подпункта (iii) пункта 5.4. Соглашения о новых условиях Правительство взяло на себя обязательство по проведению работ рекультивации взамен на передачу активов Трастового фонда Рекультивации Правительству.</w:t>
      </w:r>
    </w:p>
    <w:p>
      <w:pPr>
        <w:spacing w:after="120"/>
        <w:jc w:val="both"/>
      </w:pPr>
      <w:r>
        <w:rPr>
          <w:rFonts w:ascii="Arial" w:cs="Arial" w:eastAsia="Arial" w:hAnsi="Arial"/>
          <w:sz w:val="24"/>
          <w:szCs w:val="24"/>
        </w:rPr>
        <w:t xml:space="preserve">Государственная комиссия отмечает, такое обязательство, в отсутствии технического проекта рекультивации, оценки необходимых ресурсов на выполнение рекультивационных работ, может привести к тому, что Правительство будет проводить рекультивацию за счет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Экологический ущерб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Экологический ущерб от производственной деятельности КОК возникает из-за потери природного ресурса (запасов воды, почвенно-растительного слоя) и загрязнения окружающей среды. А именно:</w:t>
      </w:r>
    </w:p>
    <w:p>
      <w:pPr>
        <w:spacing w:after="120"/>
        <w:jc w:val="both"/>
      </w:pPr>
      <w:r>
        <w:rPr>
          <w:rFonts w:ascii="Arial" w:cs="Arial" w:eastAsia="Arial" w:hAnsi="Arial"/>
          <w:sz w:val="24"/>
          <w:szCs w:val="24"/>
        </w:rPr>
        <w:t xml:space="preserve">- разрушение почвенно-растительного слоя на площади 7797924,4 кв.м;</w:t>
      </w:r>
    </w:p>
    <w:p>
      <w:pPr>
        <w:spacing w:after="120"/>
        <w:jc w:val="both"/>
      </w:pPr>
      <w:r>
        <w:rPr>
          <w:rFonts w:ascii="Arial" w:cs="Arial" w:eastAsia="Arial" w:hAnsi="Arial"/>
          <w:sz w:val="24"/>
          <w:szCs w:val="24"/>
        </w:rPr>
        <w:t xml:space="preserve">- использование водных ресурсов без оплаты;</w:t>
      </w:r>
    </w:p>
    <w:p>
      <w:pPr>
        <w:spacing w:after="120"/>
        <w:jc w:val="both"/>
      </w:pPr>
      <w:r>
        <w:rPr>
          <w:rFonts w:ascii="Arial" w:cs="Arial" w:eastAsia="Arial" w:hAnsi="Arial"/>
          <w:sz w:val="24"/>
          <w:szCs w:val="24"/>
        </w:rPr>
        <w:t xml:space="preserve">- размещение без оплаты отходов производства от осадков очистных сооружений производственных стоков и очистные сооружения хозяйственно-бытовых стоков;</w:t>
      </w:r>
    </w:p>
    <w:p>
      <w:pPr>
        <w:spacing w:after="120"/>
        <w:jc w:val="both"/>
      </w:pPr>
      <w:r>
        <w:rPr>
          <w:rFonts w:ascii="Arial" w:cs="Arial" w:eastAsia="Arial" w:hAnsi="Arial"/>
          <w:sz w:val="24"/>
          <w:szCs w:val="24"/>
        </w:rPr>
        <w:t xml:space="preserve">- загрязнение и разрушение ледников;</w:t>
      </w:r>
    </w:p>
    <w:p>
      <w:pPr>
        <w:spacing w:after="120"/>
        <w:jc w:val="both"/>
      </w:pPr>
      <w:r>
        <w:rPr>
          <w:rFonts w:ascii="Arial" w:cs="Arial" w:eastAsia="Arial" w:hAnsi="Arial"/>
          <w:sz w:val="24"/>
          <w:szCs w:val="24"/>
        </w:rPr>
        <w:t xml:space="preserve">- выбросы загрязняющих веществ в атмосферный воздух;</w:t>
      </w:r>
    </w:p>
    <w:p>
      <w:pPr>
        <w:spacing w:after="120"/>
        <w:jc w:val="both"/>
      </w:pPr>
      <w:r>
        <w:rPr>
          <w:rFonts w:ascii="Arial" w:cs="Arial" w:eastAsia="Arial" w:hAnsi="Arial"/>
          <w:sz w:val="24"/>
          <w:szCs w:val="24"/>
        </w:rPr>
        <w:t xml:space="preserve">- размещение без оплаты производственных токсичных и нетоксичных отходов.</w:t>
      </w:r>
    </w:p>
    <w:p>
      <w:pPr>
        <w:spacing w:after="120"/>
        <w:jc w:val="both"/>
      </w:pPr>
      <w:r>
        <w:rPr>
          <w:rFonts w:ascii="Arial" w:cs="Arial" w:eastAsia="Arial" w:hAnsi="Arial"/>
          <w:sz w:val="24"/>
          <w:szCs w:val="24"/>
        </w:rPr>
        <w:t xml:space="preserve">Государственная комиссия отмечает, что КОК бесконтрольно, без соответствующих разрешений уполномоченных государственных органов осуществляет свою производственную деятельность и тем самым наносит серьезный экологический урон обществу и окружающей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Выводы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вышеизложенного, по итогам проведенной работы Государственная комиссия пришла к следующим выводам: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Выводы по юридической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Соглашения 1992-1994 годов (Соглашения подписали Т.Чынгышев, Д.Сарыгулов):</w:t>
      </w:r>
    </w:p>
    <w:p>
      <w:pPr>
        <w:spacing w:after="120"/>
        <w:jc w:val="both"/>
      </w:pPr>
      <w:r>
        <w:rPr>
          <w:rFonts w:ascii="Arial" w:cs="Arial" w:eastAsia="Arial" w:hAnsi="Arial"/>
          <w:sz w:val="24"/>
          <w:szCs w:val="24"/>
        </w:rPr>
        <w:t xml:space="preserve">- Соглашения 1992 года подписывал Премьер-министр КР, однако согласно Закона "О Правительстве" Правительство возглавлялось Президентом КР.</w:t>
      </w:r>
    </w:p>
    <w:p>
      <w:pPr>
        <w:spacing w:after="120"/>
        <w:jc w:val="both"/>
      </w:pPr>
      <w:r>
        <w:rPr>
          <w:rFonts w:ascii="Arial" w:cs="Arial" w:eastAsia="Arial" w:hAnsi="Arial"/>
          <w:sz w:val="24"/>
          <w:szCs w:val="24"/>
        </w:rPr>
        <w:t xml:space="preserve">- Правительство КР в нарушении Закона о недрах от 15 декабря 1992 года, не дожидаясь результатов экспертизы, в мае 1994 г. специальным </w:t>
      </w:r>
      <w:hyperlink w:history="1" r:id="rIdq72p633esu2umoiqwvb5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утвердило ТЭО и тем самым разрешило вести подготовительные и строительно-монтажные работы без утверждения технического проекта.</w:t>
      </w:r>
    </w:p>
    <w:p>
      <w:pPr>
        <w:spacing w:after="120"/>
        <w:jc w:val="both"/>
      </w:pPr>
      <w:r>
        <w:rPr>
          <w:rFonts w:ascii="Arial" w:cs="Arial" w:eastAsia="Arial" w:hAnsi="Arial"/>
          <w:sz w:val="24"/>
          <w:szCs w:val="24"/>
        </w:rPr>
        <w:t xml:space="preserve">- В нарушение </w:t>
      </w:r>
      <w:hyperlink w:history="1" r:id="rIdmhpsct1merrmtk4wvu1n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"Об акционерных обществах в Республике Кыргызстан" общее собрание акционеров ЗАО "Кумтор Голд Компани" как высший орган управления акционерным обществом, в котором кыргызская сторона имела 2/3 голосов, был фактически заменен исполнительным комитетом, где большинство голосов принадлежало "Камеко".</w:t>
      </w:r>
    </w:p>
    <w:p>
      <w:pPr>
        <w:spacing w:after="120"/>
        <w:jc w:val="both"/>
      </w:pPr>
      <w:r>
        <w:rPr>
          <w:rFonts w:ascii="Arial" w:cs="Arial" w:eastAsia="Arial" w:hAnsi="Arial"/>
          <w:sz w:val="24"/>
          <w:szCs w:val="24"/>
        </w:rPr>
        <w:t xml:space="preserve">- "Камеко" не исполнило обязательство по найму и обучения жителей КР для занятия управленческих должностей.</w:t>
      </w:r>
    </w:p>
    <w:p>
      <w:pPr>
        <w:spacing w:after="120"/>
        <w:jc w:val="both"/>
      </w:pPr>
      <w:r>
        <w:rPr>
          <w:rFonts w:ascii="Arial" w:cs="Arial" w:eastAsia="Arial" w:hAnsi="Arial"/>
          <w:sz w:val="24"/>
          <w:szCs w:val="24"/>
        </w:rPr>
        <w:t xml:space="preserve">- Правительством нарушило статью 10 Закона Кыргызской Республики "О концессиях и иностранных концессионных предприятиях в Республике Кыргызстан" приняв решение о предоставлении объекта для концессии без конкурса;</w:t>
      </w:r>
    </w:p>
    <w:p>
      <w:pPr>
        <w:spacing w:after="120"/>
        <w:jc w:val="both"/>
      </w:pPr>
      <w:r>
        <w:rPr>
          <w:rFonts w:ascii="Arial" w:cs="Arial" w:eastAsia="Arial" w:hAnsi="Arial"/>
          <w:sz w:val="24"/>
          <w:szCs w:val="24"/>
        </w:rPr>
        <w:t xml:space="preserve">- Сумма в 30 млн. долларов США как часть согласованной акционерами суммы на расходы и издержки, связанные с разведкой и разработкой Кумторского" месторождения, в Соглашении была незаконно признана косвенным концессионным платежом.</w:t>
      </w:r>
    </w:p>
    <w:p>
      <w:pPr>
        <w:spacing w:after="120"/>
        <w:jc w:val="both"/>
      </w:pPr>
      <w:r>
        <w:rPr>
          <w:rFonts w:ascii="Arial" w:cs="Arial" w:eastAsia="Arial" w:hAnsi="Arial"/>
          <w:sz w:val="24"/>
          <w:szCs w:val="24"/>
        </w:rPr>
        <w:t xml:space="preserve">Соглашения 2003-2004 годов (Соглашения подписали К.Кудайбергенов, Н.Танаев):</w:t>
      </w:r>
    </w:p>
    <w:p>
      <w:pPr>
        <w:spacing w:after="120"/>
        <w:jc w:val="both"/>
      </w:pPr>
      <w:r>
        <w:rPr>
          <w:rFonts w:ascii="Arial" w:cs="Arial" w:eastAsia="Arial" w:hAnsi="Arial"/>
          <w:sz w:val="24"/>
          <w:szCs w:val="24"/>
        </w:rPr>
        <w:t xml:space="preserve">- Подписанные соглашения 2003-2004 годов стали для Кыргызстана самыми невыгодными, поскольку подписав Соглашение о реструктуризации и обменяв 67% акций КГК на 33% акций Центерры кыргызская сторона существенно ограничила свои права по управлению проектом "Кумтор".</w:t>
      </w:r>
    </w:p>
    <w:p>
      <w:pPr>
        <w:spacing w:after="120"/>
        <w:jc w:val="both"/>
      </w:pPr>
      <w:r>
        <w:rPr>
          <w:rFonts w:ascii="Arial" w:cs="Arial" w:eastAsia="Arial" w:hAnsi="Arial"/>
          <w:sz w:val="24"/>
          <w:szCs w:val="24"/>
        </w:rPr>
        <w:t xml:space="preserve">- Соглашения подписывались в нарушение постановлений Законодательного собрания Жогорку Кенеша КР З № 1232 от 20 июня 2003 г., З № 1694-II от 25 июня 2004 г., З № 1906-II от 20 января 2005 г.</w:t>
      </w:r>
    </w:p>
    <w:p>
      <w:pPr>
        <w:spacing w:after="120"/>
        <w:jc w:val="both"/>
      </w:pPr>
      <w:r>
        <w:rPr>
          <w:rFonts w:ascii="Arial" w:cs="Arial" w:eastAsia="Arial" w:hAnsi="Arial"/>
          <w:sz w:val="24"/>
          <w:szCs w:val="24"/>
        </w:rPr>
        <w:t xml:space="preserve">- "Камеко" передала Центерре только права и льготы, а Правительство освободило "Камеко" от всех обязательств по Генеральному соглашению, включая обязательство по восстановлению земли вокруг открытого карьера, тем самым ухудшив позиции кыргызской стороны в Инвестиционном соглашении 2003 года по сравнению с Генеральным соглашением 1992 года.</w:t>
      </w:r>
    </w:p>
    <w:p>
      <w:pPr>
        <w:spacing w:after="120"/>
        <w:jc w:val="both"/>
      </w:pPr>
      <w:r>
        <w:rPr>
          <w:rFonts w:ascii="Arial" w:cs="Arial" w:eastAsia="Arial" w:hAnsi="Arial"/>
          <w:sz w:val="24"/>
          <w:szCs w:val="24"/>
        </w:rPr>
        <w:t xml:space="preserve">Соглашения 2009 года (Переговоры официально вел Алексей Елисеев, (неофициально" Максим Бакиев), Соглашения подписали И.Чудинов, А.Жакыпов):</w:t>
      </w:r>
    </w:p>
    <w:p>
      <w:pPr>
        <w:spacing w:after="120"/>
        <w:jc w:val="both"/>
      </w:pPr>
      <w:r>
        <w:rPr>
          <w:rFonts w:ascii="Arial" w:cs="Arial" w:eastAsia="Arial" w:hAnsi="Arial"/>
          <w:sz w:val="24"/>
          <w:szCs w:val="24"/>
        </w:rPr>
        <w:t xml:space="preserve">- В нарушение норм </w:t>
      </w:r>
      <w:hyperlink w:history="1" r:id="rIdzdpstvwhpy8nou8qu3e8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 Жогорку Кенеш IV созыва (политическая партия "Ак-Жол") ратифицировал Соглашение о новых условиях, которое не являлось международным соглашением и не подлежало ратификации. Ратификация произведена с целью освобождения Проектных компаний практически от всех обязательств по выполнению норм законодательства Кыргызской Республики.</w:t>
      </w:r>
    </w:p>
    <w:p>
      <w:pPr>
        <w:spacing w:after="120"/>
        <w:jc w:val="both"/>
      </w:pPr>
      <w:r>
        <w:rPr>
          <w:rFonts w:ascii="Arial" w:cs="Arial" w:eastAsia="Arial" w:hAnsi="Arial"/>
          <w:sz w:val="24"/>
          <w:szCs w:val="24"/>
        </w:rPr>
        <w:t xml:space="preserve">- В нарушение норм </w:t>
      </w:r>
      <w:hyperlink w:history="1" r:id="rIdduz1trnhxsxfxw99aqqm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было внесено изменение в статью 3 Налогового </w:t>
      </w:r>
      <w:hyperlink w:history="1" r:id="rIdgegje-wyoac42jphrac2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 единственной целью освободить Проектные компании от уплаты налогов.</w:t>
      </w:r>
    </w:p>
    <w:p>
      <w:pPr>
        <w:spacing w:after="120"/>
        <w:jc w:val="both"/>
      </w:pPr>
      <w:r>
        <w:rPr>
          <w:rFonts w:ascii="Arial" w:cs="Arial" w:eastAsia="Arial" w:hAnsi="Arial"/>
          <w:sz w:val="24"/>
          <w:szCs w:val="24"/>
        </w:rPr>
        <w:t xml:space="preserve">- Преднамеренное обращение депутата М.Исановой в Конституционный суд КР имело цель лишить возможности обращения о признании неконституционным Закона о ратификации соглашения о новых условиях.</w:t>
      </w:r>
    </w:p>
    <w:p>
      <w:pPr>
        <w:spacing w:after="120"/>
        <w:jc w:val="both"/>
      </w:pPr>
      <w:r>
        <w:rPr>
          <w:rFonts w:ascii="Arial" w:cs="Arial" w:eastAsia="Arial" w:hAnsi="Arial"/>
          <w:sz w:val="24"/>
          <w:szCs w:val="24"/>
        </w:rPr>
        <w:t xml:space="preserve">- Соглашения 2009 года ограничили конституционные полномочия Президента КР, Жогорку Кенеша КР, Правительства КР.</w:t>
      </w:r>
    </w:p>
    <w:p>
      <w:pPr>
        <w:spacing w:after="120"/>
        <w:jc w:val="both"/>
      </w:pPr>
      <w:r>
        <w:rPr>
          <w:rFonts w:ascii="Arial" w:cs="Arial" w:eastAsia="Arial" w:hAnsi="Arial"/>
          <w:sz w:val="24"/>
          <w:szCs w:val="24"/>
        </w:rPr>
        <w:t xml:space="preserve">- В нарушение Закона "О концессиях и концессионных предприятиях в Республике Кыргызстан" не была проведена комплексная экспертиза при заключении пересмотренного концессионного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Выводы по экологической и горно-технической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Ведение горных работ без утвержденного и прошедшего в установленном порядке экспертизу технического проекта отразилось на процессе ведения горных работ. При строительстве на руднике золоторудного комплекса допущен перерасход на 176 млн. долларов США.</w:t>
      </w:r>
    </w:p>
    <w:p>
      <w:pPr>
        <w:spacing w:after="120"/>
        <w:jc w:val="both"/>
      </w:pPr>
      <w:r>
        <w:rPr>
          <w:rFonts w:ascii="Arial" w:cs="Arial" w:eastAsia="Arial" w:hAnsi="Arial"/>
          <w:sz w:val="24"/>
          <w:szCs w:val="24"/>
        </w:rPr>
        <w:t xml:space="preserve">2. КОК затратил на строительство наклонных съездов № 1 и № 2 по состоянию на июль 2012 года 170,1 млн. долл.США и прекратил подготовительные работы для перехода на подземную разработку. При этом КОК начал разработку участка Юго-Западный с нарезкой еще одного ледника Сары-Тор.</w:t>
      </w:r>
    </w:p>
    <w:p>
      <w:pPr>
        <w:spacing w:after="120"/>
        <w:jc w:val="both"/>
      </w:pPr>
      <w:r>
        <w:rPr>
          <w:rFonts w:ascii="Arial" w:cs="Arial" w:eastAsia="Arial" w:hAnsi="Arial"/>
          <w:sz w:val="24"/>
          <w:szCs w:val="24"/>
        </w:rPr>
        <w:t xml:space="preserve">3. КОК изменил предусмотренные в ТЭО условия размещения отвалов пустой породы, переместив место их складирования на ледники, что является нарушением §4, §79 Единых Правил Безопасности и ст.47 Закона КР "О воде". Размещение отвалов на леднике Давыдова, привело к его разрушению и разрушению борта Юго-Западного участка карьера "Центральный", к срыву добычи руды в текущем году. Перемещение отвалов из одного места на другое, привело к дополнительному простою производства и транспортно-погрузочным затратам и пр.</w:t>
      </w:r>
    </w:p>
    <w:p>
      <w:pPr>
        <w:spacing w:after="120"/>
        <w:jc w:val="both"/>
      </w:pPr>
      <w:r>
        <w:rPr>
          <w:rFonts w:ascii="Arial" w:cs="Arial" w:eastAsia="Arial" w:hAnsi="Arial"/>
          <w:sz w:val="24"/>
          <w:szCs w:val="24"/>
        </w:rPr>
        <w:t xml:space="preserve">4. Промышленные стоки с отвалов, карьерных вод, являющиеся наиболее распространенным по объему загрязненным продуктом разработки месторождения, представляют серьезную угрозу загрязнения поверхностных вод в бассейне рек "Кумтор"-"Нарын" и способны нанести необратимый экологический вред водным ресурсам:</w:t>
      </w:r>
    </w:p>
    <w:p>
      <w:pPr>
        <w:spacing w:after="120"/>
        <w:jc w:val="both"/>
      </w:pPr>
      <w:r>
        <w:rPr>
          <w:rFonts w:ascii="Arial" w:cs="Arial" w:eastAsia="Arial" w:hAnsi="Arial"/>
          <w:sz w:val="24"/>
          <w:szCs w:val="24"/>
        </w:rPr>
        <w:t xml:space="preserve">- около 20-30% отвальных пород обладают потенциалом кислотообразования, следовательно, не исключается долговременное кислотное загрязнение, обогащенные сульфидами руды подвергаются химическому окислению с образованием сульфатов и серной кислоты;</w:t>
      </w:r>
    </w:p>
    <w:p>
      <w:pPr>
        <w:spacing w:after="120"/>
        <w:jc w:val="both"/>
      </w:pPr>
      <w:r>
        <w:rPr>
          <w:rFonts w:ascii="Arial" w:cs="Arial" w:eastAsia="Arial" w:hAnsi="Arial"/>
          <w:sz w:val="24"/>
          <w:szCs w:val="24"/>
        </w:rPr>
        <w:t xml:space="preserve">- из-под отвалов истекают неочищенные воды с повышенным содержанием тяжелых металлов, нитратов аммония и нефтепродуктов;</w:t>
      </w:r>
    </w:p>
    <w:p>
      <w:pPr>
        <w:spacing w:after="120"/>
        <w:jc w:val="both"/>
      </w:pPr>
      <w:r>
        <w:rPr>
          <w:rFonts w:ascii="Arial" w:cs="Arial" w:eastAsia="Arial" w:hAnsi="Arial"/>
          <w:sz w:val="24"/>
          <w:szCs w:val="24"/>
        </w:rPr>
        <w:t xml:space="preserve">- имеет место постепенное и долговременное накопление кислотных и сульфатных загрязнений в донных отложениях, с дальнейшим перемещением их вниз по течению реки Нарын;</w:t>
      </w:r>
    </w:p>
    <w:p>
      <w:pPr>
        <w:spacing w:after="120"/>
        <w:jc w:val="both"/>
      </w:pPr>
      <w:r>
        <w:rPr>
          <w:rFonts w:ascii="Arial" w:cs="Arial" w:eastAsia="Arial" w:hAnsi="Arial"/>
          <w:sz w:val="24"/>
          <w:szCs w:val="24"/>
        </w:rPr>
        <w:t xml:space="preserve">- в дальнейшем экологические проблемы усугубятся из-за увеличения отвалов горных пород, разрушения и загрязнения ледников. К моменту закрытия рудника ожидается, что общая масса горных пород в отвалах составят 1,7 млрд. тонн.</w:t>
      </w:r>
    </w:p>
    <w:p>
      <w:pPr>
        <w:spacing w:after="120"/>
        <w:jc w:val="both"/>
      </w:pPr>
      <w:r>
        <w:rPr>
          <w:rFonts w:ascii="Arial" w:cs="Arial" w:eastAsia="Arial" w:hAnsi="Arial"/>
          <w:sz w:val="24"/>
          <w:szCs w:val="24"/>
        </w:rPr>
        <w:t xml:space="preserve">5. Анализ почвы, воды, донных отложений, выполненный отечественными и зарубежными лабораториями установил, что распределение тяжелых металлов по точкам опробования выше и ниже основных источников техногенного загрязнения превышает предельно-допустимые концентрации от 2 до 6,5 раз.</w:t>
      </w:r>
    </w:p>
    <w:p>
      <w:pPr>
        <w:spacing w:after="120"/>
        <w:jc w:val="both"/>
      </w:pPr>
      <w:r>
        <w:rPr>
          <w:rFonts w:ascii="Arial" w:cs="Arial" w:eastAsia="Arial" w:hAnsi="Arial"/>
          <w:sz w:val="24"/>
          <w:szCs w:val="24"/>
        </w:rPr>
        <w:t xml:space="preserve">В частности: мышьяка - в 4 раза, свинца - в 3,43 раза, кадмия - в 4,68 раз, сурьмы - в 2,8 раза, кобальта - в 4,27 раза.</w:t>
      </w:r>
    </w:p>
    <w:p>
      <w:pPr>
        <w:spacing w:after="120"/>
        <w:jc w:val="both"/>
      </w:pPr>
      <w:r>
        <w:rPr>
          <w:rFonts w:ascii="Arial" w:cs="Arial" w:eastAsia="Arial" w:hAnsi="Arial"/>
          <w:sz w:val="24"/>
          <w:szCs w:val="24"/>
        </w:rPr>
        <w:t xml:space="preserve">6. КОК не ведет изыскательские работы по геолого-экономической оценке комплексного извлечения попутных полезных ископаемых.</w:t>
      </w:r>
    </w:p>
    <w:p>
      <w:pPr>
        <w:spacing w:after="120"/>
        <w:jc w:val="both"/>
      </w:pPr>
      <w:r>
        <w:rPr>
          <w:rFonts w:ascii="Arial" w:cs="Arial" w:eastAsia="Arial" w:hAnsi="Arial"/>
          <w:sz w:val="24"/>
          <w:szCs w:val="24"/>
        </w:rPr>
        <w:t xml:space="preserve">7. Выявлена нестабильность работы ЗИФ в отдельные периоды по выполнению технологических показателей, что привело сверхнормативным потерям за весь период работы КОК составили 5,543 тонны золота.</w:t>
      </w:r>
    </w:p>
    <w:p>
      <w:pPr>
        <w:spacing w:after="120"/>
        <w:jc w:val="both"/>
      </w:pPr>
      <w:r>
        <w:rPr>
          <w:rFonts w:ascii="Arial" w:cs="Arial" w:eastAsia="Arial" w:hAnsi="Arial"/>
          <w:sz w:val="24"/>
          <w:szCs w:val="24"/>
        </w:rPr>
        <w:t xml:space="preserve">8. КОК не введена система оборотного водоснабжения ЗИФ, предусмотренная в ТЭО.</w:t>
      </w:r>
    </w:p>
    <w:p>
      <w:pPr>
        <w:spacing w:after="120"/>
        <w:jc w:val="both"/>
      </w:pPr>
      <w:r>
        <w:rPr>
          <w:rFonts w:ascii="Arial" w:cs="Arial" w:eastAsia="Arial" w:hAnsi="Arial"/>
          <w:sz w:val="24"/>
          <w:szCs w:val="24"/>
        </w:rPr>
        <w:t xml:space="preserve">9. Акт о приемке в эксплуатацию был подписан несмотря на то, что хвостохранилище не соответствовало условиям эксплуатации - обнаружена подвижка дамбы и просачивание цианидов.</w:t>
      </w:r>
    </w:p>
    <w:p>
      <w:pPr>
        <w:spacing w:after="120"/>
        <w:jc w:val="both"/>
      </w:pPr>
      <w:r>
        <w:rPr>
          <w:rFonts w:ascii="Arial" w:cs="Arial" w:eastAsia="Arial" w:hAnsi="Arial"/>
          <w:sz w:val="24"/>
          <w:szCs w:val="24"/>
        </w:rPr>
        <w:t xml:space="preserve">КОК на укрепительные работы уже затратил более 43 млн. долл.США, тогда как на строительство нового хвостохранилища потребуется 60-70 млн. долларов США.</w:t>
      </w:r>
    </w:p>
    <w:p>
      <w:pPr>
        <w:spacing w:after="120"/>
        <w:jc w:val="both"/>
      </w:pPr>
      <w:r>
        <w:rPr>
          <w:rFonts w:ascii="Arial" w:cs="Arial" w:eastAsia="Arial" w:hAnsi="Arial"/>
          <w:sz w:val="24"/>
          <w:szCs w:val="24"/>
        </w:rPr>
        <w:t xml:space="preserve">10. В настоящее время происходит прирост объема воды в озере Петрова (1,8 млн. куб.м/год) и растет вероятность прорыва естественной плотины озера, что создает угрозу хвостохранилищу.</w:t>
      </w:r>
    </w:p>
    <w:p>
      <w:pPr>
        <w:spacing w:after="120"/>
        <w:jc w:val="both"/>
      </w:pPr>
      <w:r>
        <w:rPr>
          <w:rFonts w:ascii="Arial" w:cs="Arial" w:eastAsia="Arial" w:hAnsi="Arial"/>
          <w:sz w:val="24"/>
          <w:szCs w:val="24"/>
        </w:rPr>
        <w:t xml:space="preserve">Если не предпринять меры по предотвращению формирования селя при неотвратимом прорыве озера Петрова, не удастся избежать экологической катастрофы регионального масштаба в виде загрязнения бассейна реки Нарын цианидами из "Кумторского" хвостохранилища.</w:t>
      </w:r>
    </w:p>
    <w:p>
      <w:pPr>
        <w:spacing w:after="120"/>
        <w:jc w:val="both"/>
      </w:pPr>
      <w:r>
        <w:rPr>
          <w:rFonts w:ascii="Arial" w:cs="Arial" w:eastAsia="Arial" w:hAnsi="Arial"/>
          <w:sz w:val="24"/>
          <w:szCs w:val="24"/>
        </w:rPr>
        <w:t xml:space="preserve">11. Выявлены многочисленные нарушения законодательства об обращении с отходами. КОК не построил специальные места, полигонов для размещения токсичных и нетоксичных отходов, мониторинг мест размещения отходов не проводится, план мониторинга не составляется, отсутствует проект размещения отходов, не производится плата за их размещение.</w:t>
      </w:r>
    </w:p>
    <w:p>
      <w:pPr>
        <w:spacing w:after="120"/>
        <w:jc w:val="both"/>
      </w:pPr>
      <w:r>
        <w:rPr>
          <w:rFonts w:ascii="Arial" w:cs="Arial" w:eastAsia="Arial" w:hAnsi="Arial"/>
          <w:sz w:val="24"/>
          <w:szCs w:val="24"/>
        </w:rPr>
        <w:t xml:space="preserve">12. КОК постоянно осуществляет забор воды из оз.Петрова на промышленные и бытовые нужды без соответствующей оплаты.</w:t>
      </w:r>
    </w:p>
    <w:p>
      <w:pPr>
        <w:spacing w:after="120"/>
        <w:jc w:val="both"/>
      </w:pPr>
      <w:r>
        <w:rPr>
          <w:rFonts w:ascii="Arial" w:cs="Arial" w:eastAsia="Arial" w:hAnsi="Arial"/>
          <w:sz w:val="24"/>
          <w:szCs w:val="24"/>
        </w:rPr>
        <w:t xml:space="preserve">13. Отмечается значительное отрицательное влияние деятельности КОК на состояние окружающей среды, выходящее далеко за пределы границ месторождения, в частности, сокращаются особо ценные виды растений, занесенные в Красную книгу.</w:t>
      </w:r>
    </w:p>
    <w:p>
      <w:pPr>
        <w:spacing w:after="120"/>
        <w:jc w:val="both"/>
      </w:pPr>
      <w:r>
        <w:rPr>
          <w:rFonts w:ascii="Arial" w:cs="Arial" w:eastAsia="Arial" w:hAnsi="Arial"/>
          <w:sz w:val="24"/>
          <w:szCs w:val="24"/>
        </w:rPr>
        <w:t xml:space="preserve">14. Отсутствует проект рекультивации объектов рудника после вывода его из эксплуатации. Правительством необоснованно взяло на себя обязательство по проведению рекультивационных работ взамен на передачу активов Трастового фонда Рекультивации Правительству.</w:t>
      </w:r>
    </w:p>
    <w:p>
      <w:pPr>
        <w:spacing w:after="120"/>
        <w:jc w:val="both"/>
      </w:pPr>
      <w:r>
        <w:rPr>
          <w:rFonts w:ascii="Arial" w:cs="Arial" w:eastAsia="Arial" w:hAnsi="Arial"/>
          <w:sz w:val="24"/>
          <w:szCs w:val="24"/>
        </w:rPr>
        <w:t xml:space="preserve">Со стороны КОК не определены, объемы предстоящих работ, размер ежегодного отчисления финансовых средств для рекультивационных мероприятий в трастовый фонд.</w:t>
      </w:r>
    </w:p>
    <w:p>
      <w:pPr>
        <w:spacing w:after="120"/>
        <w:jc w:val="both"/>
      </w:pPr>
      <w:r>
        <w:rPr>
          <w:rFonts w:ascii="Arial" w:cs="Arial" w:eastAsia="Arial" w:hAnsi="Arial"/>
          <w:sz w:val="24"/>
          <w:szCs w:val="24"/>
        </w:rPr>
        <w:t xml:space="preserve">Согласно подпункта (iii) пункта 5.4. Соглашения о новых условиях Правительство взяло на себя обязательство по проведению работ рекультивации взамен на передачу активов Трастового фонда Рекультивации Правительству.</w:t>
      </w:r>
    </w:p>
    <w:p>
      <w:pPr>
        <w:spacing w:after="120"/>
        <w:jc w:val="both"/>
      </w:pPr>
      <w:r>
        <w:rPr>
          <w:rFonts w:ascii="Arial" w:cs="Arial" w:eastAsia="Arial" w:hAnsi="Arial"/>
          <w:sz w:val="24"/>
          <w:szCs w:val="24"/>
        </w:rPr>
        <w:t xml:space="preserve">Государственная комиссия отмечает, такое обязательство, в отсутствии технического проекта рекультивации, оценки необходимых ресурсов на выполнение рекультивационных работ, может привести к тому, что Правительство будет проводить рекультивацию за счет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Выводы по социально-экономической части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момента создания Центерры по настоящее время (за 8 лет) не решена стратегическая проблема концентрации и зависимости от одного месторождения - "Кумтор", которое дает 90% денежного потока Центерры. С приближением конца отработки месторождения проекта Бору Центерра остается с единственным действующим активом - "Кумтор" и, практически, только с доходов "Кумтора" будут финансироваться приобретения новых месторождений, все капитальные, а также операционные расходы, как на Центерру, так и на другие операционные компании.</w:t>
      </w:r>
    </w:p>
    <w:p>
      <w:pPr>
        <w:spacing w:after="120"/>
        <w:jc w:val="both"/>
      </w:pPr>
      <w:r>
        <w:rPr>
          <w:rFonts w:ascii="Arial" w:cs="Arial" w:eastAsia="Arial" w:hAnsi="Arial"/>
          <w:sz w:val="24"/>
          <w:szCs w:val="24"/>
        </w:rPr>
        <w:t xml:space="preserve">Кыргызалтын, будучи самым крупным акционером и владея 32,75% акций Центерры, де факто, реализует права владельца мелкого пакета акций. Кыргызалтын "неэффективен" в вопросах влияния и контроля на КГК и КОК, в особенности в части управления.</w:t>
      </w:r>
    </w:p>
    <w:p>
      <w:pPr>
        <w:spacing w:after="120"/>
        <w:jc w:val="both"/>
      </w:pPr>
      <w:r>
        <w:rPr>
          <w:rFonts w:ascii="Arial" w:cs="Arial" w:eastAsia="Arial" w:hAnsi="Arial"/>
          <w:sz w:val="24"/>
          <w:szCs w:val="24"/>
        </w:rPr>
        <w:t xml:space="preserve">Управленцы Центерры с 2004 по 2010 год допустили убытков по проекту РЕН на 11,5 млн. долл.США, что как минимум, должно считаться слабым и неэффективным менеджментом и в целом, можно отметить, что управление в Центерре неэффективное.</w:t>
      </w:r>
    </w:p>
    <w:p>
      <w:pPr>
        <w:spacing w:after="120"/>
        <w:jc w:val="both"/>
      </w:pPr>
      <w:r>
        <w:rPr>
          <w:rFonts w:ascii="Arial" w:cs="Arial" w:eastAsia="Arial" w:hAnsi="Arial"/>
          <w:sz w:val="24"/>
          <w:szCs w:val="24"/>
        </w:rPr>
        <w:t xml:space="preserve">1) По соглашениям от 1992-94 годов (подписывали Чынгышев Т., Давлетов М.). Вся схема финансирования и управления проектом была построена таким образом, что Камеко, КОК и КГК в отличие от КР, получали стабильные денежные потоки и их интересы были хорошо защищены с точки зрения рисков и управления. Принятая на то время формула "долевого" участия, когда чистая прибыль делилась между участниками, не соответствовала интересам КР, при этом налоговые каникулы составляли 5 лет после промышленной добычи, а после их окончания предусматривались возмещения по части налогов.</w:t>
      </w:r>
    </w:p>
    <w:p>
      <w:pPr>
        <w:spacing w:after="120"/>
        <w:jc w:val="both"/>
      </w:pPr>
      <w:r>
        <w:rPr>
          <w:rFonts w:ascii="Arial" w:cs="Arial" w:eastAsia="Arial" w:hAnsi="Arial"/>
          <w:sz w:val="24"/>
          <w:szCs w:val="24"/>
        </w:rPr>
        <w:t xml:space="preserve">Несмотря что 2/3 проекта и управление через исполнительный комитет и Совет директоров КГК и КОК была за КР, важные решения принимались не менее чем 4/5 акционеров (80%), то есть в любом случае с одобрения Камеко. Также, увеличение расходов на постройку фабрики по сравнению с первоначальным ТЭО составило 175,6 млн. долл.США.</w:t>
      </w:r>
    </w:p>
    <w:p>
      <w:pPr>
        <w:spacing w:after="120"/>
        <w:jc w:val="both"/>
      </w:pPr>
      <w:r>
        <w:rPr>
          <w:rFonts w:ascii="Arial" w:cs="Arial" w:eastAsia="Arial" w:hAnsi="Arial"/>
          <w:sz w:val="24"/>
          <w:szCs w:val="24"/>
        </w:rPr>
        <w:t xml:space="preserve">2) По соглашениям от 2003-04 годов (подписывали Танаев Н., Кудайбергенов К.). "Кумтор" был основным активом в Центерре, при создании которой потенциал "Кумтора" был занижен, а по другим месторождениям, которыми владела Камеко, оценки и оплата за оставшиеся доли до 100% (Бору/Гацуурт) были завышены. В результате принятых изменений потери КР были оценочно в пределах 11-13% доли акций в Центерре.</w:t>
      </w:r>
    </w:p>
    <w:p>
      <w:pPr>
        <w:spacing w:after="120"/>
        <w:jc w:val="both"/>
      </w:pPr>
      <w:r>
        <w:rPr>
          <w:rFonts w:ascii="Arial" w:cs="Arial" w:eastAsia="Arial" w:hAnsi="Arial"/>
          <w:sz w:val="24"/>
          <w:szCs w:val="24"/>
        </w:rPr>
        <w:t xml:space="preserve">Более того, Кыргызалтын в конце процесса реструктуризации, после продажи 7,5 млн. акций, остался с 15,66% долей в Центерре. В целом, изменения соглашений от 2003-04 годов были самыми невыгодными с точки зрения интересов КР, и весь процесс согласований не может не рассматриваться как без влияния высших должностных лиц КР, включая руководство Кыргызалтына и вовлеченности в коррупцию.</w:t>
      </w:r>
    </w:p>
    <w:p>
      <w:pPr>
        <w:spacing w:after="120"/>
        <w:jc w:val="both"/>
      </w:pPr>
      <w:r>
        <w:rPr>
          <w:rFonts w:ascii="Arial" w:cs="Arial" w:eastAsia="Arial" w:hAnsi="Arial"/>
          <w:sz w:val="24"/>
          <w:szCs w:val="24"/>
        </w:rPr>
        <w:t xml:space="preserve">3) По соглашениям от 2009 года (подписывали Чудинов И., Джакыпов А.). По сравнению с соглашениями от 2003-04 года, Кыргызалтын улучшил свои позиции путем увеличения доли в Центерре с 15,66% до 32,75%, более оптимального налогового режима, получения различных выплат.</w:t>
      </w:r>
    </w:p>
    <w:p>
      <w:pPr>
        <w:spacing w:after="120"/>
        <w:jc w:val="both"/>
      </w:pPr>
      <w:r>
        <w:rPr>
          <w:rFonts w:ascii="Arial" w:cs="Arial" w:eastAsia="Arial" w:hAnsi="Arial"/>
          <w:sz w:val="24"/>
          <w:szCs w:val="24"/>
        </w:rPr>
        <w:t xml:space="preserve">Это было сделано за счет расширения концессионной площади в 2009 году на 16,3 тыс. га и прироста резервов на 40,43 тонны золота (в Центральном участке). При этом базой или основой сравнения новых условий соглашения от 2009 являются соглашения от 2003-04 года, которые значительно ухудшили интересы КР даже в сравнении с соглашениями 1992-94 годов. В целом, можно отметить, что оценочно доля Кыргызалтына в Центерре (передача акций Центерры Кыргызалтыну Камеко) была в денежной форме откорректирована только на прирост резервов "Кумтора", причитающийся КР. Нужно учитывать, что по проекту "Кумтор" в 2009 году было расширение концессионной площади на 16,3 тыс. га, включая Коендинский и Карасайский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Соглашение о новых условиях подписанное между Правительством Кыргызской Республики, ОАО "Кыргызалтын", компанией "Центерра Голд Инк.", ЗАО "Кумтор Голд Инк.", ЗАО "Кумтор Оперейтинг Компани" и "Камеко Корпорэйшн" от 24 апреля 2009 года заключено в нарушение действующего законодательства, не отражает интересов Кыргызской Республики, ограничивает полномочия Президента, Жогорку Кенеша, Правительства, иных органов и должностных лиц, исходя из этого и согласно поручениям указанными в постановлениях Жогорку Кенеша и Правительства Государственная комиссия рекомендует:</w:t>
      </w:r>
    </w:p>
    <w:p>
      <w:pPr>
        <w:spacing w:after="120"/>
        <w:jc w:val="both"/>
      </w:pPr>
      <w:r>
        <w:rPr>
          <w:rFonts w:ascii="Arial" w:cs="Arial" w:eastAsia="Arial" w:hAnsi="Arial"/>
          <w:sz w:val="24"/>
          <w:szCs w:val="24"/>
        </w:rPr>
        <w:t xml:space="preserve">I) Правительству Кыргызской Республики:</w:t>
      </w:r>
    </w:p>
    <w:p>
      <w:pPr>
        <w:spacing w:after="120"/>
        <w:jc w:val="both"/>
      </w:pPr>
      <w:r>
        <w:rPr>
          <w:rFonts w:ascii="Arial" w:cs="Arial" w:eastAsia="Arial" w:hAnsi="Arial"/>
          <w:sz w:val="24"/>
          <w:szCs w:val="24"/>
        </w:rPr>
        <w:t xml:space="preserve">1. Провести переговоры с компанией "Центерра Голд Инк." о расторжении соглашений 2009 года по проекту "Кумтор".</w:t>
      </w:r>
    </w:p>
    <w:p>
      <w:pPr>
        <w:spacing w:after="120"/>
        <w:jc w:val="both"/>
      </w:pPr>
      <w:r>
        <w:rPr>
          <w:rFonts w:ascii="Arial" w:cs="Arial" w:eastAsia="Arial" w:hAnsi="Arial"/>
          <w:sz w:val="24"/>
          <w:szCs w:val="24"/>
        </w:rPr>
        <w:t xml:space="preserve">2. В течение трех месяцев после рассмотрения отчета Государственной комиссии Жогорку Кенешем провести переговоры по заключению новых соглашений в соответствии с законодательством Кыргызской Республики с учетом следующих критериев:</w:t>
      </w:r>
    </w:p>
    <w:p>
      <w:pPr>
        <w:spacing w:after="120"/>
        <w:jc w:val="both"/>
      </w:pPr>
      <w:r>
        <w:rPr>
          <w:rFonts w:ascii="Arial" w:cs="Arial" w:eastAsia="Arial" w:hAnsi="Arial"/>
          <w:sz w:val="24"/>
          <w:szCs w:val="24"/>
        </w:rPr>
        <w:t xml:space="preserve">- пересмотреть ежегодную фиксированную плату в размере 310 тыс. долларов США за загрязнение окружающей среды в сторону увеличения, с пересчетом фактической платы согласно нормам действующего законодательства Кыргызской Республики;</w:t>
      </w:r>
    </w:p>
    <w:p>
      <w:pPr>
        <w:spacing w:after="120"/>
        <w:jc w:val="both"/>
      </w:pPr>
      <w:r>
        <w:rPr>
          <w:rFonts w:ascii="Arial" w:cs="Arial" w:eastAsia="Arial" w:hAnsi="Arial"/>
          <w:sz w:val="24"/>
          <w:szCs w:val="24"/>
        </w:rPr>
        <w:t xml:space="preserve">- предусмотреть обязанность КГК выполнить все работы по рекультивации объекта после завершения работ на руднике "Кумтор";</w:t>
      </w:r>
    </w:p>
    <w:p>
      <w:pPr>
        <w:spacing w:after="120"/>
        <w:jc w:val="both"/>
      </w:pPr>
      <w:r>
        <w:rPr>
          <w:rFonts w:ascii="Arial" w:cs="Arial" w:eastAsia="Arial" w:hAnsi="Arial"/>
          <w:sz w:val="24"/>
          <w:szCs w:val="24"/>
        </w:rPr>
        <w:t xml:space="preserve">- предусмотреть обязанность КГК разработать технический проект рекультивации объектов в соответствии с законодательством Кыргызской Республики об охране окружающей среды и о недрах, на основании технического проекта определить объем финансовых средств Фонда рекультивации для рекультивации объектов проекта "Кумтор";</w:t>
      </w:r>
    </w:p>
    <w:p>
      <w:pPr>
        <w:spacing w:after="120"/>
        <w:jc w:val="both"/>
      </w:pPr>
      <w:r>
        <w:rPr>
          <w:rFonts w:ascii="Arial" w:cs="Arial" w:eastAsia="Arial" w:hAnsi="Arial"/>
          <w:sz w:val="24"/>
          <w:szCs w:val="24"/>
        </w:rPr>
        <w:t xml:space="preserve">- изменить налоговый режим проекта "Кумтор", т.е. перейти на налогообложение согласно законодательству Кыргызской Республики;</w:t>
      </w:r>
    </w:p>
    <w:p>
      <w:pPr>
        <w:spacing w:after="120"/>
        <w:jc w:val="both"/>
      </w:pPr>
      <w:r>
        <w:rPr>
          <w:rFonts w:ascii="Arial" w:cs="Arial" w:eastAsia="Arial" w:hAnsi="Arial"/>
          <w:sz w:val="24"/>
          <w:szCs w:val="24"/>
        </w:rPr>
        <w:t xml:space="preserve">- предусмотреть уплату всех платежей, сборов, отчислений, согласно действующему законодательству Кыргызской Республики;</w:t>
      </w:r>
    </w:p>
    <w:p>
      <w:pPr>
        <w:spacing w:after="120"/>
        <w:jc w:val="both"/>
      </w:pPr>
      <w:r>
        <w:rPr>
          <w:rFonts w:ascii="Arial" w:cs="Arial" w:eastAsia="Arial" w:hAnsi="Arial"/>
          <w:sz w:val="24"/>
          <w:szCs w:val="24"/>
        </w:rPr>
        <w:t xml:space="preserve">- расторгнуть пересмотренный Концессионный договор от 6 июня 2009 года, с переходом на лицензионное соглашение.</w:t>
      </w:r>
    </w:p>
    <w:p>
      <w:pPr>
        <w:spacing w:after="120"/>
        <w:jc w:val="both"/>
      </w:pPr>
      <w:r>
        <w:rPr>
          <w:rFonts w:ascii="Arial" w:cs="Arial" w:eastAsia="Arial" w:hAnsi="Arial"/>
          <w:sz w:val="24"/>
          <w:szCs w:val="24"/>
        </w:rPr>
        <w:t xml:space="preserve">3. Через уполномоченный государственный орган внести на рассмотрение акционера компании "Центерра Голд Инк." - ОАО "Кыргызалтын" - следующие вопросы:</w:t>
      </w:r>
    </w:p>
    <w:p>
      <w:pPr>
        <w:spacing w:after="120"/>
        <w:jc w:val="both"/>
      </w:pPr>
      <w:r>
        <w:rPr>
          <w:rFonts w:ascii="Arial" w:cs="Arial" w:eastAsia="Arial" w:hAnsi="Arial"/>
          <w:sz w:val="24"/>
          <w:szCs w:val="24"/>
        </w:rPr>
        <w:t xml:space="preserve">- об образовании одной управляющей компании проектом "Кумтор" путем слияния КГК и КОК;</w:t>
      </w:r>
    </w:p>
    <w:p>
      <w:pPr>
        <w:spacing w:after="120"/>
        <w:jc w:val="both"/>
      </w:pPr>
      <w:r>
        <w:rPr>
          <w:rFonts w:ascii="Arial" w:cs="Arial" w:eastAsia="Arial" w:hAnsi="Arial"/>
          <w:sz w:val="24"/>
          <w:szCs w:val="24"/>
        </w:rPr>
        <w:t xml:space="preserve">- об увеличении представительства кыргызской стороны в совете директоров компании "Центерра" пропорционально доли акций в "Центерре" (до 4-х из 12), по представлению кыргызской стороны;</w:t>
      </w:r>
    </w:p>
    <w:p>
      <w:pPr>
        <w:spacing w:after="120"/>
        <w:jc w:val="both"/>
      </w:pPr>
      <w:r>
        <w:rPr>
          <w:rFonts w:ascii="Arial" w:cs="Arial" w:eastAsia="Arial" w:hAnsi="Arial"/>
          <w:sz w:val="24"/>
          <w:szCs w:val="24"/>
        </w:rPr>
        <w:t xml:space="preserve">- о пересмотре состава органов управления КГК, а в дальнейшем в единой управляющей компании, таким образом, чтобы в течение 2013-2014-годов вице-президентами компании были назначены граждане Кыргызской Республики; а в течение 2015 года главой исполнительного органа - президентом - был назначен гражданин Кыргызской Республики по представлению кыргызской стороны;</w:t>
      </w:r>
    </w:p>
    <w:p>
      <w:pPr>
        <w:spacing w:after="120"/>
        <w:jc w:val="both"/>
      </w:pPr>
      <w:r>
        <w:rPr>
          <w:rFonts w:ascii="Arial" w:cs="Arial" w:eastAsia="Arial" w:hAnsi="Arial"/>
          <w:sz w:val="24"/>
          <w:szCs w:val="24"/>
        </w:rPr>
        <w:t xml:space="preserve">- об увеличении представительства кыргызской стороны на руководящих должностях в исполнительном органе компании "Центерра".</w:t>
      </w:r>
    </w:p>
    <w:p>
      <w:pPr>
        <w:spacing w:after="120"/>
        <w:jc w:val="both"/>
      </w:pPr>
      <w:r>
        <w:rPr>
          <w:rFonts w:ascii="Arial" w:cs="Arial" w:eastAsia="Arial" w:hAnsi="Arial"/>
          <w:sz w:val="24"/>
          <w:szCs w:val="24"/>
        </w:rPr>
        <w:t xml:space="preserve">4. КОК и КГК устранить выявленные в ходе проверки Государственной комиссией и уполномоченными органами, экологические и технические нарушения, в частности:</w:t>
      </w:r>
    </w:p>
    <w:p>
      <w:pPr>
        <w:spacing w:after="120"/>
        <w:jc w:val="both"/>
      </w:pPr>
      <w:r>
        <w:rPr>
          <w:rFonts w:ascii="Arial" w:cs="Arial" w:eastAsia="Arial" w:hAnsi="Arial"/>
          <w:sz w:val="24"/>
          <w:szCs w:val="24"/>
        </w:rPr>
        <w:t xml:space="preserve">- ввести в действие предусмотренную ТЭО систему полного оборотного водоснабжения ЗИФ, со сроком исполнения 2015 год (включительно);</w:t>
      </w:r>
    </w:p>
    <w:p>
      <w:pPr>
        <w:spacing w:after="120"/>
        <w:jc w:val="both"/>
      </w:pPr>
      <w:r>
        <w:rPr>
          <w:rFonts w:ascii="Arial" w:cs="Arial" w:eastAsia="Arial" w:hAnsi="Arial"/>
          <w:sz w:val="24"/>
          <w:szCs w:val="24"/>
        </w:rPr>
        <w:t xml:space="preserve">- осуществить строительство нового хвостохранилища, со сроком исполнения 2015 год (включительно);</w:t>
      </w:r>
    </w:p>
    <w:p>
      <w:pPr>
        <w:spacing w:after="120"/>
        <w:jc w:val="both"/>
      </w:pPr>
      <w:r>
        <w:rPr>
          <w:rFonts w:ascii="Arial" w:cs="Arial" w:eastAsia="Arial" w:hAnsi="Arial"/>
          <w:sz w:val="24"/>
          <w:szCs w:val="24"/>
        </w:rPr>
        <w:t xml:space="preserve">- осуществить регулируемое снижение уровня воды в озере Петрова до безопасного объема при одновременном мониторинге прорывоопасного участка плотины у Голубого залива. Срок исполнения 2013-2014 годы;</w:t>
      </w:r>
    </w:p>
    <w:p>
      <w:pPr>
        <w:spacing w:after="120"/>
        <w:jc w:val="both"/>
      </w:pPr>
      <w:r>
        <w:rPr>
          <w:rFonts w:ascii="Arial" w:cs="Arial" w:eastAsia="Arial" w:hAnsi="Arial"/>
          <w:sz w:val="24"/>
          <w:szCs w:val="24"/>
        </w:rPr>
        <w:t xml:space="preserve">- приступить к масштабным исследованиям по эффективному извлечению золота и комплексному извлечению сопутствующих компонентов из руды, со сроком исполнения 2013 год (включительно);</w:t>
      </w:r>
    </w:p>
    <w:p>
      <w:pPr>
        <w:spacing w:after="120"/>
        <w:jc w:val="both"/>
      </w:pPr>
      <w:r>
        <w:rPr>
          <w:rFonts w:ascii="Arial" w:cs="Arial" w:eastAsia="Arial" w:hAnsi="Arial"/>
          <w:sz w:val="24"/>
          <w:szCs w:val="24"/>
        </w:rPr>
        <w:t xml:space="preserve">- для проведения исследований почвы и растительного покрова в зоне влияния деятельности КГК по рекомендации БПИ НАН КР осуществить:</w:t>
      </w:r>
    </w:p>
    <w:p>
      <w:pPr>
        <w:spacing w:after="120"/>
        <w:jc w:val="both"/>
      </w:pPr>
      <w:r>
        <w:rPr>
          <w:rFonts w:ascii="Arial" w:cs="Arial" w:eastAsia="Arial" w:hAnsi="Arial"/>
          <w:sz w:val="24"/>
          <w:szCs w:val="24"/>
        </w:rPr>
        <w:t xml:space="preserve">a) мероприятия по пылеподавлению;</w:t>
      </w:r>
    </w:p>
    <w:p>
      <w:pPr>
        <w:spacing w:after="120"/>
        <w:jc w:val="both"/>
      </w:pPr>
      <w:r>
        <w:rPr>
          <w:rFonts w:ascii="Arial" w:cs="Arial" w:eastAsia="Arial" w:hAnsi="Arial"/>
          <w:sz w:val="24"/>
          <w:szCs w:val="24"/>
        </w:rPr>
        <w:t xml:space="preserve">b) асфальтирование 20 км автодороги (от трассы Балыкчы-Каракол до экологического поста "Сары-Мойнок");</w:t>
      </w:r>
    </w:p>
    <w:p>
      <w:pPr>
        <w:spacing w:after="120"/>
        <w:jc w:val="both"/>
      </w:pPr>
      <w:r>
        <w:rPr>
          <w:rFonts w:ascii="Arial" w:cs="Arial" w:eastAsia="Arial" w:hAnsi="Arial"/>
          <w:sz w:val="24"/>
          <w:szCs w:val="24"/>
        </w:rPr>
        <w:t xml:space="preserve">c) мониторинг по установлению численности и сохранению занесенного в Красную Книгу вида - Tulipa tetraphylla (тюльпан четырехлистный) в ущ.Барскоон и Taraxacum syrtorum (Одуванчик сыртовый) - эндемика Кыргызстана в долине р."Арабель", р."Кумтор";</w:t>
      </w:r>
    </w:p>
    <w:p>
      <w:pPr>
        <w:spacing w:after="120"/>
        <w:jc w:val="both"/>
      </w:pPr>
      <w:r>
        <w:rPr>
          <w:rFonts w:ascii="Arial" w:cs="Arial" w:eastAsia="Arial" w:hAnsi="Arial"/>
          <w:sz w:val="24"/>
          <w:szCs w:val="24"/>
        </w:rPr>
        <w:t xml:space="preserve">- создать научно-производственный центр рудника "Кумтор" - для решения технологических процессов и ведения горных работ, обеспечения эффективности охраны окружающей среды, сохранения биоразнообразия;</w:t>
      </w:r>
    </w:p>
    <w:p>
      <w:pPr>
        <w:spacing w:after="120"/>
        <w:jc w:val="both"/>
      </w:pPr>
      <w:r>
        <w:rPr>
          <w:rFonts w:ascii="Arial" w:cs="Arial" w:eastAsia="Arial" w:hAnsi="Arial"/>
          <w:sz w:val="24"/>
          <w:szCs w:val="24"/>
        </w:rPr>
        <w:t xml:space="preserve">- создать лабораторию для проведения химических анализов воды реки Нарын;</w:t>
      </w:r>
    </w:p>
    <w:p>
      <w:pPr>
        <w:spacing w:after="120"/>
        <w:jc w:val="both"/>
      </w:pPr>
      <w:r>
        <w:rPr>
          <w:rFonts w:ascii="Arial" w:cs="Arial" w:eastAsia="Arial" w:hAnsi="Arial"/>
          <w:sz w:val="24"/>
          <w:szCs w:val="24"/>
        </w:rPr>
        <w:t xml:space="preserve">- запретить размещение породных отвалов на ледниках и складировать их в местах, определенных в ТЭО;</w:t>
      </w:r>
    </w:p>
    <w:p>
      <w:pPr>
        <w:spacing w:after="120"/>
        <w:jc w:val="both"/>
      </w:pPr>
      <w:r>
        <w:rPr>
          <w:rFonts w:ascii="Arial" w:cs="Arial" w:eastAsia="Arial" w:hAnsi="Arial"/>
          <w:sz w:val="24"/>
          <w:szCs w:val="24"/>
        </w:rPr>
        <w:t xml:space="preserve">- разработать технический проект на последующую доработку месторождения открытым и подземным способом;</w:t>
      </w:r>
    </w:p>
    <w:p>
      <w:pPr>
        <w:spacing w:after="120"/>
        <w:jc w:val="both"/>
      </w:pPr>
      <w:r>
        <w:rPr>
          <w:rFonts w:ascii="Arial" w:cs="Arial" w:eastAsia="Arial" w:hAnsi="Arial"/>
          <w:sz w:val="24"/>
          <w:szCs w:val="24"/>
        </w:rPr>
        <w:t xml:space="preserve">- обеспечить строительство и эксплуатацию предприятия по очистке промышленных стоков из карьеров и отвалов - у подошвы ледников "Лысый", "Давыдова" и "Кичи-Сарытор" в соответствии с ТЭО, со сроком исполнения 2013-2014 годы.</w:t>
      </w:r>
    </w:p>
    <w:p>
      <w:pPr>
        <w:spacing w:after="120"/>
        <w:jc w:val="both"/>
      </w:pPr>
      <w:r>
        <w:rPr>
          <w:rFonts w:ascii="Arial" w:cs="Arial" w:eastAsia="Arial" w:hAnsi="Arial"/>
          <w:sz w:val="24"/>
          <w:szCs w:val="24"/>
        </w:rPr>
        <w:t xml:space="preserve">5. Урегулировать вопрос земельного участка месторождения "Кумтор", т.к. 5 июля 2012 года Правительством принято постановление(22) (подписал О.Бабанов), согласно которому КГК фактически осуществляет деятельность без земельного участка, однако в соответствии с Пересмотренным концессионным договором от 2009 года предоставленная концессионная площадь представляет собой всю территорию, предусмотренную лицензией КГК на геологическое изучение недр и разработку месторождения полезных ископаемых № 79-97 от 8 декабря 2005 года.</w:t>
      </w:r>
    </w:p>
    <w:p>
      <w:pPr>
        <w:spacing w:after="120"/>
        <w:jc w:val="both"/>
      </w:pPr>
      <w:r>
        <w:rPr>
          <w:rFonts w:ascii="Arial" w:cs="Arial" w:eastAsia="Arial" w:hAnsi="Arial"/>
          <w:sz w:val="24"/>
          <w:szCs w:val="24"/>
        </w:rPr>
        <w:t xml:space="preserve">6. Необходимо реформировать управление долей ОАО "Кыргызалтын" в компании "Центерра Голд Инк.", где ОАО "Кыргызалтын", в рамках своих получаемых вознаграждений, должен оказывать только консультационные и торговые услуги, включая покупку сплава золота и серебра по проекту "Кумтор".</w:t>
      </w:r>
    </w:p>
    <w:p>
      <w:pPr>
        <w:spacing w:after="120"/>
        <w:jc w:val="both"/>
      </w:pPr>
      <w:r>
        <w:rPr>
          <w:rFonts w:ascii="Arial" w:cs="Arial" w:eastAsia="Arial" w:hAnsi="Arial"/>
          <w:sz w:val="24"/>
          <w:szCs w:val="24"/>
        </w:rPr>
        <w:t xml:space="preserve">Передать из ОАО "Кыргызалтын" пакет акций компании "Центерра Голд Инк." в новое юридическое лицо - государственную управляющую компанию с эффективной корпоративной структурой и современным менеджментом для улучшения эффективности корпоративного управления и привлечения инвестиций. В целом, необходимо реформирование ОАО "Кыргызалтын" с выделением перспективных инвестиционных активов, эффективно управлять которыми ОАО "Кыргызалтын", практически, не в состоянии, в государственную управляющую компанию.</w:t>
      </w:r>
    </w:p>
    <w:p>
      <w:pPr>
        <w:spacing w:after="120"/>
        <w:jc w:val="both"/>
      </w:pPr>
      <w:r>
        <w:rPr>
          <w:rFonts w:ascii="Arial" w:cs="Arial" w:eastAsia="Arial" w:hAnsi="Arial"/>
          <w:sz w:val="24"/>
          <w:szCs w:val="24"/>
        </w:rPr>
        <w:t xml:space="preserve">7. Рассмотреть вопрос справедливой компенсации за расширение концессионной площади, согласно пакета соглашений от 2009 года, по проекту "Кумтор". Необходимо выплатить компенсацию за изъятые земли собственнику земельного участка.</w:t>
      </w:r>
    </w:p>
    <w:p>
      <w:pPr>
        <w:spacing w:after="120"/>
        <w:jc w:val="both"/>
      </w:pPr>
      <w:r>
        <w:rPr>
          <w:rFonts w:ascii="Arial" w:cs="Arial" w:eastAsia="Arial" w:hAnsi="Arial"/>
          <w:sz w:val="24"/>
          <w:szCs w:val="24"/>
        </w:rPr>
        <w:t xml:space="preserve">8. Разработать и внести на рассмотрение Жогорку Кенеша:</w:t>
      </w:r>
    </w:p>
    <w:p>
      <w:pPr>
        <w:spacing w:after="120"/>
        <w:jc w:val="both"/>
      </w:pPr>
      <w:r>
        <w:rPr>
          <w:rFonts w:ascii="Arial" w:cs="Arial" w:eastAsia="Arial" w:hAnsi="Arial"/>
          <w:sz w:val="24"/>
          <w:szCs w:val="24"/>
        </w:rPr>
        <w:t xml:space="preserve">- проект Закона Кыргызской Республики "Об охране и сохранении ледников";</w:t>
      </w:r>
    </w:p>
    <w:p>
      <w:pPr>
        <w:spacing w:after="120"/>
        <w:jc w:val="both"/>
      </w:pPr>
      <w:r>
        <w:rPr>
          <w:rFonts w:ascii="Arial" w:cs="Arial" w:eastAsia="Arial" w:hAnsi="Arial"/>
          <w:sz w:val="24"/>
          <w:szCs w:val="24"/>
        </w:rPr>
        <w:t xml:space="preserve">- проект Закона Кыргызской Республики "О внесении изменений и дополнений в Закон КР "О соглашениях о разделе продукции при недропользовании";</w:t>
      </w:r>
    </w:p>
    <w:p>
      <w:pPr>
        <w:spacing w:after="120"/>
        <w:jc w:val="both"/>
      </w:pPr>
      <w:r>
        <w:rPr>
          <w:rFonts w:ascii="Arial" w:cs="Arial" w:eastAsia="Arial" w:hAnsi="Arial"/>
          <w:sz w:val="24"/>
          <w:szCs w:val="24"/>
        </w:rPr>
        <w:t xml:space="preserve">- проект Закона Кыргызской Республики "О внесении изменений и дополнений в Налоговый </w:t>
      </w:r>
      <w:hyperlink w:history="1" r:id="rIdbzrcmygzw5vuurinkrhy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КР";</w:t>
      </w:r>
    </w:p>
    <w:p>
      <w:pPr>
        <w:spacing w:after="120"/>
        <w:jc w:val="both"/>
      </w:pPr>
      <w:r>
        <w:rPr>
          <w:rFonts w:ascii="Arial" w:cs="Arial" w:eastAsia="Arial" w:hAnsi="Arial"/>
          <w:sz w:val="24"/>
          <w:szCs w:val="24"/>
        </w:rPr>
        <w:t xml:space="preserve">- проект Закона Кыргызской Республики "О внесении изменений и дополнений в некоторые законодательные акты КР".</w:t>
      </w:r>
    </w:p>
    <w:p>
      <w:pPr>
        <w:spacing w:after="120"/>
        <w:jc w:val="both"/>
      </w:pPr>
      <w:r>
        <w:rPr>
          <w:rFonts w:ascii="Arial" w:cs="Arial" w:eastAsia="Arial" w:hAnsi="Arial"/>
          <w:sz w:val="24"/>
          <w:szCs w:val="24"/>
        </w:rPr>
        <w:t xml:space="preserve">9. Инициировать принятие дополнений в </w:t>
      </w:r>
      <w:hyperlink w:history="1" r:id="rIdhrtpyqjmtenfpo20oupw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в частности:</w:t>
      </w:r>
    </w:p>
    <w:p>
      <w:pPr>
        <w:spacing w:after="120"/>
        <w:jc w:val="both"/>
      </w:pPr>
      <w:r>
        <w:rPr>
          <w:rFonts w:ascii="Arial" w:cs="Arial" w:eastAsia="Arial" w:hAnsi="Arial"/>
          <w:sz w:val="24"/>
          <w:szCs w:val="24"/>
        </w:rPr>
        <w:t xml:space="preserve">a. запрета размещения на ледниках твердых и других загрязняющих веществ;</w:t>
      </w:r>
    </w:p>
    <w:p>
      <w:pPr>
        <w:spacing w:after="120"/>
        <w:jc w:val="both"/>
      </w:pPr>
      <w:r>
        <w:rPr>
          <w:rFonts w:ascii="Arial" w:cs="Arial" w:eastAsia="Arial" w:hAnsi="Arial"/>
          <w:sz w:val="24"/>
          <w:szCs w:val="24"/>
        </w:rPr>
        <w:t xml:space="preserve">b. проведения подземным способом разработки полезных ископаемых расположенных под ледниками и в зонах лесных массивов.</w:t>
      </w:r>
    </w:p>
    <w:p>
      <w:pPr>
        <w:spacing w:after="120"/>
        <w:jc w:val="both"/>
      </w:pPr>
      <w:r>
        <w:rPr>
          <w:rFonts w:ascii="Arial" w:cs="Arial" w:eastAsia="Arial" w:hAnsi="Arial"/>
          <w:sz w:val="24"/>
          <w:szCs w:val="24"/>
        </w:rPr>
        <w:t xml:space="preserve">10. Установить категорию ручьев, подверженных техногенным воздействиям хозяйствующих субъектов в целях оценки их загрязнения на всей территории Кыргызской Республики.</w:t>
      </w:r>
    </w:p>
    <w:p>
      <w:pPr>
        <w:spacing w:after="120"/>
        <w:jc w:val="both"/>
      </w:pPr>
      <w:r>
        <w:rPr>
          <w:rFonts w:ascii="Arial" w:cs="Arial" w:eastAsia="Arial" w:hAnsi="Arial"/>
          <w:sz w:val="24"/>
          <w:szCs w:val="24"/>
        </w:rPr>
        <w:t xml:space="preserve">11. Государственная комиссия поддерживает действия Гостехинспекции, в части выданного КГК предписания для устранения выявленных в ходе проверки экологических нарушений. Гостехинспекции проконтролировать возмещение ущерба нанесенного окружающей среде КГК согласно выставленным претензиям.</w:t>
      </w:r>
    </w:p>
    <w:p>
      <w:pPr>
        <w:spacing w:after="120"/>
        <w:jc w:val="both"/>
      </w:pPr>
      <w:r>
        <w:rPr>
          <w:rFonts w:ascii="Arial" w:cs="Arial" w:eastAsia="Arial" w:hAnsi="Arial"/>
          <w:sz w:val="24"/>
          <w:szCs w:val="24"/>
        </w:rPr>
        <w:t xml:space="preserve">12. Минсельхозу рассмотреть вопрос оплаты КГК за использование воды из озера Петрова.</w:t>
      </w:r>
    </w:p>
    <w:p>
      <w:pPr>
        <w:spacing w:after="120"/>
        <w:jc w:val="both"/>
      </w:pPr>
      <w:r>
        <w:rPr>
          <w:rFonts w:ascii="Arial" w:cs="Arial" w:eastAsia="Arial" w:hAnsi="Arial"/>
          <w:sz w:val="24"/>
          <w:szCs w:val="24"/>
        </w:rPr>
        <w:t xml:space="preserve">13. ГАООСиЛХ произвести соответствующие перерасчеты, в связи с допущенными ошибками в расчетах платы за выбросы и размещение отходов (изменение коэффициентов).</w:t>
      </w:r>
    </w:p>
    <w:p>
      <w:pPr>
        <w:spacing w:after="120"/>
        <w:jc w:val="both"/>
      </w:pPr>
      <w:r>
        <w:rPr>
          <w:rFonts w:ascii="Arial" w:cs="Arial" w:eastAsia="Arial" w:hAnsi="Arial"/>
          <w:sz w:val="24"/>
          <w:szCs w:val="24"/>
        </w:rPr>
        <w:t xml:space="preserve">14. КГК разработать социальный пакет, согласно </w:t>
      </w:r>
      <w:hyperlink w:history="1" r:id="rId_jtu-wwb5bo78eaupqeam">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недрах", предусматривающий мероприятия по подготовке кадров, трудоустройству местного населения, строительству инфраструктуры и другие условия.</w:t>
      </w:r>
    </w:p>
    <w:p>
      <w:pPr>
        <w:spacing w:after="120"/>
        <w:jc w:val="both"/>
      </w:pPr>
      <w:r>
        <w:rPr>
          <w:rFonts w:ascii="Arial" w:cs="Arial" w:eastAsia="Arial" w:hAnsi="Arial"/>
          <w:sz w:val="24"/>
          <w:szCs w:val="24"/>
        </w:rPr>
        <w:t xml:space="preserve">II) В случае недостижения согласия по вышеуказанным пунктам рекомендовать Правительству Кыргызской Республики провести следующие действия:</w:t>
      </w:r>
    </w:p>
    <w:p>
      <w:pPr>
        <w:spacing w:after="120"/>
        <w:jc w:val="both"/>
      </w:pPr>
      <w:r>
        <w:rPr>
          <w:rFonts w:ascii="Arial" w:cs="Arial" w:eastAsia="Arial" w:hAnsi="Arial"/>
          <w:sz w:val="24"/>
          <w:szCs w:val="24"/>
        </w:rPr>
        <w:t xml:space="preserve">- инициировать процедуру о признании утратившим силу Закона о ратификации Соглашения о Новых условиях;</w:t>
      </w:r>
    </w:p>
    <w:p>
      <w:pPr>
        <w:spacing w:after="120"/>
        <w:jc w:val="both"/>
      </w:pPr>
      <w:r>
        <w:rPr>
          <w:rFonts w:ascii="Arial" w:cs="Arial" w:eastAsia="Arial" w:hAnsi="Arial"/>
          <w:sz w:val="24"/>
          <w:szCs w:val="24"/>
        </w:rPr>
        <w:t xml:space="preserve">- инициировать процедуру о признании утратившими силу Законов о внесении изменений в Налоговый </w:t>
      </w:r>
      <w:hyperlink w:history="1" r:id="rIdcc9il74omjmk6z8ceylm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от 30 апреля 2009 года № 143 и от 29 мая 2009 года № 175;</w:t>
      </w:r>
    </w:p>
    <w:p>
      <w:pPr>
        <w:spacing w:after="120"/>
        <w:jc w:val="both"/>
      </w:pPr>
      <w:r>
        <w:rPr>
          <w:rFonts w:ascii="Arial" w:cs="Arial" w:eastAsia="Arial" w:hAnsi="Arial"/>
          <w:sz w:val="24"/>
          <w:szCs w:val="24"/>
        </w:rPr>
        <w:t xml:space="preserve">- расторгнуть пересмотренное инвестиционное соглашение от 6 июня 2009 года;</w:t>
      </w:r>
    </w:p>
    <w:p>
      <w:pPr>
        <w:spacing w:after="120"/>
        <w:jc w:val="both"/>
      </w:pPr>
      <w:r>
        <w:rPr>
          <w:rFonts w:ascii="Arial" w:cs="Arial" w:eastAsia="Arial" w:hAnsi="Arial"/>
          <w:sz w:val="24"/>
          <w:szCs w:val="24"/>
        </w:rPr>
        <w:t xml:space="preserve">- расторгнуть пересмотренный концессионный договор от 6 июня 2009 года;</w:t>
      </w:r>
    </w:p>
    <w:p>
      <w:pPr>
        <w:spacing w:after="120"/>
        <w:jc w:val="both"/>
      </w:pPr>
      <w:r>
        <w:rPr>
          <w:rFonts w:ascii="Arial" w:cs="Arial" w:eastAsia="Arial" w:hAnsi="Arial"/>
          <w:sz w:val="24"/>
          <w:szCs w:val="24"/>
        </w:rPr>
        <w:t xml:space="preserve">- расторгнуть иные соглашения, заключенные в рамках проекта "Кумтор";</w:t>
      </w:r>
    </w:p>
    <w:p>
      <w:pPr>
        <w:spacing w:after="120"/>
        <w:jc w:val="both"/>
      </w:pPr>
      <w:r>
        <w:rPr>
          <w:rFonts w:ascii="Arial" w:cs="Arial" w:eastAsia="Arial" w:hAnsi="Arial"/>
          <w:sz w:val="24"/>
          <w:szCs w:val="24"/>
        </w:rPr>
        <w:t xml:space="preserve">- инициировать судебное разбирательство по изъятию земельных участков, в связи с принятием постановления Правительства Кыргызской Республики "Об отмене постановления Правительства Кыргызской Республики "О предоставлении земель ЗАО "Кумтор Голд Компани" от 25 марта 2010 года № 168" от 5 июля 2012 года № 475.</w:t>
      </w:r>
    </w:p>
    <w:p>
      <w:pPr>
        <w:spacing w:after="120"/>
        <w:jc w:val="both"/>
      </w:pPr>
      <w:r>
        <w:rPr>
          <w:rFonts w:ascii="Arial" w:cs="Arial" w:eastAsia="Arial" w:hAnsi="Arial"/>
          <w:sz w:val="24"/>
          <w:szCs w:val="24"/>
        </w:rPr>
        <w:t xml:space="preserve">III) Генеральной прокуратуре Кыргызской Республике:</w:t>
      </w:r>
    </w:p>
    <w:p>
      <w:pPr>
        <w:spacing w:after="120"/>
        <w:jc w:val="both"/>
      </w:pPr>
      <w:r>
        <w:rPr>
          <w:rFonts w:ascii="Arial" w:cs="Arial" w:eastAsia="Arial" w:hAnsi="Arial"/>
          <w:sz w:val="24"/>
          <w:szCs w:val="24"/>
        </w:rPr>
        <w:t xml:space="preserve">1. Дать правовую оценку и установить меру ответственности лиц, виновных в нарушении норм законодательства Кыргызской Республики при реализации проекта "Кумтор" и допустивших нанесение ущерба интересам КР: А.Акаева, К.Бакиева, Т.Чынгышева, Д.Сарыгулова, А.Джумагулова, Б.Силаева, К.Кудайбергенова, А.Джакыпова, Н.Танаева, И.Чудинова, Д.Усенова, А.Елисеева, М.Бакиева, К.Курманалиева, а также других причастных должностных лиц.</w:t>
      </w:r>
    </w:p>
    <w:p>
      <w:pPr>
        <w:spacing w:after="120"/>
        <w:jc w:val="both"/>
      </w:pPr>
      <w:r>
        <w:rPr>
          <w:rFonts w:ascii="Arial" w:cs="Arial" w:eastAsia="Arial" w:hAnsi="Arial"/>
          <w:sz w:val="24"/>
          <w:szCs w:val="24"/>
        </w:rPr>
        <w:t xml:space="preserve">2. Дать правовую оценку и установить меру ответственности лиц:</w:t>
      </w:r>
    </w:p>
    <w:p>
      <w:pPr>
        <w:spacing w:after="120"/>
        <w:jc w:val="both"/>
      </w:pPr>
      <w:r>
        <w:rPr>
          <w:rFonts w:ascii="Arial" w:cs="Arial" w:eastAsia="Arial" w:hAnsi="Arial"/>
          <w:sz w:val="24"/>
          <w:szCs w:val="24"/>
        </w:rPr>
        <w:t xml:space="preserve">- замешанных в подозрительных выплатах 4 и 11 миллионов долларов США выплаченные оффшорной компании "Эккерд";</w:t>
      </w:r>
    </w:p>
    <w:p>
      <w:pPr>
        <w:spacing w:after="120"/>
        <w:jc w:val="both"/>
      </w:pPr>
      <w:r>
        <w:rPr>
          <w:rFonts w:ascii="Arial" w:cs="Arial" w:eastAsia="Arial" w:hAnsi="Arial"/>
          <w:sz w:val="24"/>
          <w:szCs w:val="24"/>
        </w:rPr>
        <w:t xml:space="preserve">- допустивших размещение отвалов на ледниках;</w:t>
      </w:r>
    </w:p>
    <w:p>
      <w:pPr>
        <w:spacing w:after="120"/>
        <w:jc w:val="both"/>
      </w:pPr>
      <w:r>
        <w:rPr>
          <w:rFonts w:ascii="Arial" w:cs="Arial" w:eastAsia="Arial" w:hAnsi="Arial"/>
          <w:sz w:val="24"/>
          <w:szCs w:val="24"/>
        </w:rPr>
        <w:t xml:space="preserve">- допустивших потери 5,543 тонн золота вследствие невыполнения плановых показателей по извлечению золота;</w:t>
      </w:r>
    </w:p>
    <w:p>
      <w:pPr>
        <w:spacing w:after="120"/>
        <w:jc w:val="both"/>
      </w:pPr>
      <w:r>
        <w:rPr>
          <w:rFonts w:ascii="Arial" w:cs="Arial" w:eastAsia="Arial" w:hAnsi="Arial"/>
          <w:sz w:val="24"/>
          <w:szCs w:val="24"/>
        </w:rPr>
        <w:t xml:space="preserve">- руководящего состава КГК и КОК по нарушениям природоохранного законодательства.</w:t>
      </w:r>
    </w:p>
    <w:p>
      <w:pPr>
        <w:spacing w:after="120"/>
        <w:jc w:val="both"/>
      </w:pPr>
      <w:r>
        <w:rPr>
          <w:rFonts w:ascii="Arial" w:cs="Arial" w:eastAsia="Arial" w:hAnsi="Arial"/>
          <w:sz w:val="24"/>
          <w:szCs w:val="24"/>
        </w:rPr>
        <w:t xml:space="preserve">Возможные последствия:</w:t>
      </w:r>
    </w:p>
    <w:p>
      <w:pPr>
        <w:spacing w:after="120"/>
        <w:jc w:val="both"/>
      </w:pPr>
      <w:r>
        <w:rPr>
          <w:rFonts w:ascii="Arial" w:cs="Arial" w:eastAsia="Arial" w:hAnsi="Arial"/>
          <w:sz w:val="24"/>
          <w:szCs w:val="24"/>
        </w:rPr>
        <w:t xml:space="preserve">Последствием вышеприведенных действий, в случае не согласия с условиями выдвинутыми Правительством Кыргызской Республики, может быть инициирование Центеррой, КГК, КОК арбитражного разбирательства в соответствии со статьей 11 Пересмотренного инвестиционного соглашения 2009 года против Правительства КР.</w:t>
      </w:r>
    </w:p>
    <w:p>
      <w:pPr>
        <w:spacing w:after="120"/>
        <w:jc w:val="both"/>
      </w:pPr>
      <w:r>
        <w:rPr>
          <w:rFonts w:ascii="Arial" w:cs="Arial" w:eastAsia="Arial" w:hAnsi="Arial"/>
          <w:sz w:val="24"/>
          <w:szCs w:val="24"/>
        </w:rPr>
        <w:t xml:space="preserve">Так, согласно подпункту "а" пункта 11.3 названного Соглашения, любая из сторон может прибегнуть к арбитражному разбирательству, уведомив другую сторону или стороны о намерении начать арбитражный процесс. С момента инициирования арбитражного разбирательства по иску Центерры, КГК, КОК могут наступить следующие временные последствия:</w:t>
      </w:r>
    </w:p>
    <w:p>
      <w:pPr>
        <w:spacing w:after="120"/>
        <w:jc w:val="both"/>
      </w:pPr>
      <w:r>
        <w:rPr>
          <w:rFonts w:ascii="Arial" w:cs="Arial" w:eastAsia="Arial" w:hAnsi="Arial"/>
          <w:sz w:val="24"/>
          <w:szCs w:val="24"/>
        </w:rPr>
        <w:t xml:space="preserve">- остановка производства на месторождении "Кумтор";</w:t>
      </w:r>
    </w:p>
    <w:p>
      <w:pPr>
        <w:spacing w:after="120"/>
        <w:jc w:val="both"/>
      </w:pPr>
      <w:r>
        <w:rPr>
          <w:rFonts w:ascii="Arial" w:cs="Arial" w:eastAsia="Arial" w:hAnsi="Arial"/>
          <w:sz w:val="24"/>
          <w:szCs w:val="24"/>
        </w:rPr>
        <w:t xml:space="preserve">- сокращение доходной части бюджета за счет недопоступления налогов от деятельности проекта "Кумтор";</w:t>
      </w:r>
    </w:p>
    <w:p>
      <w:pPr>
        <w:spacing w:after="120"/>
        <w:jc w:val="both"/>
      </w:pPr>
      <w:r>
        <w:rPr>
          <w:rFonts w:ascii="Arial" w:cs="Arial" w:eastAsia="Arial" w:hAnsi="Arial"/>
          <w:sz w:val="24"/>
          <w:szCs w:val="24"/>
        </w:rPr>
        <w:t xml:space="preserve">- ухудшение отношений с международными финансовыми организациями, особенно с теми, которые участвовали в софинансировании проекта "Кумтор" (Всемирный банк, ЕБРР).</w:t>
      </w:r>
    </w:p>
    <w:p>
      <w:pPr>
        <w:spacing w:after="120"/>
        <w:jc w:val="both"/>
      </w:pPr>
      <w:r>
        <w:rPr>
          <w:rFonts w:ascii="Arial" w:cs="Arial" w:eastAsia="Arial" w:hAnsi="Arial"/>
          <w:sz w:val="24"/>
          <w:szCs w:val="24"/>
        </w:rPr>
        <w:t xml:space="preserve">В случае, если международный арбитр вынесет решения в пользу Правительства, Правительство вправе потребовать возмещения нанесенного ущерба и объявить конкурс на предоставление права разработки "Кумтор" с целью привлечения новых инвесторов.</w:t>
      </w:r>
    </w:p>
    <w:p>
      <w:pPr>
        <w:spacing w:after="120"/>
        <w:jc w:val="both"/>
      </w:pPr>
      <w:r>
        <w:rPr>
          <w:rFonts w:ascii="Arial" w:cs="Arial" w:eastAsia="Arial" w:hAnsi="Arial"/>
          <w:sz w:val="24"/>
          <w:szCs w:val="24"/>
        </w:rPr>
        <w:t xml:space="preserve">В случае вынесения международным арбитром решения в пользу Центерры, КГК, КОК, могут наступить следующие негативные последствия:</w:t>
      </w:r>
    </w:p>
    <w:p>
      <w:pPr>
        <w:spacing w:after="120"/>
        <w:jc w:val="both"/>
      </w:pPr>
      <w:r>
        <w:rPr>
          <w:rFonts w:ascii="Arial" w:cs="Arial" w:eastAsia="Arial" w:hAnsi="Arial"/>
          <w:sz w:val="24"/>
          <w:szCs w:val="24"/>
        </w:rPr>
        <w:t xml:space="preserve">- выплата компенсаций Центерре;</w:t>
      </w:r>
    </w:p>
    <w:p>
      <w:pPr>
        <w:spacing w:after="120"/>
        <w:jc w:val="both"/>
      </w:pPr>
      <w:r>
        <w:rPr>
          <w:rFonts w:ascii="Arial" w:cs="Arial" w:eastAsia="Arial" w:hAnsi="Arial"/>
          <w:sz w:val="24"/>
          <w:szCs w:val="24"/>
        </w:rPr>
        <w:t xml:space="preserve">- дальнейшее ухудшение экологической ситуации на месторождении "Кумтор", в том числе, вследствие недостаточности средств в рекультивационном фонде на проведение необходимых мероприятий, а также другие последствия.</w:t>
      </w:r>
    </w:p>
    <w:p>
      <w:pPr>
        <w:spacing w:after="120"/>
        <w:jc w:val="both"/>
      </w:pPr>
      <w:r>
        <w:rPr>
          <w:rFonts w:ascii="Arial" w:cs="Arial" w:eastAsia="Arial" w:hAnsi="Arial"/>
          <w:sz w:val="24"/>
          <w:szCs w:val="24"/>
        </w:rPr>
        <w:t xml:space="preserve">Вместе с тем, у кыргызской стороны имеется возможность в ответ действиям Центерры инициировать арбитражное разбирательство против компании Камеко по поводу преднамеренного завышения активов месторождений Боруу, Гацуурт, РЕН с целью занижения доли кыргызской стороны в компании Центерра.</w:t>
      </w:r>
    </w:p>
    <w:p>
      <w:pPr>
        <w:spacing w:after="120"/>
        <w:jc w:val="both"/>
      </w:pPr>
      <w:r>
        <w:rPr>
          <w:rFonts w:ascii="Arial" w:cs="Arial" w:eastAsia="Arial" w:hAnsi="Arial"/>
          <w:sz w:val="24"/>
          <w:szCs w:val="24"/>
        </w:rPr>
        <w:t xml:space="preserve">В случае принятия решения в пользу кыргызской стороны в международном арбитраже, возможно возмещение вышеперечисленных возможных убытков за счет компенсаций от компании Камеко.</w:t>
      </w:r>
    </w:p>
    <w:p>
      <w:pPr>
        <w:spacing w:after="120"/>
        <w:jc w:val="both"/>
      </w:pPr>
      <w:r>
        <w:rPr>
          <w:rFonts w:ascii="Arial" w:cs="Arial" w:eastAsia="Arial" w:hAnsi="Arial"/>
          <w:sz w:val="24"/>
          <w:szCs w:val="24"/>
        </w:rPr>
        <w:t xml:space="preserve">Помимо арбитражного разбирательства против компании Камеко кыргызская сторона вправе подать иск против менеджеров компаний "Центерра Голд Инк." и Камеко которые были вовлечены в сделки подкупа (взяток). Так, необходимо инициировать расследования против менеджеров компаний "Центерра Голд Инк." и Камеко в антикоррупционное подразделение канадской Королевской конной полиции, Комиссии по биржам и ценным бумагам в Канаде и США по подозрению в взяточничестве, отмывании доходов и коррупции.</w:t>
      </w:r>
    </w:p>
    <w:p>
      <w:pPr>
        <w:spacing w:after="120"/>
        <w:jc w:val="both"/>
      </w:pPr>
      <w:r>
        <w:rPr>
          <w:rFonts w:ascii="Arial" w:cs="Arial" w:eastAsia="Arial" w:hAnsi="Arial"/>
          <w:sz w:val="24"/>
          <w:szCs w:val="24"/>
        </w:rPr>
        <w:t xml:space="preserve">Также кыргызская сторона как акционер вправе подать жалобу против менеджеров компаний "Центерра Голд Инк." и "Камеко Корпорэйшн" в орган фондовой биржи Торонто - Комиссию Онтарио по ценным бумагам (Канада) и уполномоченный орган по ценным бумагам штата Нью-Йорка (США) за сокрытие кардинальной информации и введение в заблуждение и обман инвесторов и акционеров.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ФИО            │            Должность         │Подпись│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│Председатель комиссии      │Министр экономики КР          │       │</w:t>
      </w:r>
    </w:p>
    <w:p>
      <w:pPr>
        <w:spacing w:after="120"/>
        <w:jc w:val="both"/>
      </w:pPr>
      <w:r>
        <w:rPr>
          <w:rFonts w:ascii="Arial" w:cs="Arial" w:eastAsia="Arial" w:hAnsi="Arial"/>
          <w:sz w:val="24"/>
          <w:szCs w:val="24"/>
        </w:rPr>
        <w:t xml:space="preserve">│  │Сариев Темир Аргембаевич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Руководители Рабочих групп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│Шыкмаматов Алмамбет        │Министр юстиции КР            │       │</w:t>
      </w:r>
    </w:p>
    <w:p>
      <w:pPr>
        <w:spacing w:after="120"/>
        <w:jc w:val="both"/>
      </w:pPr>
      <w:r>
        <w:rPr>
          <w:rFonts w:ascii="Arial" w:cs="Arial" w:eastAsia="Arial" w:hAnsi="Arial"/>
          <w:sz w:val="24"/>
          <w:szCs w:val="24"/>
        </w:rPr>
        <w:t xml:space="preserve">│  │Насырканович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│Артыкбаев Осмонбек         │Директор Государственной      │       │</w:t>
      </w:r>
    </w:p>
    <w:p>
      <w:pPr>
        <w:spacing w:after="120"/>
        <w:jc w:val="both"/>
      </w:pPr>
      <w:r>
        <w:rPr>
          <w:rFonts w:ascii="Arial" w:cs="Arial" w:eastAsia="Arial" w:hAnsi="Arial"/>
          <w:sz w:val="24"/>
          <w:szCs w:val="24"/>
        </w:rPr>
        <w:t xml:space="preserve">│  │Мамбетжанович              │инспекции по экологической и  │       │</w:t>
      </w:r>
    </w:p>
    <w:p>
      <w:pPr>
        <w:spacing w:after="120"/>
        <w:jc w:val="both"/>
      </w:pPr>
      <w:r>
        <w:rPr>
          <w:rFonts w:ascii="Arial" w:cs="Arial" w:eastAsia="Arial" w:hAnsi="Arial"/>
          <w:sz w:val="24"/>
          <w:szCs w:val="24"/>
        </w:rPr>
        <w:t xml:space="preserve">│  │                           │технической безопасности при  │       │</w:t>
      </w:r>
    </w:p>
    <w:p>
      <w:pPr>
        <w:spacing w:after="120"/>
        <w:jc w:val="both"/>
      </w:pPr>
      <w:r>
        <w:rPr>
          <w:rFonts w:ascii="Arial" w:cs="Arial" w:eastAsia="Arial" w:hAnsi="Arial"/>
          <w:sz w:val="24"/>
          <w:szCs w:val="24"/>
        </w:rPr>
        <w:t xml:space="preserve">│  │                           │ПКР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│Байгончоков Мирланбек      │Заместитель министра финансов │       │</w:t>
      </w:r>
    </w:p>
    <w:p>
      <w:pPr>
        <w:spacing w:after="120"/>
        <w:jc w:val="both"/>
      </w:pPr>
      <w:r>
        <w:rPr>
          <w:rFonts w:ascii="Arial" w:cs="Arial" w:eastAsia="Arial" w:hAnsi="Arial"/>
          <w:sz w:val="24"/>
          <w:szCs w:val="24"/>
        </w:rPr>
        <w:t xml:space="preserve">│  │Конушбекович               │КР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Члены комиссии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│Алтыбаева Айнуру Тойчиевна │Депутат Жогорку Кенеша КР от  │       │</w:t>
      </w:r>
    </w:p>
    <w:p>
      <w:pPr>
        <w:spacing w:after="120"/>
        <w:jc w:val="both"/>
      </w:pPr>
      <w:r>
        <w:rPr>
          <w:rFonts w:ascii="Arial" w:cs="Arial" w:eastAsia="Arial" w:hAnsi="Arial"/>
          <w:sz w:val="24"/>
          <w:szCs w:val="24"/>
        </w:rPr>
        <w:t xml:space="preserve">│  │                           │фракции "Ар-Намыс"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│Джетигенов Бакытбек        │Депутат Жогорку Кенеша КР от  │       │</w:t>
      </w:r>
    </w:p>
    <w:p>
      <w:pPr>
        <w:spacing w:after="120"/>
        <w:jc w:val="both"/>
      </w:pPr>
      <w:r>
        <w:rPr>
          <w:rFonts w:ascii="Arial" w:cs="Arial" w:eastAsia="Arial" w:hAnsi="Arial"/>
          <w:sz w:val="24"/>
          <w:szCs w:val="24"/>
        </w:rPr>
        <w:t xml:space="preserve">│  │Дженишбекович              │фракции "Ар-Намыс"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│Аманбаева Урмат            │Депутат Жогорку Кенеша КР от  │       │</w:t>
      </w:r>
    </w:p>
    <w:p>
      <w:pPr>
        <w:spacing w:after="120"/>
        <w:jc w:val="both"/>
      </w:pPr>
      <w:r>
        <w:rPr>
          <w:rFonts w:ascii="Arial" w:cs="Arial" w:eastAsia="Arial" w:hAnsi="Arial"/>
          <w:sz w:val="24"/>
          <w:szCs w:val="24"/>
        </w:rPr>
        <w:t xml:space="preserve">│  │Абдилашимовна              │фракции "Республика"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│Сабиров Максат Эсенович    │Депутат Жогорку Кенеша КР от  │       │</w:t>
      </w:r>
    </w:p>
    <w:p>
      <w:pPr>
        <w:spacing w:after="120"/>
        <w:jc w:val="both"/>
      </w:pPr>
      <w:r>
        <w:rPr>
          <w:rFonts w:ascii="Arial" w:cs="Arial" w:eastAsia="Arial" w:hAnsi="Arial"/>
          <w:sz w:val="24"/>
          <w:szCs w:val="24"/>
        </w:rPr>
        <w:t xml:space="preserve">│  │                           │фракции "Республика"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│Жамгырчиева Гульнара       │Депутат Жогорку Кенеша КР от  │       │</w:t>
      </w:r>
    </w:p>
    <w:p>
      <w:pPr>
        <w:spacing w:after="120"/>
        <w:jc w:val="both"/>
      </w:pPr>
      <w:r>
        <w:rPr>
          <w:rFonts w:ascii="Arial" w:cs="Arial" w:eastAsia="Arial" w:hAnsi="Arial"/>
          <w:sz w:val="24"/>
          <w:szCs w:val="24"/>
        </w:rPr>
        <w:t xml:space="preserve">│  │Оморовна                   │фракции "СДПК"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│10│Иманкожоева Эркингуль      │Депутат Жогорку Кенеша КР     │       │</w:t>
      </w:r>
    </w:p>
    <w:p>
      <w:pPr>
        <w:spacing w:after="120"/>
        <w:jc w:val="both"/>
      </w:pPr>
      <w:r>
        <w:rPr>
          <w:rFonts w:ascii="Arial" w:cs="Arial" w:eastAsia="Arial" w:hAnsi="Arial"/>
          <w:sz w:val="24"/>
          <w:szCs w:val="24"/>
        </w:rPr>
        <w:t xml:space="preserve">│  │Бекбачаевна                │от фракции "СДПК"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│11│Алымбеков Эркинбек         │Депутат Жогорку Кенеша КР от  │       │</w:t>
      </w:r>
    </w:p>
    <w:p>
      <w:pPr>
        <w:spacing w:after="120"/>
        <w:jc w:val="both"/>
      </w:pPr>
      <w:r>
        <w:rPr>
          <w:rFonts w:ascii="Arial" w:cs="Arial" w:eastAsia="Arial" w:hAnsi="Arial"/>
          <w:sz w:val="24"/>
          <w:szCs w:val="24"/>
        </w:rPr>
        <w:t xml:space="preserve">│  │Джумабаевич                │фракции "Ата Мекен"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│12│Самаков Карганбек Садыкович│Депутат Жогорку Кенеша КР от  │       │</w:t>
      </w:r>
    </w:p>
    <w:p>
      <w:pPr>
        <w:spacing w:after="120"/>
        <w:jc w:val="both"/>
      </w:pPr>
      <w:r>
        <w:rPr>
          <w:rFonts w:ascii="Arial" w:cs="Arial" w:eastAsia="Arial" w:hAnsi="Arial"/>
          <w:sz w:val="24"/>
          <w:szCs w:val="24"/>
        </w:rPr>
        <w:t xml:space="preserve">│  │                           │фракции "Ата Мекен"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│13│Алымкулов Алиясбек         │Министр молодежи, труда и     │       │</w:t>
      </w:r>
    </w:p>
    <w:p>
      <w:pPr>
        <w:spacing w:after="120"/>
        <w:jc w:val="both"/>
      </w:pPr>
      <w:r>
        <w:rPr>
          <w:rFonts w:ascii="Arial" w:cs="Arial" w:eastAsia="Arial" w:hAnsi="Arial"/>
          <w:sz w:val="24"/>
          <w:szCs w:val="24"/>
        </w:rPr>
        <w:t xml:space="preserve">│  │Толбашиевич                │занятости 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│14│Атаджанов Сабир            │Директор Государственного     │       │</w:t>
      </w:r>
    </w:p>
    <w:p>
      <w:pPr>
        <w:spacing w:after="120"/>
        <w:jc w:val="both"/>
      </w:pPr>
      <w:r>
        <w:rPr>
          <w:rFonts w:ascii="Arial" w:cs="Arial" w:eastAsia="Arial" w:hAnsi="Arial"/>
          <w:sz w:val="24"/>
          <w:szCs w:val="24"/>
        </w:rPr>
        <w:t xml:space="preserve">│  │Садыкджанович              │агентства охраны окружающей   │       │</w:t>
      </w:r>
    </w:p>
    <w:p>
      <w:pPr>
        <w:spacing w:after="120"/>
        <w:jc w:val="both"/>
      </w:pPr>
      <w:r>
        <w:rPr>
          <w:rFonts w:ascii="Arial" w:cs="Arial" w:eastAsia="Arial" w:hAnsi="Arial"/>
          <w:sz w:val="24"/>
          <w:szCs w:val="24"/>
        </w:rPr>
        <w:t xml:space="preserve">│  │                           │среды и лесного хозяйства при │       │</w:t>
      </w:r>
    </w:p>
    <w:p>
      <w:pPr>
        <w:spacing w:after="120"/>
        <w:jc w:val="both"/>
      </w:pPr>
      <w:r>
        <w:rPr>
          <w:rFonts w:ascii="Arial" w:cs="Arial" w:eastAsia="Arial" w:hAnsi="Arial"/>
          <w:sz w:val="24"/>
          <w:szCs w:val="24"/>
        </w:rPr>
        <w:t xml:space="preserve">│  │                           │ПКР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│15│Чунуев Ишимбай Карабаевич  │Директор Государственного     │       │</w:t>
      </w:r>
    </w:p>
    <w:p>
      <w:pPr>
        <w:spacing w:after="120"/>
        <w:jc w:val="both"/>
      </w:pPr>
      <w:r>
        <w:rPr>
          <w:rFonts w:ascii="Arial" w:cs="Arial" w:eastAsia="Arial" w:hAnsi="Arial"/>
          <w:sz w:val="24"/>
          <w:szCs w:val="24"/>
        </w:rPr>
        <w:t xml:space="preserve">│  │                           │агентства по геологии и       │       │</w:t>
      </w:r>
    </w:p>
    <w:p>
      <w:pPr>
        <w:spacing w:after="120"/>
        <w:jc w:val="both"/>
      </w:pPr>
      <w:r>
        <w:rPr>
          <w:rFonts w:ascii="Arial" w:cs="Arial" w:eastAsia="Arial" w:hAnsi="Arial"/>
          <w:sz w:val="24"/>
          <w:szCs w:val="24"/>
        </w:rPr>
        <w:t xml:space="preserve">│  │                           │минеральным ресурсам при ПКР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│16│Чоткараев Дуйшенбек        │Заместитель председателя      │       │</w:t>
      </w:r>
    </w:p>
    <w:p>
      <w:pPr>
        <w:spacing w:after="120"/>
        <w:jc w:val="both"/>
      </w:pPr>
      <w:r>
        <w:rPr>
          <w:rFonts w:ascii="Arial" w:cs="Arial" w:eastAsia="Arial" w:hAnsi="Arial"/>
          <w:sz w:val="24"/>
          <w:szCs w:val="24"/>
        </w:rPr>
        <w:t xml:space="preserve">│  │Озонович                   │Государственного комитета     │       │</w:t>
      </w:r>
    </w:p>
    <w:p>
      <w:pPr>
        <w:spacing w:after="120"/>
        <w:jc w:val="both"/>
      </w:pPr>
      <w:r>
        <w:rPr>
          <w:rFonts w:ascii="Arial" w:cs="Arial" w:eastAsia="Arial" w:hAnsi="Arial"/>
          <w:sz w:val="24"/>
          <w:szCs w:val="24"/>
        </w:rPr>
        <w:t xml:space="preserve">│  │                           │национальной безопасности 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│17│Оторбаев Эринес Мотойович  │Заместитель министра          │       │</w:t>
      </w:r>
    </w:p>
    <w:p>
      <w:pPr>
        <w:spacing w:after="120"/>
        <w:jc w:val="both"/>
      </w:pPr>
      <w:r>
        <w:rPr>
          <w:rFonts w:ascii="Arial" w:cs="Arial" w:eastAsia="Arial" w:hAnsi="Arial"/>
          <w:sz w:val="24"/>
          <w:szCs w:val="24"/>
        </w:rPr>
        <w:t xml:space="preserve">│  │                           │иностранных дел 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│18│Жапаров Дилгер Союзбекович │Председатель правления        │       │</w:t>
      </w:r>
    </w:p>
    <w:p>
      <w:pPr>
        <w:spacing w:after="120"/>
        <w:jc w:val="both"/>
      </w:pPr>
      <w:r>
        <w:rPr>
          <w:rFonts w:ascii="Arial" w:cs="Arial" w:eastAsia="Arial" w:hAnsi="Arial"/>
          <w:sz w:val="24"/>
          <w:szCs w:val="24"/>
        </w:rPr>
        <w:t xml:space="preserve">│  │                           │открытого акционерного        │       │</w:t>
      </w:r>
    </w:p>
    <w:p>
      <w:pPr>
        <w:spacing w:after="120"/>
        <w:jc w:val="both"/>
      </w:pPr>
      <w:r>
        <w:rPr>
          <w:rFonts w:ascii="Arial" w:cs="Arial" w:eastAsia="Arial" w:hAnsi="Arial"/>
          <w:sz w:val="24"/>
          <w:szCs w:val="24"/>
        </w:rPr>
        <w:t xml:space="preserve">│  │                           │общества "Кыргызалтын"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│19│Ахметова Нурсулу           │Заведующая отделом            │       │</w:t>
      </w:r>
    </w:p>
    <w:p>
      <w:pPr>
        <w:spacing w:after="120"/>
        <w:jc w:val="both"/>
      </w:pPr>
      <w:r>
        <w:rPr>
          <w:rFonts w:ascii="Arial" w:cs="Arial" w:eastAsia="Arial" w:hAnsi="Arial"/>
          <w:sz w:val="24"/>
          <w:szCs w:val="24"/>
        </w:rPr>
        <w:t xml:space="preserve">│  │Меирбековна                │денежно-кредитной политики и  │       │</w:t>
      </w:r>
    </w:p>
    <w:p>
      <w:pPr>
        <w:spacing w:after="120"/>
        <w:jc w:val="both"/>
      </w:pPr>
      <w:r>
        <w:rPr>
          <w:rFonts w:ascii="Arial" w:cs="Arial" w:eastAsia="Arial" w:hAnsi="Arial"/>
          <w:sz w:val="24"/>
          <w:szCs w:val="24"/>
        </w:rPr>
        <w:t xml:space="preserve">│  │                           │финансового мониторинга АПКР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│20│Асанакунов Мирбек Аскерович│Постоянный представитель      │       │</w:t>
      </w:r>
    </w:p>
    <w:p>
      <w:pPr>
        <w:spacing w:after="120"/>
        <w:jc w:val="both"/>
      </w:pPr>
      <w:r>
        <w:rPr>
          <w:rFonts w:ascii="Arial" w:cs="Arial" w:eastAsia="Arial" w:hAnsi="Arial"/>
          <w:sz w:val="24"/>
          <w:szCs w:val="24"/>
        </w:rPr>
        <w:t xml:space="preserve">│  │                           │Правительства КР в            │       │</w:t>
      </w:r>
    </w:p>
    <w:p>
      <w:pPr>
        <w:spacing w:after="120"/>
        <w:jc w:val="both"/>
      </w:pPr>
      <w:r>
        <w:rPr>
          <w:rFonts w:ascii="Arial" w:cs="Arial" w:eastAsia="Arial" w:hAnsi="Arial"/>
          <w:sz w:val="24"/>
          <w:szCs w:val="24"/>
        </w:rPr>
        <w:t xml:space="preserve">│  │                           │Иссык-Кульской области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│21│Муратбеков Канатбек        │Постоянный представитель      │       │</w:t>
      </w:r>
    </w:p>
    <w:p>
      <w:pPr>
        <w:spacing w:after="120"/>
        <w:jc w:val="both"/>
      </w:pPr>
      <w:r>
        <w:rPr>
          <w:rFonts w:ascii="Arial" w:cs="Arial" w:eastAsia="Arial" w:hAnsi="Arial"/>
          <w:sz w:val="24"/>
          <w:szCs w:val="24"/>
        </w:rPr>
        <w:t xml:space="preserve">│  │Камбарбекович              │Правительства КР в Нарынской  │       │</w:t>
      </w:r>
    </w:p>
    <w:p>
      <w:pPr>
        <w:spacing w:after="120"/>
        <w:jc w:val="both"/>
      </w:pPr>
      <w:r>
        <w:rPr>
          <w:rFonts w:ascii="Arial" w:cs="Arial" w:eastAsia="Arial" w:hAnsi="Arial"/>
          <w:sz w:val="24"/>
          <w:szCs w:val="24"/>
        </w:rPr>
        <w:t xml:space="preserve">│  │                           │области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│22│Жаанбаев Уланбек Жунусович │Депутат Нарынского районного  │       │</w:t>
      </w:r>
    </w:p>
    <w:p>
      <w:pPr>
        <w:spacing w:after="120"/>
        <w:jc w:val="both"/>
      </w:pPr>
      <w:r>
        <w:rPr>
          <w:rFonts w:ascii="Arial" w:cs="Arial" w:eastAsia="Arial" w:hAnsi="Arial"/>
          <w:sz w:val="24"/>
          <w:szCs w:val="24"/>
        </w:rPr>
        <w:t xml:space="preserve">│  │                           │кенеша Нарынской области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│23│Молдогазиева Калия         │Руководитель Общественного    │       │</w:t>
      </w:r>
    </w:p>
    <w:p>
      <w:pPr>
        <w:spacing w:after="120"/>
        <w:jc w:val="both"/>
      </w:pPr>
      <w:r>
        <w:rPr>
          <w:rFonts w:ascii="Arial" w:cs="Arial" w:eastAsia="Arial" w:hAnsi="Arial"/>
          <w:sz w:val="24"/>
          <w:szCs w:val="24"/>
        </w:rPr>
        <w:t xml:space="preserve">│  │Сартбаевна                 │объединения "Древо жизни"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│24│Калчаев Наристе            │Руководитель Общественного    │       │</w:t>
      </w:r>
    </w:p>
    <w:p>
      <w:pPr>
        <w:spacing w:after="120"/>
        <w:jc w:val="both"/>
      </w:pPr>
      <w:r>
        <w:rPr>
          <w:rFonts w:ascii="Arial" w:cs="Arial" w:eastAsia="Arial" w:hAnsi="Arial"/>
          <w:sz w:val="24"/>
          <w:szCs w:val="24"/>
        </w:rPr>
        <w:t xml:space="preserve">│  │Догдуркулович              │объединения "Жети-Огуз        │       │</w:t>
      </w:r>
    </w:p>
    <w:p>
      <w:pPr>
        <w:spacing w:after="120"/>
        <w:jc w:val="both"/>
      </w:pPr>
      <w:r>
        <w:rPr>
          <w:rFonts w:ascii="Arial" w:cs="Arial" w:eastAsia="Arial" w:hAnsi="Arial"/>
          <w:sz w:val="24"/>
          <w:szCs w:val="24"/>
        </w:rPr>
        <w:t xml:space="preserve">│  │                           │жаштары"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│25│Мамбетов Шергазы Асанбаевич│Доктор технических наук,      │       │</w:t>
      </w:r>
    </w:p>
    <w:p>
      <w:pPr>
        <w:spacing w:after="120"/>
        <w:jc w:val="both"/>
      </w:pPr>
      <w:r>
        <w:rPr>
          <w:rFonts w:ascii="Arial" w:cs="Arial" w:eastAsia="Arial" w:hAnsi="Arial"/>
          <w:sz w:val="24"/>
          <w:szCs w:val="24"/>
        </w:rPr>
        <w:t xml:space="preserve">│  │                           │профессор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Постановление Правительства Кыргызской Республики от 25.03.2010 г. № 168 "О предоставлении земель ЗАО "Кумтор Голд Компани".</w:t>
      </w:r>
    </w:p>
    <w:p>
      <w:pPr>
        <w:spacing w:after="120"/>
        <w:jc w:val="both"/>
      </w:pPr>
      <w:r>
        <w:rPr>
          <w:rFonts w:ascii="Arial" w:cs="Arial" w:eastAsia="Arial" w:hAnsi="Arial"/>
          <w:sz w:val="24"/>
          <w:szCs w:val="24"/>
        </w:rPr>
        <w:t xml:space="preserve">(2) </w:t>
      </w:r>
      <w:hyperlink w:history="1" r:id="rId-fpieptxegqlsxlh2e6h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05.07.2012 г. № 475 "Об отмене постановления Правительства Кыргызской Республики "О предоставлении земель ЗАО "Кумтор Голд Компани" от 25.03.2010 г. № 168".</w:t>
      </w:r>
    </w:p>
    <w:p>
      <w:pPr>
        <w:spacing w:after="120"/>
        <w:jc w:val="both"/>
      </w:pPr>
      <w:r>
        <w:rPr>
          <w:rFonts w:ascii="Arial" w:cs="Arial" w:eastAsia="Arial" w:hAnsi="Arial"/>
          <w:sz w:val="24"/>
          <w:szCs w:val="24"/>
        </w:rPr>
        <w:t xml:space="preserve">(3) Указ Президента КР от 13 октября 1991 года № УП 340 "О государственно-частной корпорации "Сиабеко-Кыргызстан" и Комитете по реконструкции и развитию экономики Республики Кыргызстан".</w:t>
      </w:r>
    </w:p>
    <w:p>
      <w:pPr>
        <w:spacing w:after="120"/>
        <w:jc w:val="both"/>
      </w:pPr>
      <w:r>
        <w:rPr>
          <w:rFonts w:ascii="Arial" w:cs="Arial" w:eastAsia="Arial" w:hAnsi="Arial"/>
          <w:sz w:val="24"/>
          <w:szCs w:val="24"/>
        </w:rPr>
        <w:t xml:space="preserve">(4) </w:t>
      </w:r>
      <w:hyperlink w:history="1" r:id="rIdd8ykydhvjmvq0y10cjbw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31 декабря 1992 года № 648 "О состоянии и мерах по увеличению добычи золота в Республике Кыргызстан".</w:t>
      </w:r>
    </w:p>
    <w:p>
      <w:pPr>
        <w:spacing w:after="120"/>
        <w:jc w:val="both"/>
      </w:pPr>
      <w:r>
        <w:rPr>
          <w:rFonts w:ascii="Arial" w:cs="Arial" w:eastAsia="Arial" w:hAnsi="Arial"/>
          <w:sz w:val="24"/>
          <w:szCs w:val="24"/>
        </w:rPr>
        <w:t xml:space="preserve">(5) Конституция Киргизской ССР от 20 апреля 1978 г.</w:t>
      </w:r>
    </w:p>
    <w:p>
      <w:pPr>
        <w:spacing w:after="120"/>
        <w:jc w:val="both"/>
      </w:pPr>
      <w:r>
        <w:rPr>
          <w:rFonts w:ascii="Arial" w:cs="Arial" w:eastAsia="Arial" w:hAnsi="Arial"/>
          <w:sz w:val="24"/>
          <w:szCs w:val="24"/>
        </w:rPr>
        <w:t xml:space="preserve">(6) Закон Республики Кыргызстан "О Правительстве Республики Кыргызстан" от 18 декабря 1991 года.</w:t>
      </w:r>
    </w:p>
    <w:p>
      <w:pPr>
        <w:spacing w:after="120"/>
        <w:jc w:val="both"/>
      </w:pPr>
      <w:r>
        <w:rPr>
          <w:rFonts w:ascii="Arial" w:cs="Arial" w:eastAsia="Arial" w:hAnsi="Arial"/>
          <w:sz w:val="24"/>
          <w:szCs w:val="24"/>
        </w:rPr>
        <w:t xml:space="preserve">(7) </w:t>
      </w:r>
      <w:hyperlink w:history="1" r:id="rIdvjd66i5rrlwsnrjd1dbg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28 декабря 1994 года № 895 "О разрешении компании "Кумтор Оперейтинг Компани осуществлять разработку рабочей документации и параллельное строительство объектов "Кумторзолото" (А.Джумагулов).</w:t>
      </w:r>
    </w:p>
    <w:p>
      <w:pPr>
        <w:spacing w:after="120"/>
        <w:jc w:val="both"/>
      </w:pPr>
      <w:r>
        <w:rPr>
          <w:rFonts w:ascii="Arial" w:cs="Arial" w:eastAsia="Arial" w:hAnsi="Arial"/>
          <w:sz w:val="24"/>
          <w:szCs w:val="24"/>
        </w:rPr>
        <w:t xml:space="preserve">(8) </w:t>
      </w:r>
      <w:hyperlink w:history="1" r:id="rIdcparfallrn-a2jm5mdeo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22 мая 1998 года № 289 "Об образовании специальной правительственной комиссии по расследованию причин возникновения аварии в Джети-Огузском районе, определению экологического и экономического ущерба".</w:t>
      </w:r>
    </w:p>
    <w:p>
      <w:pPr>
        <w:spacing w:after="120"/>
        <w:jc w:val="both"/>
      </w:pPr>
      <w:r>
        <w:rPr>
          <w:rFonts w:ascii="Arial" w:cs="Arial" w:eastAsia="Arial" w:hAnsi="Arial"/>
          <w:sz w:val="24"/>
          <w:szCs w:val="24"/>
        </w:rPr>
        <w:t xml:space="preserve">(9) </w:t>
      </w:r>
      <w:hyperlink w:history="1" r:id="rId0nvvvfteb8ginfq7k3n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сентября 1998 года № 629 "Об итогах специальной правительственной комиссии по расследованию причин возникновения аварии в Джети-Огузском районе, определению экологического и экономического ущерба".</w:t>
      </w:r>
    </w:p>
    <w:p>
      <w:pPr>
        <w:spacing w:after="120"/>
        <w:jc w:val="both"/>
      </w:pPr>
      <w:r>
        <w:rPr>
          <w:rFonts w:ascii="Arial" w:cs="Arial" w:eastAsia="Arial" w:hAnsi="Arial"/>
          <w:sz w:val="24"/>
          <w:szCs w:val="24"/>
        </w:rPr>
        <w:t xml:space="preserve">(10) </w:t>
      </w:r>
      <w:hyperlink w:history="1" r:id="rId2qtbf8ql4hgotysuvzm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21 декабря 1998 года № 845 "О проекте Договора между Правительством Кыргызской Республики компанией "Кумтор Оперейтинг Компани" по урегулированию вопросов, связанных с компенсацией ущерба в результате аварии в Джеты-Огузском районе Иссык-Кульской области".</w:t>
      </w:r>
    </w:p>
    <w:p>
      <w:pPr>
        <w:spacing w:after="120"/>
        <w:jc w:val="both"/>
      </w:pPr>
      <w:r>
        <w:rPr>
          <w:rFonts w:ascii="Arial" w:cs="Arial" w:eastAsia="Arial" w:hAnsi="Arial"/>
          <w:sz w:val="24"/>
          <w:szCs w:val="24"/>
        </w:rPr>
        <w:t xml:space="preserve">(11) </w:t>
      </w:r>
      <w:hyperlink w:history="1" r:id="rId4yfq6qhzmif8lde10be64">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от 5 мая 1993 года, в редакции Закона Кыргызской Республики "О новой редакции Конституции Кыргызской Республики" от 23 октября 2007 года № 157.</w:t>
      </w:r>
    </w:p>
    <w:p>
      <w:pPr>
        <w:spacing w:after="120"/>
        <w:jc w:val="both"/>
      </w:pPr>
      <w:r>
        <w:rPr>
          <w:rFonts w:ascii="Arial" w:cs="Arial" w:eastAsia="Arial" w:hAnsi="Arial"/>
          <w:sz w:val="24"/>
          <w:szCs w:val="24"/>
        </w:rPr>
        <w:t xml:space="preserve">(12) </w:t>
      </w:r>
      <w:hyperlink w:history="1" r:id="rIdr9yu40zfmhxuq-0eid7n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января 2003 года № 4 "О реструктуризации проекта "Кумторзолото".</w:t>
      </w:r>
    </w:p>
    <w:p>
      <w:pPr>
        <w:spacing w:after="120"/>
        <w:jc w:val="both"/>
      </w:pPr>
      <w:r>
        <w:rPr>
          <w:rFonts w:ascii="Arial" w:cs="Arial" w:eastAsia="Arial" w:hAnsi="Arial"/>
          <w:sz w:val="24"/>
          <w:szCs w:val="24"/>
        </w:rPr>
        <w:t xml:space="preserve">(13) Постановление Законодательного собрания ЖК КР от 20 июня 2003 года З № 1232-II "О реструктуризации проекта "Кумторзолото" по предложению корпорации "Камеко Корпорейшн".</w:t>
      </w:r>
    </w:p>
    <w:p>
      <w:pPr>
        <w:spacing w:after="120"/>
        <w:jc w:val="both"/>
      </w:pPr>
      <w:r>
        <w:rPr>
          <w:rFonts w:ascii="Arial" w:cs="Arial" w:eastAsia="Arial" w:hAnsi="Arial"/>
          <w:sz w:val="24"/>
          <w:szCs w:val="24"/>
        </w:rPr>
        <w:t xml:space="preserve">(14) Постановление ЗС Жогорку Кенеша КР № 1694-2 "О нарушении Правительством Кыргызской Республики постановления Законодательного собрания Жогорку Кенеша Кыргызской Республики № 1232-II от 20 июня 2003 года".</w:t>
      </w:r>
    </w:p>
    <w:p>
      <w:pPr>
        <w:spacing w:after="120"/>
        <w:jc w:val="both"/>
      </w:pPr>
      <w:r>
        <w:rPr>
          <w:rFonts w:ascii="Arial" w:cs="Arial" w:eastAsia="Arial" w:hAnsi="Arial"/>
          <w:sz w:val="24"/>
          <w:szCs w:val="24"/>
        </w:rPr>
        <w:t xml:space="preserve">(15) Постановление ЗС ЖК КР от 20 января 2005 года З № 1906-2 "Об исполнении Правительством Кыргызской Республики постановлений Законодательного собрания Жогорку Кенеша Кыргызской Республики З № 1232-II от 20 июня 2003 года "О реструктуризации проекта "Кумторзолото" по предложению "Камеко Корпорейшн" и З № 1694-II от 25 июня 2004 года "О нарушении Правительством Кыргызской Республики постановления Законодательного собрания Жогорку Кенеша Кыргызской Республики З № 1232-II от 20 июня 2003 года".</w:t>
      </w:r>
    </w:p>
    <w:p>
      <w:pPr>
        <w:spacing w:after="120"/>
        <w:jc w:val="both"/>
      </w:pPr>
      <w:r>
        <w:rPr>
          <w:rFonts w:ascii="Arial" w:cs="Arial" w:eastAsia="Arial" w:hAnsi="Arial"/>
          <w:sz w:val="24"/>
          <w:szCs w:val="24"/>
        </w:rPr>
        <w:t xml:space="preserve">(16) </w:t>
      </w:r>
      <w:hyperlink w:history="1" r:id="rId4ho8ioxd0xacbd34sau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07.10.1994 г. № 752 "О предоставлении земель совместному предприятию "Кумтор Голд Компани".</w:t>
      </w:r>
    </w:p>
    <w:p>
      <w:pPr>
        <w:spacing w:after="120"/>
        <w:jc w:val="both"/>
      </w:pPr>
      <w:r>
        <w:rPr>
          <w:rFonts w:ascii="Arial" w:cs="Arial" w:eastAsia="Arial" w:hAnsi="Arial"/>
          <w:sz w:val="24"/>
          <w:szCs w:val="24"/>
        </w:rPr>
        <w:t xml:space="preserve">(17) Постановление Правительства Кыргызской Республики от 25.03.2010 г. № 168 "О предоставлении земель ЗАО "Кумтор Голд Компани".</w:t>
      </w:r>
    </w:p>
    <w:p>
      <w:pPr>
        <w:spacing w:after="120"/>
        <w:jc w:val="both"/>
      </w:pPr>
      <w:r>
        <w:rPr>
          <w:rFonts w:ascii="Arial" w:cs="Arial" w:eastAsia="Arial" w:hAnsi="Arial"/>
          <w:sz w:val="24"/>
          <w:szCs w:val="24"/>
        </w:rPr>
        <w:t xml:space="preserve">(18) </w:t>
      </w:r>
      <w:hyperlink w:history="1" r:id="rIdwrph2ls1-tcy0i9xf0v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05.07.2012 г. № 475 "Об отмене постановления Правительства Кыргызской Республики "О предоставлении земель ЗАО "Кумтор Голд Компани" от 25.03.2010 г. № 168".</w:t>
      </w:r>
    </w:p>
    <w:p>
      <w:pPr>
        <w:spacing w:after="120"/>
        <w:jc w:val="both"/>
      </w:pPr>
      <w:r>
        <w:rPr>
          <w:rFonts w:ascii="Arial" w:cs="Arial" w:eastAsia="Arial" w:hAnsi="Arial"/>
          <w:sz w:val="24"/>
          <w:szCs w:val="24"/>
        </w:rPr>
        <w:t xml:space="preserve">(19) Согласно международных стандартов финансовой отчетности (IFRS), cost of sales включают не денежную амортизацию, операционные затраты, затраты на износ оборудования и истощение.</w:t>
      </w:r>
    </w:p>
    <w:p>
      <w:pPr>
        <w:spacing w:after="120"/>
        <w:jc w:val="both"/>
      </w:pPr>
      <w:r>
        <w:rPr>
          <w:rFonts w:ascii="Arial" w:cs="Arial" w:eastAsia="Arial" w:hAnsi="Arial"/>
          <w:sz w:val="24"/>
          <w:szCs w:val="24"/>
        </w:rPr>
        <w:t xml:space="preserve">(20) По Кумтору в 2007-09 годах исключены затраты на операционные налоги и на прибыль.</w:t>
      </w:r>
    </w:p>
    <w:p>
      <w:pPr>
        <w:spacing w:after="120"/>
        <w:jc w:val="both"/>
      </w:pPr>
      <w:r>
        <w:rPr>
          <w:rFonts w:ascii="Arial" w:cs="Arial" w:eastAsia="Arial" w:hAnsi="Arial"/>
          <w:sz w:val="24"/>
          <w:szCs w:val="24"/>
        </w:rPr>
        <w:t xml:space="preserve">(21) Средняя годовая цена на золото, рассчитанная на основе ежедневного фиксинга на Лондонской бирже драг. металлов.</w:t>
      </w:r>
    </w:p>
    <w:p>
      <w:pPr>
        <w:spacing w:after="120"/>
        <w:jc w:val="both"/>
      </w:pPr>
      <w:r>
        <w:rPr>
          <w:rFonts w:ascii="Arial" w:cs="Arial" w:eastAsia="Arial" w:hAnsi="Arial"/>
          <w:sz w:val="24"/>
          <w:szCs w:val="24"/>
        </w:rPr>
        <w:t xml:space="preserve">(22) </w:t>
      </w:r>
      <w:hyperlink w:history="1" r:id="rId68p96ky1w5np7kaod4hh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05.07.2012 г. № 475 "Об отмене постановления Правительства Кыргызской Республики "О предоставлении земель ЗАО "Кумтор Голд Компани" от 25.03.2010 г. № 168".</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qdh1afxdmaxethee1p_k">
      <w:r>
        <w:rPr>
          <w:rFonts w:ascii="Arial" w:cs="Arial" w:eastAsia="Arial" w:hAnsi="Arial"/>
          <w:color w:val="132D3F"/>
          <w:sz w:val="16"/>
          <w:szCs w:val="16"/>
          <w:u w:val="single"/>
        </w:rPr>
        <w:t xml:space="preserve">dalil.kg/document/94130</w:t>
      </w:r>
    </w:hyperlink>
  </w:p>
  <w:p>
    <w:pPr>
      <w:spacing w:after="0" w:before="40"/>
      <w:jc w:val="center"/>
    </w:pPr>
    <w:hyperlink w:history="1" r:id="rIdctl0uewvuyolnz2bxeu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khzfczmc_l2jvumgkxlb" Type="http://schemas.openxmlformats.org/officeDocument/2006/relationships/hyperlink" Target="https://dalil.kg/document/94321" TargetMode="External"/><Relationship Id="rId7vykyeschechc7qe7pgzt" Type="http://schemas.openxmlformats.org/officeDocument/2006/relationships/hyperlink" Target="https://dalil.kg/document/93943" TargetMode="External"/><Relationship Id="rIdzh9qh_4udbwwvqa7ds-7f" Type="http://schemas.openxmlformats.org/officeDocument/2006/relationships/hyperlink" Target="https://dalil.kg/document/94130#&#1088;1" TargetMode="External"/><Relationship Id="rIdck_t-pkmb6fy9hbf1iigg" Type="http://schemas.openxmlformats.org/officeDocument/2006/relationships/hyperlink" Target="https://dalil.kg/document/94321" TargetMode="External"/><Relationship Id="rIdf9c6felfwn_zd5wanxgy6" Type="http://schemas.openxmlformats.org/officeDocument/2006/relationships/hyperlink" Target="https://dalil.kg/document/94321" TargetMode="External"/><Relationship Id="rIdhuwpkxsjgvnrgc9kxznhe" Type="http://schemas.openxmlformats.org/officeDocument/2006/relationships/hyperlink" Target="https://dalil.kg/document/94321" TargetMode="External"/><Relationship Id="rIdjkthidifyk_fsr5_xkkhf" Type="http://schemas.openxmlformats.org/officeDocument/2006/relationships/hyperlink" Target="https://dalil.kg/document/71859" TargetMode="External"/><Relationship Id="rIdldvyyncu1yrhm0gremari" Type="http://schemas.openxmlformats.org/officeDocument/2006/relationships/hyperlink" Target="https://dalil.kg/document/94130" TargetMode="External"/><Relationship Id="rIdfho6hfd-bule01anibyjj" Type="http://schemas.openxmlformats.org/officeDocument/2006/relationships/hyperlink" Target="https://dalil.kg/document/93943" TargetMode="External"/><Relationship Id="rIdtctlkp--znr6fmspx7s35" Type="http://schemas.openxmlformats.org/officeDocument/2006/relationships/hyperlink" Target="https://dalil.kg/document/71859" TargetMode="External"/><Relationship Id="rIdtvx_ddfu4f93ibckopvp5" Type="http://schemas.openxmlformats.org/officeDocument/2006/relationships/hyperlink" Target="https://dalil.kg/document/93943" TargetMode="External"/><Relationship Id="rIdgeveh8fbedhb6pauiytyp" Type="http://schemas.openxmlformats.org/officeDocument/2006/relationships/hyperlink" Target="https://dalil.kg/document/93943" TargetMode="External"/><Relationship Id="rIdb2putxygnfr7kqkoyivng" Type="http://schemas.openxmlformats.org/officeDocument/2006/relationships/hyperlink" Target="https://dalil.kg/document/2" TargetMode="External"/><Relationship Id="rIdountzwohkh0q0dokucfz1" Type="http://schemas.openxmlformats.org/officeDocument/2006/relationships/hyperlink" Target="https://dalil.kg/document/1188" TargetMode="External"/><Relationship Id="rIdsihgjhtiwt4vpqquyvx3r" Type="http://schemas.openxmlformats.org/officeDocument/2006/relationships/hyperlink" Target="https://dalil.kg/document/1188" TargetMode="External"/><Relationship Id="rIdqcjefoo3hoqaw7denh1h7" Type="http://schemas.openxmlformats.org/officeDocument/2006/relationships/hyperlink" Target="https://dalil.kg/document/202191" TargetMode="External"/><Relationship Id="rId6wofhbnsleqhds4iyriyn" Type="http://schemas.openxmlformats.org/officeDocument/2006/relationships/hyperlink" Target="https://dalil.kg/document/22222" TargetMode="External"/><Relationship Id="rIdaj4ehuxl1ydmn1xd7jflx" Type="http://schemas.openxmlformats.org/officeDocument/2006/relationships/hyperlink" Target="https://dalil.kg/document/58521" TargetMode="External"/><Relationship Id="rIdxulcgpk9dy0tio8j2ay3w" Type="http://schemas.openxmlformats.org/officeDocument/2006/relationships/hyperlink" Target="https://dalil.kg/document/202445" TargetMode="External"/><Relationship Id="rIdpskfdgzdhg8pc80ttfoy6" Type="http://schemas.openxmlformats.org/officeDocument/2006/relationships/hyperlink" Target="https://dalil.kg/document/202445" TargetMode="External"/><Relationship Id="rIdcxcgiwq0xwwdox2zfo9qt" Type="http://schemas.openxmlformats.org/officeDocument/2006/relationships/hyperlink" Target="https://dalil.kg/document/202581" TargetMode="External"/><Relationship Id="rIdbmdp1laorwhj9w9b2uwme" Type="http://schemas.openxmlformats.org/officeDocument/2006/relationships/hyperlink" Target="https://dalil.kg/document/202520" TargetMode="External"/><Relationship Id="rIdqbosbohpvae424levrgkz" Type="http://schemas.openxmlformats.org/officeDocument/2006/relationships/hyperlink" Target="https://dalil.kg/document/202580" TargetMode="External"/><Relationship Id="rIdib_a1scoehvoz6wgs7uis" Type="http://schemas.openxmlformats.org/officeDocument/2006/relationships/hyperlink" Target="https://dalil.kg/document/80053" TargetMode="External"/><Relationship Id="rIdlzw7hsphnhcde0idzqy5h" Type="http://schemas.openxmlformats.org/officeDocument/2006/relationships/hyperlink" Target="https://dalil.kg/document/202191" TargetMode="External"/><Relationship Id="rIdc8o4yszwce05ajpetg7pd" Type="http://schemas.openxmlformats.org/officeDocument/2006/relationships/hyperlink" Target="https://dalil.kg/document/202191" TargetMode="External"/><Relationship Id="rIdto7c_pjapl5cn0izsltu0" Type="http://schemas.openxmlformats.org/officeDocument/2006/relationships/hyperlink" Target="https://dalil.kg/document/202520" TargetMode="External"/><Relationship Id="rIdduerrfrhnu5n4dm5j5tv_" Type="http://schemas.openxmlformats.org/officeDocument/2006/relationships/hyperlink" Target="https://dalil.kg/document/37192" TargetMode="External"/><Relationship Id="rIdb_ujd8lultlwh02hcxfqy" Type="http://schemas.openxmlformats.org/officeDocument/2006/relationships/hyperlink" Target="https://dalil.kg/document/542" TargetMode="External"/><Relationship Id="rId0e25czvd2j9ci4yp6yhle" Type="http://schemas.openxmlformats.org/officeDocument/2006/relationships/hyperlink" Target="https://dalil.kg/document/542" TargetMode="External"/><Relationship Id="rIdrwwfduvxzyieygmkz4tcn" Type="http://schemas.openxmlformats.org/officeDocument/2006/relationships/hyperlink" Target="https://dalil.kg/document/542" TargetMode="External"/><Relationship Id="rIdqkojce8gd5ysievjhbttc" Type="http://schemas.openxmlformats.org/officeDocument/2006/relationships/hyperlink" Target="https://dalil.kg/document/542" TargetMode="External"/><Relationship Id="rIdjqv7p-asawypwagejrtna" Type="http://schemas.openxmlformats.org/officeDocument/2006/relationships/hyperlink" Target="https://dalil.kg/document/542" TargetMode="External"/><Relationship Id="rId_tnjcpjbnby9enr6gg3bf" Type="http://schemas.openxmlformats.org/officeDocument/2006/relationships/hyperlink" Target="https://dalil.kg/document/1605" TargetMode="External"/><Relationship Id="rIdmeyrfkc-kazhbyvbaqdbp" Type="http://schemas.openxmlformats.org/officeDocument/2006/relationships/hyperlink" Target="https://dalil.kg/document/8" TargetMode="External"/><Relationship Id="rIdoz7emctnweijmdj25m3vn" Type="http://schemas.openxmlformats.org/officeDocument/2006/relationships/hyperlink" Target="https://dalil.kg/document/924" TargetMode="External"/><Relationship Id="rIdbekzvzj3ro9eq19eexhdc" Type="http://schemas.openxmlformats.org/officeDocument/2006/relationships/hyperlink" Target="https://dalil.kg/document/924" TargetMode="External"/><Relationship Id="rId_wo2qwwsmgjbdup9spxh_" Type="http://schemas.openxmlformats.org/officeDocument/2006/relationships/hyperlink" Target="https://dalil.kg/document/924" TargetMode="External"/><Relationship Id="rIdfodf7nw4wykjwz5szeo_m" Type="http://schemas.openxmlformats.org/officeDocument/2006/relationships/hyperlink" Target="https://dalil.kg/document/218" TargetMode="External"/><Relationship Id="rIdq72p633esu2umoiqwvb5z" Type="http://schemas.openxmlformats.org/officeDocument/2006/relationships/hyperlink" Target="https://dalil.kg/document/37192" TargetMode="External"/><Relationship Id="rIdmhpsct1merrmtk4wvu1nz" Type="http://schemas.openxmlformats.org/officeDocument/2006/relationships/hyperlink" Target="https://dalil.kg/document/1188" TargetMode="External"/><Relationship Id="rIdzdpstvwhpy8nou8qu3e8l" Type="http://schemas.openxmlformats.org/officeDocument/2006/relationships/hyperlink" Target="https://dalil.kg/document/252" TargetMode="External"/><Relationship Id="rIdduz1trnhxsxfxw99aqqma" Type="http://schemas.openxmlformats.org/officeDocument/2006/relationships/hyperlink" Target="https://dalil.kg/document/202191" TargetMode="External"/><Relationship Id="rIdgegje-wyoac42jphrac2h" Type="http://schemas.openxmlformats.org/officeDocument/2006/relationships/hyperlink" Target="https://dalil.kg/document/202445" TargetMode="External"/><Relationship Id="rIdbzrcmygzw5vuurinkrhyh" Type="http://schemas.openxmlformats.org/officeDocument/2006/relationships/hyperlink" Target="https://dalil.kg/document/202445" TargetMode="External"/><Relationship Id="rIdhrtpyqjmtenfpo20oupwk" Type="http://schemas.openxmlformats.org/officeDocument/2006/relationships/hyperlink" Target="https://dalil.kg/document/542" TargetMode="External"/><Relationship Id="rId_jtu-wwb5bo78eaupqeam" Type="http://schemas.openxmlformats.org/officeDocument/2006/relationships/hyperlink" Target="https://dalil.kg/document/542" TargetMode="External"/><Relationship Id="rIdcc9il74omjmk6z8ceylme" Type="http://schemas.openxmlformats.org/officeDocument/2006/relationships/hyperlink" Target="https://dalil.kg/document/202445" TargetMode="External"/><Relationship Id="rId-fpieptxegqlsxlh2e6hh" Type="http://schemas.openxmlformats.org/officeDocument/2006/relationships/hyperlink" Target="https://dalil.kg/document/95460" TargetMode="External"/><Relationship Id="rIdd8ykydhvjmvq0y10cjbwt" Type="http://schemas.openxmlformats.org/officeDocument/2006/relationships/hyperlink" Target="https://dalil.kg/document/39741" TargetMode="External"/><Relationship Id="rIdvjd66i5rrlwsnrjd1dbgr" Type="http://schemas.openxmlformats.org/officeDocument/2006/relationships/hyperlink" Target="https://dalil.kg/document/37705" TargetMode="External"/><Relationship Id="rIdcparfallrn-a2jm5mdeof" Type="http://schemas.openxmlformats.org/officeDocument/2006/relationships/hyperlink" Target="https://dalil.kg/document/5413" TargetMode="External"/><Relationship Id="rId0nvvvfteb8ginfq7k3nmd" Type="http://schemas.openxmlformats.org/officeDocument/2006/relationships/hyperlink" Target="https://dalil.kg/document/5869" TargetMode="External"/><Relationship Id="rId2qtbf8ql4hgotysuvzmil" Type="http://schemas.openxmlformats.org/officeDocument/2006/relationships/hyperlink" Target="https://dalil.kg/document/6134" TargetMode="External"/><Relationship Id="rId4yfq6qhzmif8lde10be64" Type="http://schemas.openxmlformats.org/officeDocument/2006/relationships/hyperlink" Target="https://dalil.kg/document/202191" TargetMode="External"/><Relationship Id="rIdr9yu40zfmhxuq-0eid7nb" Type="http://schemas.openxmlformats.org/officeDocument/2006/relationships/hyperlink" Target="https://dalil.kg/document/54143" TargetMode="External"/><Relationship Id="rId4ho8ioxd0xacbd34sau4p" Type="http://schemas.openxmlformats.org/officeDocument/2006/relationships/hyperlink" Target="https://dalil.kg/document/37595" TargetMode="External"/><Relationship Id="rIdwrph2ls1-tcy0i9xf0vkg" Type="http://schemas.openxmlformats.org/officeDocument/2006/relationships/hyperlink" Target="https://dalil.kg/document/95460" TargetMode="External"/><Relationship Id="rId68p96ky1w5np7kaod4hhx" Type="http://schemas.openxmlformats.org/officeDocument/2006/relationships/hyperlink" Target="https://dalil.kg/document/95460" TargetMode="External"/><Relationship Id="rId8" Type="http://schemas.openxmlformats.org/officeDocument/2006/relationships/image" Target="media/8de64316e95979c063c17bcd5380dc052a2594e9.png"/><Relationship Id="rId6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qdh1afxdmaxethee1p_k" Type="http://schemas.openxmlformats.org/officeDocument/2006/relationships/hyperlink" Target="https://dalil.kg/document/94130" TargetMode="External"/><Relationship Id="rIdctl0uewvuyolnz2bxeu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2026-10-05T07:45:55.384Z</dcterms:created>
  <dcterms:modified xsi:type="dcterms:W3CDTF">2026-10-05T07:45:55.384Z</dcterms:modified>
</cp:coreProperties>
</file>

<file path=docProps/custom.xml><?xml version="1.0" encoding="utf-8"?>
<Properties xmlns="http://schemas.openxmlformats.org/officeDocument/2006/custom-properties" xmlns:vt="http://schemas.openxmlformats.org/officeDocument/2006/docPropsVTypes"/>
</file>