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rx158zjwrkzkcbyfzifd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29 ноября 2018 года № 561</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60"/>
        <w:ind w:firstLine="567"/>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 </w:t>
      </w:r>
      <w:hyperlink w:history="1" r:id="rIdqzixkazjz37rulrjzy9cn">
        <w:r>
          <w:rPr>
            <w:rFonts w:ascii="Arial" w:cs="Arial" w:eastAsia="Arial" w:hAnsi="Arial"/>
            <w:color w:val="1D4ED8"/>
            <w:sz w:val="24"/>
            <w:szCs w:val="24"/>
            <w:u w:val="single"/>
          </w:rPr>
          <w:t xml:space="preserve">постановлением</w:t>
        </w:r>
      </w:hyperlink>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 порядке лицензирования недропользования</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es7oojeijadi116w8zzk4">
        <w:r>
          <w:rPr>
            <w:rFonts w:ascii="Arial" w:cs="Arial" w:eastAsia="Arial" w:hAnsi="Arial"/>
            <w:i/>
            <w:iCs/>
            <w:color w:val="1D4ED8"/>
            <w:sz w:val="24"/>
            <w:szCs w:val="24"/>
            <w:u w:val="single"/>
          </w:rPr>
          <w:t xml:space="preserve">12 января 2013 года N 12</w:t>
        </w:r>
      </w:hyperlink>
      <w:r>
        <w:rPr>
          <w:rFonts w:ascii="Arial" w:cs="Arial" w:eastAsia="Arial" w:hAnsi="Arial"/>
          <w:i/>
          <w:iCs/>
          <w:sz w:val="24"/>
          <w:szCs w:val="24"/>
        </w:rPr>
        <w:t xml:space="preserve">, </w:t>
      </w:r>
      <w:hyperlink w:history="1" r:id="rId2r3k9jukkkg2019qgjnsy">
        <w:r>
          <w:rPr>
            <w:rFonts w:ascii="Arial" w:cs="Arial" w:eastAsia="Arial" w:hAnsi="Arial"/>
            <w:i/>
            <w:iCs/>
            <w:color w:val="1D4ED8"/>
            <w:sz w:val="24"/>
            <w:szCs w:val="24"/>
            <w:u w:val="single"/>
          </w:rPr>
          <w:t xml:space="preserve">13 июня 2013 года N 350</w:t>
        </w:r>
      </w:hyperlink>
      <w:r>
        <w:rPr>
          <w:rFonts w:ascii="Arial" w:cs="Arial" w:eastAsia="Arial" w:hAnsi="Arial"/>
          <w:i/>
          <w:iCs/>
          <w:sz w:val="24"/>
          <w:szCs w:val="24"/>
        </w:rPr>
        <w:t xml:space="preserve">, </w:t>
      </w:r>
      <w:hyperlink w:history="1" r:id="rIddpidae6sldwqi8ap_46wr">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 Общие положения</w:t>
      </w:r>
    </w:p>
    <w:p>
      <w:pPr>
        <w:spacing w:after="60"/>
        <w:ind w:firstLine="567"/>
        <w:jc w:val="both"/>
      </w:pPr>
      <w:r>
        <w:rPr>
          <w:rFonts w:ascii="Arial" w:cs="Arial" w:eastAsia="Arial" w:hAnsi="Arial"/>
          <w:sz w:val="24"/>
          <w:szCs w:val="24"/>
        </w:rPr>
        <w:t xml:space="preserve">1. Настоящее Положение разработано в соответствии с </w:t>
      </w:r>
      <w:hyperlink w:history="1" r:id="rId8cxi2atpkndqkc8q3syo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недрах".</w:t>
      </w:r>
    </w:p>
    <w:p>
      <w:pPr>
        <w:spacing w:after="60"/>
        <w:ind w:firstLine="567"/>
        <w:jc w:val="both"/>
      </w:pPr>
      <w:r>
        <w:rPr>
          <w:rFonts w:ascii="Arial" w:cs="Arial" w:eastAsia="Arial" w:hAnsi="Arial"/>
          <w:sz w:val="24"/>
          <w:szCs w:val="24"/>
        </w:rPr>
        <w:t xml:space="preserve">2. Организационное обеспечение государственной системы лицензирования прав пользования недрами осуществляет Государственное агентство по геологии и минеральным ресурсам при Правительстве Кыргызской Республики, как уполномоченный государственный орган по реализации государственной политики по недропользованию.</w:t>
      </w:r>
    </w:p>
    <w:p>
      <w:pPr>
        <w:spacing w:after="60"/>
        <w:ind w:firstLine="567"/>
        <w:jc w:val="both"/>
      </w:pPr>
      <w:r>
        <w:rPr>
          <w:rFonts w:ascii="Arial" w:cs="Arial" w:eastAsia="Arial" w:hAnsi="Arial"/>
          <w:sz w:val="24"/>
          <w:szCs w:val="24"/>
        </w:rPr>
        <w:t xml:space="preserve">Уполномоченный государственный орган по реализации государственной политики по недропользованию осуществляет администрирование лицензирования прав пользования недрами в качестве лицензионного органа - лицензиара.</w:t>
      </w:r>
    </w:p>
    <w:p>
      <w:pPr>
        <w:spacing w:after="60"/>
        <w:ind w:firstLine="567"/>
        <w:jc w:val="both"/>
      </w:pPr>
      <w:r>
        <w:rPr>
          <w:rFonts w:ascii="Arial" w:cs="Arial" w:eastAsia="Arial" w:hAnsi="Arial"/>
          <w:sz w:val="24"/>
          <w:szCs w:val="24"/>
        </w:rPr>
        <w:t xml:space="preserve">3. Право пользования недрами возникает на основании лицензии. Пользование недрами без лицензии запрещается, за исключением случаев, предусмотренных законами Кыргызской Республики и настоящим Положением.</w:t>
      </w:r>
    </w:p>
    <w:p>
      <w:pPr>
        <w:spacing w:after="60"/>
        <w:ind w:firstLine="567"/>
        <w:jc w:val="both"/>
      </w:pPr>
      <w:r>
        <w:rPr>
          <w:rFonts w:ascii="Arial" w:cs="Arial" w:eastAsia="Arial" w:hAnsi="Arial"/>
          <w:sz w:val="24"/>
          <w:szCs w:val="24"/>
        </w:rPr>
        <w:t xml:space="preserve">4. Лицензированию подлежат все виды пользования недрами по всем видам минерального сырья, в том числе пресные, минеральные и термальные подземные воды, за исключением предоставления прав пользования недрами по концессионному договору и по соглашению о разделе продукции, а также проведения работ на основании государственной регистрации.</w:t>
      </w:r>
    </w:p>
    <w:p>
      <w:pPr>
        <w:spacing w:after="60"/>
        <w:ind w:firstLine="567"/>
        <w:jc w:val="both"/>
      </w:pPr>
      <w:r>
        <w:rPr>
          <w:rFonts w:ascii="Arial" w:cs="Arial" w:eastAsia="Arial" w:hAnsi="Arial"/>
          <w:sz w:val="24"/>
          <w:szCs w:val="24"/>
        </w:rPr>
        <w:t xml:space="preserve">5. Пользователями недр могут быть юридические и физические лица, созданные в соответствии с законодательством Кыргызской Республики, а также иностранные юридические лица, прошедшие государственную регистрацию в соответствии с законодательством Кыргызской Республики, и физические лица, зарегистрированные в соответствии с законодательством Кыргызской Республики в качестве индивидуальных предпринимателей.</w:t>
      </w:r>
    </w:p>
    <w:p>
      <w:pPr>
        <w:spacing w:after="60"/>
        <w:ind w:firstLine="567"/>
        <w:jc w:val="both"/>
      </w:pPr>
      <w:r>
        <w:rPr>
          <w:rFonts w:ascii="Arial" w:cs="Arial" w:eastAsia="Arial" w:hAnsi="Arial"/>
          <w:sz w:val="24"/>
          <w:szCs w:val="24"/>
        </w:rPr>
        <w:t xml:space="preserve">6. Если иное не предусмотрено законодательством Кыргызской Республики и настоящим Положением, иностранные юридические и физические лица получают лицензию на таких же условиях и в таком же порядке, как юридические и физические лица Кыргызской Республики.</w:t>
      </w:r>
    </w:p>
    <w:p>
      <w:pPr>
        <w:spacing w:after="200" w:before="200"/>
        <w:jc w:val="center"/>
      </w:pPr>
      <w:r>
        <w:rPr>
          <w:rFonts w:ascii="Arial" w:cs="Arial" w:eastAsia="Arial" w:hAnsi="Arial"/>
          <w:b/>
          <w:bCs/>
          <w:sz w:val="24"/>
          <w:szCs w:val="24"/>
        </w:rPr>
        <w:t xml:space="preserve">II. Предоставление прав пользования недрами</w:t>
      </w:r>
    </w:p>
    <w:p>
      <w:pPr>
        <w:spacing w:after="60"/>
        <w:ind w:firstLine="567"/>
        <w:jc w:val="both"/>
      </w:pPr>
      <w:r>
        <w:rPr>
          <w:rFonts w:ascii="Arial" w:cs="Arial" w:eastAsia="Arial" w:hAnsi="Arial"/>
          <w:sz w:val="24"/>
          <w:szCs w:val="24"/>
        </w:rPr>
        <w:t xml:space="preserve">7. Право пользования недрами может предоставляться на основании проведения конкурсов, аукционов и путем проведения прямых переговоров.</w:t>
      </w:r>
    </w:p>
    <w:p>
      <w:pPr>
        <w:spacing w:after="60"/>
        <w:ind w:firstLine="567"/>
        <w:jc w:val="both"/>
      </w:pPr>
      <w:r>
        <w:rPr>
          <w:rFonts w:ascii="Arial" w:cs="Arial" w:eastAsia="Arial" w:hAnsi="Arial"/>
          <w:sz w:val="24"/>
          <w:szCs w:val="24"/>
        </w:rPr>
        <w:t xml:space="preserve">8. Предоставление прав пользования недрами на объекты месторождений полезных ископаемых общегосударственного значения проводится по итогам конкурсов. Перечень объектов месторождений полезных ископаемых общегосударственного значения утверждается Правительством Кыргызской Республики по представлению уполномоченного государственного органа по реализации государственной политики по недропользованию и публикуется в средствах массовой информации. Конкурс по каждому объекту месторождений полезных ископаемых общегосударственного значения проводится по решению Правительства Кыргызской Республики межведомственной конкурсной комиссией согласно Положению, утверждаемому Правительством Кыргызской Республики.</w:t>
      </w:r>
    </w:p>
    <w:p>
      <w:pPr>
        <w:spacing w:after="60"/>
        <w:ind w:firstLine="567"/>
        <w:jc w:val="both"/>
      </w:pPr>
      <w:r>
        <w:rPr>
          <w:rFonts w:ascii="Arial" w:cs="Arial" w:eastAsia="Arial" w:hAnsi="Arial"/>
          <w:sz w:val="24"/>
          <w:szCs w:val="24"/>
        </w:rPr>
        <w:t xml:space="preserve">По проведенным конкурсам лицензия на право пользования недрами выдается на основании протокола конкурсной комиссии.</w:t>
      </w:r>
    </w:p>
    <w:p>
      <w:pPr>
        <w:spacing w:after="60"/>
        <w:ind w:firstLine="567"/>
        <w:jc w:val="both"/>
      </w:pPr>
      <w:r>
        <w:rPr>
          <w:rFonts w:ascii="Arial" w:cs="Arial" w:eastAsia="Arial" w:hAnsi="Arial"/>
          <w:sz w:val="24"/>
          <w:szCs w:val="24"/>
        </w:rPr>
        <w:t xml:space="preserve">9. Предоставление права пользования недрами на основании проведения аукционов производится:</w:t>
      </w:r>
    </w:p>
    <w:p>
      <w:pPr>
        <w:spacing w:after="60"/>
        <w:ind w:firstLine="567"/>
        <w:jc w:val="both"/>
      </w:pPr>
      <w:r>
        <w:rPr>
          <w:rFonts w:ascii="Arial" w:cs="Arial" w:eastAsia="Arial" w:hAnsi="Arial"/>
          <w:sz w:val="24"/>
          <w:szCs w:val="24"/>
        </w:rPr>
        <w:t xml:space="preserve">- по объектам, перечень которых утверждает уполномоченный государственный орган по реализации государственной политики по недропользованию на основе рекомендаций Научно-технического совета при данном уполномоченном органе;</w:t>
      </w:r>
    </w:p>
    <w:p>
      <w:pPr>
        <w:spacing w:after="60"/>
        <w:ind w:firstLine="567"/>
        <w:jc w:val="both"/>
      </w:pPr>
      <w:r>
        <w:rPr>
          <w:rFonts w:ascii="Arial" w:cs="Arial" w:eastAsia="Arial" w:hAnsi="Arial"/>
          <w:sz w:val="24"/>
          <w:szCs w:val="24"/>
        </w:rPr>
        <w:t xml:space="preserve">- по объектам общегосударственного значения, по которым не выявлены победители по результатам двух проведенных конкурсов;</w:t>
      </w:r>
    </w:p>
    <w:p>
      <w:pPr>
        <w:spacing w:after="60"/>
        <w:ind w:firstLine="567"/>
        <w:jc w:val="both"/>
      </w:pPr>
      <w:r>
        <w:rPr>
          <w:rFonts w:ascii="Arial" w:cs="Arial" w:eastAsia="Arial" w:hAnsi="Arial"/>
          <w:sz w:val="24"/>
          <w:szCs w:val="24"/>
        </w:rPr>
        <w:t xml:space="preserve">- по объектам, не включенным в перечень месторождений, выставляемых на аукцион, но на которые поступило две и более заявки с приложением полного перечня документов, предусмотренных пунктом 36 настоящего Положения.</w:t>
      </w:r>
    </w:p>
    <w:p>
      <w:pPr>
        <w:spacing w:after="60"/>
        <w:ind w:firstLine="567"/>
        <w:jc w:val="both"/>
      </w:pPr>
      <w:r>
        <w:rPr>
          <w:rFonts w:ascii="Arial" w:cs="Arial" w:eastAsia="Arial" w:hAnsi="Arial"/>
          <w:sz w:val="24"/>
          <w:szCs w:val="24"/>
        </w:rPr>
        <w:t xml:space="preserve">По проведенным аукционам лицензия на право пользования недрами выдается на основании протокола аукционной комиссии.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u3bq9eudd46mtprdxg6lr">
        <w:r>
          <w:rPr>
            <w:rFonts w:ascii="Arial" w:cs="Arial" w:eastAsia="Arial" w:hAnsi="Arial"/>
            <w:i/>
            <w:iCs/>
            <w:color w:val="1D4ED8"/>
            <w:sz w:val="24"/>
            <w:szCs w:val="24"/>
            <w:u w:val="single"/>
          </w:rPr>
          <w:t xml:space="preserve">13 июня 2013 года N 350</w:t>
        </w:r>
      </w:hyperlink>
      <w:r>
        <w:rPr>
          <w:rFonts w:ascii="Arial" w:cs="Arial" w:eastAsia="Arial" w:hAnsi="Arial"/>
          <w:i/>
          <w:iCs/>
          <w:sz w:val="24"/>
          <w:szCs w:val="24"/>
        </w:rPr>
        <w:t xml:space="preserve">, </w:t>
      </w:r>
      <w:hyperlink w:history="1" r:id="rIdhftplxkbnxxavwvaeycyw">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Порядок проведения конкурсов и аукционов по предоставлению прав пользования недрами определяется отдельными положениями, утверждаемыми Правительством Кыргызской Республики.</w:t>
      </w:r>
    </w:p>
    <w:p>
      <w:pPr>
        <w:spacing w:after="60"/>
        <w:ind w:firstLine="567"/>
        <w:jc w:val="both"/>
      </w:pPr>
      <w:r>
        <w:rPr>
          <w:rFonts w:ascii="Arial" w:cs="Arial" w:eastAsia="Arial" w:hAnsi="Arial"/>
          <w:sz w:val="24"/>
          <w:szCs w:val="24"/>
        </w:rPr>
        <w:t xml:space="preserve">11. Предоставление права пользования недрами путем проведения прямых переговоров производится:</w:t>
      </w:r>
    </w:p>
    <w:p>
      <w:pPr>
        <w:spacing w:after="60"/>
        <w:ind w:firstLine="567"/>
        <w:jc w:val="both"/>
      </w:pPr>
      <w:r>
        <w:rPr>
          <w:rFonts w:ascii="Arial" w:cs="Arial" w:eastAsia="Arial" w:hAnsi="Arial"/>
          <w:sz w:val="24"/>
          <w:szCs w:val="24"/>
        </w:rPr>
        <w:t xml:space="preserve">- на объекты недр, не входящие в Перечень объектов общегосударственного значения и Перечень объектов, выставляемых на аукцион;</w:t>
      </w:r>
    </w:p>
    <w:p>
      <w:pPr>
        <w:spacing w:after="60"/>
        <w:ind w:firstLine="567"/>
        <w:jc w:val="both"/>
      </w:pPr>
      <w:r>
        <w:rPr>
          <w:rFonts w:ascii="Arial" w:cs="Arial" w:eastAsia="Arial" w:hAnsi="Arial"/>
          <w:sz w:val="24"/>
          <w:szCs w:val="24"/>
        </w:rPr>
        <w:t xml:space="preserve">- на объекты недр, если по ним признаны не состоявшимися два аукциона;</w:t>
      </w:r>
    </w:p>
    <w:p>
      <w:pPr>
        <w:spacing w:after="60"/>
        <w:ind w:firstLine="567"/>
        <w:jc w:val="both"/>
      </w:pPr>
      <w:r>
        <w:rPr>
          <w:rFonts w:ascii="Arial" w:cs="Arial" w:eastAsia="Arial" w:hAnsi="Arial"/>
          <w:sz w:val="24"/>
          <w:szCs w:val="24"/>
        </w:rPr>
        <w:t xml:space="preserve">- на объекты недр, не связанные с геологическим изучением и разработкой месторождений полезных ископаемых;</w:t>
      </w:r>
    </w:p>
    <w:p>
      <w:pPr>
        <w:spacing w:after="60"/>
        <w:ind w:firstLine="567"/>
        <w:jc w:val="both"/>
      </w:pPr>
      <w:r>
        <w:rPr>
          <w:rFonts w:ascii="Arial" w:cs="Arial" w:eastAsia="Arial" w:hAnsi="Arial"/>
          <w:sz w:val="24"/>
          <w:szCs w:val="24"/>
        </w:rPr>
        <w:t xml:space="preserve">- на объекты недр, подпадающие под лицензирование в порядке реализации исключительного права недропользователя.</w:t>
      </w:r>
    </w:p>
    <w:p>
      <w:pPr>
        <w:spacing w:after="60"/>
        <w:ind w:firstLine="567"/>
        <w:jc w:val="both"/>
      </w:pPr>
      <w:r>
        <w:rPr>
          <w:rFonts w:ascii="Arial" w:cs="Arial" w:eastAsia="Arial" w:hAnsi="Arial"/>
          <w:sz w:val="24"/>
          <w:szCs w:val="24"/>
        </w:rPr>
        <w:t xml:space="preserve">12. Решение о ведении прямых переговоров с заявителем на получение прав пользования недрами путем прямых переговоров принимается Комиссией по вопросам лицензирования недропользования уполномоченного государственного органа по реализации государственной политики по недропользованию.</w:t>
      </w:r>
    </w:p>
    <w:p>
      <w:pPr>
        <w:spacing w:after="60"/>
        <w:ind w:firstLine="567"/>
        <w:jc w:val="both"/>
      </w:pPr>
      <w:r>
        <w:rPr>
          <w:rFonts w:ascii="Arial" w:cs="Arial" w:eastAsia="Arial" w:hAnsi="Arial"/>
          <w:sz w:val="24"/>
          <w:szCs w:val="24"/>
        </w:rPr>
        <w:t xml:space="preserve">Прямые переговоры с заявителем проводятся руководителем уполномоченного государственного органа по реализации государственной политики по недропользованию, результаты которых оформляются протоколом, подписанным сторонами. Протокол является основанием для выдачи лицензии на право пользования недрами.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ultr2gantpw9onwfgwdf">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12-1. Информация о пролицензированных и свободных объектах недропользования размещается на официальном сайте уполномоченного государственного органа по реализации государственной политики по недропользованию.</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drayb7zapky6qwphjvmi">
        <w:r>
          <w:rPr>
            <w:rFonts w:ascii="Arial" w:cs="Arial" w:eastAsia="Arial" w:hAnsi="Arial"/>
            <w:i/>
            <w:iCs/>
            <w:color w:val="1D4ED8"/>
            <w:sz w:val="24"/>
            <w:szCs w:val="24"/>
            <w:u w:val="single"/>
          </w:rPr>
          <w:t xml:space="preserve">13 июня 2013 года N 350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Лицензии на право пользования недрами выдаются на сроки:</w:t>
      </w:r>
    </w:p>
    <w:p>
      <w:pPr>
        <w:spacing w:after="60"/>
        <w:ind w:firstLine="567"/>
        <w:jc w:val="both"/>
      </w:pPr>
      <w:r>
        <w:rPr>
          <w:rFonts w:ascii="Arial" w:cs="Arial" w:eastAsia="Arial" w:hAnsi="Arial"/>
          <w:sz w:val="24"/>
          <w:szCs w:val="24"/>
        </w:rPr>
        <w:t xml:space="preserve">- на геолого-поисковые работы - до 5 лет, с последующим продлением в соответствии с техническим проектом;</w:t>
      </w:r>
    </w:p>
    <w:p>
      <w:pPr>
        <w:spacing w:after="60"/>
        <w:ind w:firstLine="567"/>
        <w:jc w:val="both"/>
      </w:pPr>
      <w:r>
        <w:rPr>
          <w:rFonts w:ascii="Arial" w:cs="Arial" w:eastAsia="Arial" w:hAnsi="Arial"/>
          <w:sz w:val="24"/>
          <w:szCs w:val="24"/>
        </w:rPr>
        <w:t xml:space="preserve">- на геологоразведочные работы - до 10 лет, с последующим продлением в соответствии с техническим проектом;</w:t>
      </w:r>
    </w:p>
    <w:p>
      <w:pPr>
        <w:spacing w:after="60"/>
        <w:ind w:firstLine="567"/>
        <w:jc w:val="both"/>
      </w:pPr>
      <w:r>
        <w:rPr>
          <w:rFonts w:ascii="Arial" w:cs="Arial" w:eastAsia="Arial" w:hAnsi="Arial"/>
          <w:sz w:val="24"/>
          <w:szCs w:val="24"/>
        </w:rPr>
        <w:t xml:space="preserve">- на разработку месторождений полезных ископаемых - до 20 лет, с последующим продлением до истощения запасов полезных ископаемых;</w:t>
      </w:r>
    </w:p>
    <w:p>
      <w:pPr>
        <w:spacing w:after="60"/>
        <w:ind w:firstLine="567"/>
        <w:jc w:val="both"/>
      </w:pPr>
      <w:r>
        <w:rPr>
          <w:rFonts w:ascii="Arial" w:cs="Arial" w:eastAsia="Arial" w:hAnsi="Arial"/>
          <w:sz w:val="24"/>
          <w:szCs w:val="24"/>
        </w:rPr>
        <w:t xml:space="preserve">- на объекты, не связанные с геологическим изучением недр и разработкой месторождений полезных ископаемых, - на срок, предусмотренный техническим проектом, с последующим продлением на срок, предусмотренный скорректированным техническим проектом.</w:t>
      </w:r>
    </w:p>
    <w:p>
      <w:pPr>
        <w:spacing w:after="60"/>
        <w:ind w:firstLine="567"/>
        <w:jc w:val="both"/>
      </w:pPr>
      <w:r>
        <w:rPr>
          <w:rFonts w:ascii="Arial" w:cs="Arial" w:eastAsia="Arial" w:hAnsi="Arial"/>
          <w:sz w:val="24"/>
          <w:szCs w:val="24"/>
        </w:rPr>
        <w:t xml:space="preserve">14. Лицензия на право пользования недрами для проведения геолого-поисковых работ предоставляет исключительное право на проведение геолого-поисковых работ на заявленные виды полезных ископаемых в пределах лицензионной площади.</w:t>
      </w:r>
    </w:p>
    <w:p>
      <w:pPr>
        <w:spacing w:after="60"/>
        <w:ind w:firstLine="567"/>
        <w:jc w:val="both"/>
      </w:pPr>
      <w:r>
        <w:rPr>
          <w:rFonts w:ascii="Arial" w:cs="Arial" w:eastAsia="Arial" w:hAnsi="Arial"/>
          <w:sz w:val="24"/>
          <w:szCs w:val="24"/>
        </w:rPr>
        <w:t xml:space="preserve">Лицензиат имеет исключительное право на трансформацию лицензии на право пользования недрами для проведения геолого-поисковых работ в лицензию на право пользования недрами для проведения геологоразведочных работ на объекте полезного ископаемого.</w:t>
      </w:r>
    </w:p>
    <w:p>
      <w:pPr>
        <w:spacing w:after="60"/>
        <w:ind w:firstLine="567"/>
        <w:jc w:val="both"/>
      </w:pPr>
      <w:r>
        <w:rPr>
          <w:rFonts w:ascii="Arial" w:cs="Arial" w:eastAsia="Arial" w:hAnsi="Arial"/>
          <w:sz w:val="24"/>
          <w:szCs w:val="24"/>
        </w:rPr>
        <w:t xml:space="preserve">15. На пролицензированную площадь на определенные виды поисков полезных ископаемых может быть выдана лицензия на право пользования недрами других групп полезных ископаемых другим заявителям.</w:t>
      </w:r>
    </w:p>
    <w:p>
      <w:pPr>
        <w:spacing w:after="60"/>
        <w:ind w:firstLine="567"/>
        <w:jc w:val="both"/>
      </w:pPr>
      <w:r>
        <w:rPr>
          <w:rFonts w:ascii="Arial" w:cs="Arial" w:eastAsia="Arial" w:hAnsi="Arial"/>
          <w:sz w:val="24"/>
          <w:szCs w:val="24"/>
        </w:rPr>
        <w:t xml:space="preserve">16. Лицензия на право пользования недрами для проведения геологоразведочных работ предоставляет исключительное право на проведение геологоразведочных работ на заявленные виды полезных ископаемых в пределах лицензионной площади.</w:t>
      </w:r>
    </w:p>
    <w:p>
      <w:pPr>
        <w:spacing w:after="60"/>
        <w:ind w:firstLine="567"/>
        <w:jc w:val="both"/>
      </w:pPr>
      <w:r>
        <w:rPr>
          <w:rFonts w:ascii="Arial" w:cs="Arial" w:eastAsia="Arial" w:hAnsi="Arial"/>
          <w:sz w:val="24"/>
          <w:szCs w:val="24"/>
        </w:rPr>
        <w:t xml:space="preserve">17. После учета запасов полезных ископаемых в Государственном балансе запасов полезных ископаемых Кыргызской Республики, на основании заключения апробации Государственной комиссии по запасам полезных ископаемых Кыргызской Республики, лицензиат имеет исключительное право на трансформацию лицензии на право пользования недрами на геологоразведочные работы в лицензию на право пользования недрами на разработку разведанного месторождения полезных ископаемых.</w:t>
      </w:r>
    </w:p>
    <w:p>
      <w:pPr>
        <w:spacing w:after="60"/>
        <w:ind w:firstLine="567"/>
        <w:jc w:val="both"/>
      </w:pPr>
      <w:r>
        <w:rPr>
          <w:rFonts w:ascii="Arial" w:cs="Arial" w:eastAsia="Arial" w:hAnsi="Arial"/>
          <w:sz w:val="24"/>
          <w:szCs w:val="24"/>
        </w:rPr>
        <w:t xml:space="preserve">18. Лицензия на право пользования недрами на разработку месторождений полезных ископаемых выдается на лицензионные объекты, запасы которых апробированы и учтены Государственной комиссией по запасам полезных ископаемых Кыргызской Республики, а также бывшими компетентными ведомствами СССР (Государственная комиссия по запасам полезных ископаемых СССР, Территориальная комиссия по запасам полезных ископаемых Киргизской ССР, Центральная комиссия по запасам полезных ископаемых Министерства геологии СССР и др.).</w:t>
      </w:r>
    </w:p>
    <w:p>
      <w:pPr>
        <w:spacing w:after="60"/>
        <w:ind w:firstLine="567"/>
        <w:jc w:val="both"/>
      </w:pPr>
      <w:r>
        <w:rPr>
          <w:rFonts w:ascii="Arial" w:cs="Arial" w:eastAsia="Arial" w:hAnsi="Arial"/>
          <w:sz w:val="24"/>
          <w:szCs w:val="24"/>
        </w:rPr>
        <w:t xml:space="preserve">Лицензия на право пользования недрами для разработки месторождений полезных ископаемых предоставляет лицензиату исключительное право на:</w:t>
      </w:r>
    </w:p>
    <w:p>
      <w:pPr>
        <w:spacing w:after="60"/>
        <w:ind w:firstLine="567"/>
        <w:jc w:val="both"/>
      </w:pPr>
      <w:r>
        <w:rPr>
          <w:rFonts w:ascii="Arial" w:cs="Arial" w:eastAsia="Arial" w:hAnsi="Arial"/>
          <w:sz w:val="24"/>
          <w:szCs w:val="24"/>
        </w:rPr>
        <w:t xml:space="preserve">- разработку полезных ископаемых в пределах горного отвода с правом на проведение всех необходимых подготовительных работ;</w:t>
      </w:r>
    </w:p>
    <w:p>
      <w:pPr>
        <w:spacing w:after="60"/>
        <w:ind w:firstLine="567"/>
        <w:jc w:val="both"/>
      </w:pPr>
      <w:r>
        <w:rPr>
          <w:rFonts w:ascii="Arial" w:cs="Arial" w:eastAsia="Arial" w:hAnsi="Arial"/>
          <w:sz w:val="24"/>
          <w:szCs w:val="24"/>
        </w:rPr>
        <w:t xml:space="preserve">- переработку полезных ископаемых, включая обогащение и металлургию, использование техногенных образований, отходов металлургического производства;</w:t>
      </w:r>
    </w:p>
    <w:p>
      <w:pPr>
        <w:spacing w:after="60"/>
        <w:ind w:firstLine="567"/>
        <w:jc w:val="both"/>
      </w:pPr>
      <w:r>
        <w:rPr>
          <w:rFonts w:ascii="Arial" w:cs="Arial" w:eastAsia="Arial" w:hAnsi="Arial"/>
          <w:sz w:val="24"/>
          <w:szCs w:val="24"/>
        </w:rPr>
        <w:t xml:space="preserve">- продажу полезных ископаемых и продуктов их переработки, включая экспорт;</w:t>
      </w:r>
    </w:p>
    <w:p>
      <w:pPr>
        <w:spacing w:after="60"/>
        <w:ind w:firstLine="567"/>
        <w:jc w:val="both"/>
      </w:pPr>
      <w:r>
        <w:rPr>
          <w:rFonts w:ascii="Arial" w:cs="Arial" w:eastAsia="Arial" w:hAnsi="Arial"/>
          <w:sz w:val="24"/>
          <w:szCs w:val="24"/>
        </w:rPr>
        <w:t xml:space="preserve">- геологическое изучение недр в пределах горного отвода по техническому проекту с соответствующими положительными экспертными заключениями.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71sd_4wa_sty1kwxeo7zw">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В экстренных случаях, в целях предотвращения чрезвычайных ситуаций для берегоукрепительных работ, при проведении дорожно-строительных работ по заявке Министерства чрезвычайных ситуаций Кыргызской Республики, Министерства транспорта и коммуникаций Кыргызской Республики, органов местной государственной администрации и местного самоуправления разрешается разработка инертных материалов без получения лицензии на право пользования недрами по разрешению уполномоченного государственного органа по реализации государственной политики по недропользованию с уведомлением его о проведенных работах и объемах добычи.</w:t>
      </w:r>
    </w:p>
    <w:p>
      <w:pPr>
        <w:spacing w:after="60"/>
        <w:ind w:firstLine="567"/>
        <w:jc w:val="both"/>
      </w:pPr>
      <w:r>
        <w:rPr>
          <w:rFonts w:ascii="Arial" w:cs="Arial" w:eastAsia="Arial" w:hAnsi="Arial"/>
          <w:sz w:val="24"/>
          <w:szCs w:val="24"/>
        </w:rPr>
        <w:t xml:space="preserve">При этом, обязательным условием согласования является требование выполнения работ по техническому проекту разработки месторождения полезного ископаемого, включающему и последующие техническую и биологическую рекультивации.</w:t>
      </w:r>
    </w:p>
    <w:p>
      <w:pPr>
        <w:spacing w:after="60"/>
        <w:ind w:firstLine="567"/>
        <w:jc w:val="both"/>
      </w:pPr>
      <w:r>
        <w:rPr>
          <w:rFonts w:ascii="Arial" w:cs="Arial" w:eastAsia="Arial" w:hAnsi="Arial"/>
          <w:sz w:val="24"/>
          <w:szCs w:val="24"/>
        </w:rPr>
        <w:t xml:space="preserve">20. Лицензия на право пользования недрами, не связанного с геологическим изучением недр и разработкой полезных ископаемых, предоставляет лицензиату в пределах горного отвода право проводить работы в соответствии с техническим проектом.</w:t>
      </w:r>
    </w:p>
    <w:p>
      <w:pPr>
        <w:spacing w:after="200" w:before="200"/>
        <w:jc w:val="center"/>
      </w:pPr>
      <w:r>
        <w:rPr>
          <w:rFonts w:ascii="Arial" w:cs="Arial" w:eastAsia="Arial" w:hAnsi="Arial"/>
          <w:b/>
          <w:bCs/>
          <w:sz w:val="24"/>
          <w:szCs w:val="24"/>
        </w:rPr>
        <w:t xml:space="preserve">III. Комиссия по вопросам лицензирования недропользования</w:t>
      </w:r>
    </w:p>
    <w:p>
      <w:pPr>
        <w:spacing w:after="60"/>
        <w:ind w:firstLine="567"/>
        <w:jc w:val="both"/>
      </w:pPr>
      <w:r>
        <w:rPr>
          <w:rFonts w:ascii="Arial" w:cs="Arial" w:eastAsia="Arial" w:hAnsi="Arial"/>
          <w:sz w:val="24"/>
          <w:szCs w:val="24"/>
        </w:rPr>
        <w:t xml:space="preserve">21. Для решения вопросов, связанных с лицензированием недропользования, в уполномоченном государственном органе по реализации государственной политики по недропользованию создается Комиссия по вопросам лицензирования недропользования (далее - Комиссия).</w:t>
      </w:r>
    </w:p>
    <w:p>
      <w:pPr>
        <w:spacing w:after="60"/>
        <w:ind w:firstLine="567"/>
        <w:jc w:val="both"/>
      </w:pPr>
      <w:r>
        <w:rPr>
          <w:rFonts w:ascii="Arial" w:cs="Arial" w:eastAsia="Arial" w:hAnsi="Arial"/>
          <w:sz w:val="24"/>
          <w:szCs w:val="24"/>
        </w:rPr>
        <w:t xml:space="preserve">22. В полномочия Комиссии входит рассмотрение следующих вопросов:</w:t>
      </w:r>
    </w:p>
    <w:p>
      <w:pPr>
        <w:spacing w:after="60"/>
        <w:ind w:firstLine="567"/>
        <w:jc w:val="both"/>
      </w:pPr>
      <w:r>
        <w:rPr>
          <w:rFonts w:ascii="Arial" w:cs="Arial" w:eastAsia="Arial" w:hAnsi="Arial"/>
          <w:sz w:val="24"/>
          <w:szCs w:val="24"/>
        </w:rPr>
        <w:t xml:space="preserve">- принятие решений о ведении прямых переговоров с заявителями на получение прав пользования недрами;</w:t>
      </w:r>
    </w:p>
    <w:p>
      <w:pPr>
        <w:spacing w:after="60"/>
        <w:ind w:firstLine="567"/>
        <w:jc w:val="both"/>
      </w:pPr>
      <w:r>
        <w:rPr>
          <w:rFonts w:ascii="Arial" w:cs="Arial" w:eastAsia="Arial" w:hAnsi="Arial"/>
          <w:sz w:val="24"/>
          <w:szCs w:val="24"/>
        </w:rPr>
        <w:t xml:space="preserve">- продление срока действия лицензий;</w:t>
      </w:r>
    </w:p>
    <w:p>
      <w:pPr>
        <w:spacing w:after="60"/>
        <w:ind w:firstLine="567"/>
        <w:jc w:val="both"/>
      </w:pPr>
      <w:r>
        <w:rPr>
          <w:rFonts w:ascii="Arial" w:cs="Arial" w:eastAsia="Arial" w:hAnsi="Arial"/>
          <w:sz w:val="24"/>
          <w:szCs w:val="24"/>
        </w:rPr>
        <w:t xml:space="preserve">- внесение изменений и дополнений в лицензионные соглашения;</w:t>
      </w:r>
    </w:p>
    <w:p>
      <w:pPr>
        <w:spacing w:after="60"/>
        <w:ind w:firstLine="567"/>
        <w:jc w:val="both"/>
      </w:pPr>
      <w:r>
        <w:rPr>
          <w:rFonts w:ascii="Arial" w:cs="Arial" w:eastAsia="Arial" w:hAnsi="Arial"/>
          <w:sz w:val="24"/>
          <w:szCs w:val="24"/>
        </w:rPr>
        <w:t xml:space="preserve">- приостановление и прекращение лицензий на право пользования недрами;</w:t>
      </w:r>
    </w:p>
    <w:p>
      <w:pPr>
        <w:spacing w:after="60"/>
        <w:ind w:firstLine="567"/>
        <w:jc w:val="both"/>
      </w:pPr>
      <w:r>
        <w:rPr>
          <w:rFonts w:ascii="Arial" w:cs="Arial" w:eastAsia="Arial" w:hAnsi="Arial"/>
          <w:sz w:val="24"/>
          <w:szCs w:val="24"/>
        </w:rPr>
        <w:t xml:space="preserve">- решение вопроса о переоформлении лицензий в связи с передачей доли;</w:t>
      </w:r>
    </w:p>
    <w:p>
      <w:pPr>
        <w:spacing w:after="60"/>
        <w:ind w:firstLine="567"/>
        <w:jc w:val="both"/>
      </w:pPr>
      <w:r>
        <w:rPr>
          <w:rFonts w:ascii="Arial" w:cs="Arial" w:eastAsia="Arial" w:hAnsi="Arial"/>
          <w:sz w:val="24"/>
          <w:szCs w:val="24"/>
        </w:rPr>
        <w:t xml:space="preserve">- рассмотрение иных вопросов, связанных с недропользованием.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z6ci8royqvoftyvfep2_">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Состав Комиссии утверждается руководителем уполномоченного государственного органа по реализации государственной политики по недропользованию.</w:t>
      </w:r>
    </w:p>
    <w:p>
      <w:pPr>
        <w:spacing w:after="60"/>
        <w:ind w:firstLine="567"/>
        <w:jc w:val="both"/>
      </w:pPr>
      <w:r>
        <w:rPr>
          <w:rFonts w:ascii="Arial" w:cs="Arial" w:eastAsia="Arial" w:hAnsi="Arial"/>
          <w:sz w:val="24"/>
          <w:szCs w:val="24"/>
        </w:rPr>
        <w:t xml:space="preserve">24. Председателем Комиссии является руководитель уполномоченного государственного органа по реализации государственной политики по недропользованию.</w:t>
      </w:r>
    </w:p>
    <w:p>
      <w:pPr>
        <w:spacing w:after="60"/>
        <w:ind w:firstLine="567"/>
        <w:jc w:val="both"/>
      </w:pPr>
      <w:r>
        <w:rPr>
          <w:rFonts w:ascii="Arial" w:cs="Arial" w:eastAsia="Arial" w:hAnsi="Arial"/>
          <w:sz w:val="24"/>
          <w:szCs w:val="24"/>
        </w:rPr>
        <w:t xml:space="preserve">25. Руководит работой Комиссии председатель Комиссии, а в его отсутствие - заместитель председателя Комиссии.</w:t>
      </w:r>
    </w:p>
    <w:p>
      <w:pPr>
        <w:spacing w:after="60"/>
        <w:ind w:firstLine="567"/>
        <w:jc w:val="both"/>
      </w:pPr>
      <w:r>
        <w:rPr>
          <w:rFonts w:ascii="Arial" w:cs="Arial" w:eastAsia="Arial" w:hAnsi="Arial"/>
          <w:sz w:val="24"/>
          <w:szCs w:val="24"/>
        </w:rPr>
        <w:t xml:space="preserve">26. Заседание Комиссии считается правомочным, если на нем присутствует более половины от списочного состава Комиссии.</w:t>
      </w:r>
    </w:p>
    <w:p>
      <w:pPr>
        <w:spacing w:after="60"/>
        <w:ind w:firstLine="567"/>
        <w:jc w:val="both"/>
      </w:pPr>
      <w:r>
        <w:rPr>
          <w:rFonts w:ascii="Arial" w:cs="Arial" w:eastAsia="Arial" w:hAnsi="Arial"/>
          <w:sz w:val="24"/>
          <w:szCs w:val="24"/>
        </w:rPr>
        <w:t xml:space="preserve">27. Решение Комиссии принимается открытым голосованием, большинством от общего числа голосов членов Комиссии. В случае равенства голосов, голос председателя Комиссии является решающим.</w:t>
      </w:r>
    </w:p>
    <w:p>
      <w:pPr>
        <w:spacing w:after="60"/>
        <w:ind w:firstLine="567"/>
        <w:jc w:val="both"/>
      </w:pPr>
      <w:r>
        <w:rPr>
          <w:rFonts w:ascii="Arial" w:cs="Arial" w:eastAsia="Arial" w:hAnsi="Arial"/>
          <w:sz w:val="24"/>
          <w:szCs w:val="24"/>
        </w:rPr>
        <w:t xml:space="preserve">28. Комиссия собирается на свои заседания по мере поступления материалов и необходимости решения вопросов в сфере лицензирования недропользования.</w:t>
      </w:r>
    </w:p>
    <w:p>
      <w:pPr>
        <w:spacing w:after="60"/>
        <w:ind w:firstLine="567"/>
        <w:jc w:val="both"/>
      </w:pPr>
      <w:r>
        <w:rPr>
          <w:rFonts w:ascii="Arial" w:cs="Arial" w:eastAsia="Arial" w:hAnsi="Arial"/>
          <w:sz w:val="24"/>
          <w:szCs w:val="24"/>
        </w:rPr>
        <w:t xml:space="preserve">29. Недропользователи вправе участвовать в заседаниях Комиссии лично, либо через своих представителей, имеющих доверенности, оформленные в установленном порядке.</w:t>
      </w:r>
    </w:p>
    <w:p>
      <w:pPr>
        <w:spacing w:after="60"/>
        <w:ind w:firstLine="567"/>
        <w:jc w:val="both"/>
      </w:pPr>
      <w:r>
        <w:rPr>
          <w:rFonts w:ascii="Arial" w:cs="Arial" w:eastAsia="Arial" w:hAnsi="Arial"/>
          <w:sz w:val="24"/>
          <w:szCs w:val="24"/>
        </w:rPr>
        <w:t xml:space="preserve">30. Заседание Комиссии, а также принятые решения оформляются протоколом.</w:t>
      </w:r>
    </w:p>
    <w:p>
      <w:pPr>
        <w:spacing w:after="60"/>
        <w:ind w:firstLine="567"/>
        <w:jc w:val="both"/>
      </w:pPr>
      <w:r>
        <w:rPr>
          <w:rFonts w:ascii="Arial" w:cs="Arial" w:eastAsia="Arial" w:hAnsi="Arial"/>
          <w:sz w:val="24"/>
          <w:szCs w:val="24"/>
        </w:rPr>
        <w:t xml:space="preserve">31. Члены Комиссии, не согласные с решением Комиссии, вправе указать в протоколе Комиссии либо отдельно в приложении свою позицию.</w:t>
      </w:r>
    </w:p>
    <w:p>
      <w:pPr>
        <w:spacing w:after="60"/>
        <w:ind w:firstLine="567"/>
        <w:jc w:val="both"/>
      </w:pPr>
      <w:r>
        <w:rPr>
          <w:rFonts w:ascii="Arial" w:cs="Arial" w:eastAsia="Arial" w:hAnsi="Arial"/>
          <w:sz w:val="24"/>
          <w:szCs w:val="24"/>
        </w:rPr>
        <w:t xml:space="preserve">32. Выписка из протокола заседания Комиссии вручается недропользователю, либо высылается ему по последнему известному адресу, в течение десяти рабочих дней с момента проведения заседания Комиссии и принятия решения.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ktfuob2unh43knajjmoq">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 Решение Комиссии вступает в силу немедленно и может быть обжаловано в судебном порядке в течение трех месяцев.</w:t>
      </w:r>
    </w:p>
    <w:p>
      <w:pPr>
        <w:spacing w:after="60"/>
        <w:ind w:firstLine="567"/>
        <w:jc w:val="both"/>
      </w:pPr>
      <w:r>
        <w:rPr>
          <w:rFonts w:ascii="Arial" w:cs="Arial" w:eastAsia="Arial" w:hAnsi="Arial"/>
          <w:sz w:val="24"/>
          <w:szCs w:val="24"/>
        </w:rPr>
        <w:t xml:space="preserve">34. При поступлении дополнительных материалов, свидетельствующих в пользу недропользователя, о которых не было известно членам Комиссии при принятии решения, решение Комиссии может быть пересмотрено.</w:t>
      </w:r>
    </w:p>
    <w:p>
      <w:pPr>
        <w:spacing w:after="60"/>
        <w:ind w:firstLine="567"/>
        <w:jc w:val="both"/>
      </w:pPr>
      <w:r>
        <w:rPr>
          <w:rFonts w:ascii="Arial" w:cs="Arial" w:eastAsia="Arial" w:hAnsi="Arial"/>
          <w:sz w:val="24"/>
          <w:szCs w:val="24"/>
        </w:rPr>
        <w:t xml:space="preserve">Решение о прекращении прав пользования недрами может быть пересмотрено Комиссией в течение одного месяца со дня вынесения такого решения. Решение об отказе в предоставлении прав пользования недрами путем прямых переговоров пересмотру не подлежит.</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9wjyaadj2z0fv_ep2vt31">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IV. Предоставление права пользования недрами путем проведения прямых переговоров</w:t>
      </w:r>
    </w:p>
    <w:p>
      <w:pPr>
        <w:spacing w:after="60"/>
        <w:ind w:firstLine="567"/>
        <w:jc w:val="both"/>
      </w:pPr>
      <w:r>
        <w:rPr>
          <w:rFonts w:ascii="Arial" w:cs="Arial" w:eastAsia="Arial" w:hAnsi="Arial"/>
          <w:sz w:val="24"/>
          <w:szCs w:val="24"/>
        </w:rPr>
        <w:t xml:space="preserve">35. Для получения права пользования недрами путем прямых переговоров необходимо подать заявку в уполномоченный государственный орган по реализации государственной политики по недропользованию.</w:t>
      </w:r>
    </w:p>
    <w:p>
      <w:pPr>
        <w:spacing w:after="60"/>
        <w:ind w:firstLine="567"/>
        <w:jc w:val="both"/>
      </w:pPr>
      <w:r>
        <w:rPr>
          <w:rFonts w:ascii="Arial" w:cs="Arial" w:eastAsia="Arial" w:hAnsi="Arial"/>
          <w:sz w:val="24"/>
          <w:szCs w:val="24"/>
        </w:rPr>
        <w:t xml:space="preserve">36. Заявка на получение права пользования недрами подается на государственном или официальном языке, на специальном бланке уполномоченного государственного органа по реализации государственной политики по недропользованию и должна содержать данные о заявителе, месте, видах пользования полезными ископаемыми.</w:t>
      </w:r>
    </w:p>
    <w:p>
      <w:pPr>
        <w:spacing w:after="60"/>
        <w:ind w:firstLine="567"/>
        <w:jc w:val="both"/>
      </w:pPr>
      <w:r>
        <w:rPr>
          <w:rFonts w:ascii="Arial" w:cs="Arial" w:eastAsia="Arial" w:hAnsi="Arial"/>
          <w:sz w:val="24"/>
          <w:szCs w:val="24"/>
        </w:rPr>
        <w:t xml:space="preserve">К заявке прилагаются:</w:t>
      </w:r>
    </w:p>
    <w:p>
      <w:pPr>
        <w:spacing w:after="60"/>
        <w:ind w:firstLine="567"/>
        <w:jc w:val="both"/>
      </w:pPr>
      <w:r>
        <w:rPr>
          <w:rFonts w:ascii="Arial" w:cs="Arial" w:eastAsia="Arial" w:hAnsi="Arial"/>
          <w:sz w:val="24"/>
          <w:szCs w:val="24"/>
        </w:rPr>
        <w:t xml:space="preserve">- нотариально удостоверенные копии учредительных документов - для юридических лиц, зарегистрированных, перерегистрированных до 1 апреля 2009 года, или копии учредительных документов, заверенные своей печатью, - для юридических лиц, зарегистрированных, перерегистрированных позже указанного срока;</w:t>
      </w:r>
    </w:p>
    <w:p>
      <w:pPr>
        <w:spacing w:after="60"/>
        <w:ind w:firstLine="567"/>
        <w:jc w:val="both"/>
      </w:pPr>
      <w:r>
        <w:rPr>
          <w:rFonts w:ascii="Arial" w:cs="Arial" w:eastAsia="Arial" w:hAnsi="Arial"/>
          <w:sz w:val="24"/>
          <w:szCs w:val="24"/>
        </w:rPr>
        <w:t xml:space="preserve">- нотариально удостоверенная копия свидетельства о государственной регистрации юридического лица и (или) индивидуального предпринимателя;</w:t>
      </w:r>
    </w:p>
    <w:p>
      <w:pPr>
        <w:spacing w:after="60"/>
        <w:ind w:firstLine="567"/>
        <w:jc w:val="both"/>
      </w:pPr>
      <w:r>
        <w:rPr>
          <w:rFonts w:ascii="Arial" w:cs="Arial" w:eastAsia="Arial" w:hAnsi="Arial"/>
          <w:sz w:val="24"/>
          <w:szCs w:val="24"/>
        </w:rPr>
        <w:t xml:space="preserve">- копия паспорта, с указанием адреса прописки - для физического лица;</w:t>
      </w:r>
    </w:p>
    <w:p>
      <w:pPr>
        <w:spacing w:after="60"/>
        <w:ind w:firstLine="567"/>
        <w:jc w:val="both"/>
      </w:pPr>
      <w:r>
        <w:rPr>
          <w:rFonts w:ascii="Arial" w:cs="Arial" w:eastAsia="Arial" w:hAnsi="Arial"/>
          <w:sz w:val="24"/>
          <w:szCs w:val="24"/>
        </w:rPr>
        <w:t xml:space="preserve">- программа изучения или освоения лицензионного объекта;</w:t>
      </w:r>
    </w:p>
    <w:p>
      <w:pPr>
        <w:spacing w:after="60"/>
        <w:ind w:firstLine="567"/>
        <w:jc w:val="both"/>
      </w:pPr>
      <w:r>
        <w:rPr>
          <w:rFonts w:ascii="Arial" w:cs="Arial" w:eastAsia="Arial" w:hAnsi="Arial"/>
          <w:sz w:val="24"/>
          <w:szCs w:val="24"/>
        </w:rPr>
        <w:t xml:space="preserve">- в случае лицензирования права пользования недрами на разработку месторождений полезных ископаемых - документы, подтверждающие финансовые возможности заявителя для выполнения представленной программы освоения лицензионного объекта, выданные банками Кыргызской Республики;</w:t>
      </w:r>
    </w:p>
    <w:p>
      <w:pPr>
        <w:spacing w:after="60"/>
        <w:ind w:firstLine="567"/>
        <w:jc w:val="both"/>
      </w:pPr>
      <w:r>
        <w:rPr>
          <w:rFonts w:ascii="Arial" w:cs="Arial" w:eastAsia="Arial" w:hAnsi="Arial"/>
          <w:sz w:val="24"/>
          <w:szCs w:val="24"/>
        </w:rPr>
        <w:t xml:space="preserve">- в случае лицензирования права пользования недрами на проведение геолого-поисковых или геологоразведочных работ - документы, подтверждающие возможность уплаты заявителем лицензионных платежей в течение первых трех лет действия лицензии на право пользования недрами, выданные банками Кыргызской Республики;</w:t>
      </w:r>
    </w:p>
    <w:p>
      <w:pPr>
        <w:spacing w:after="60"/>
        <w:ind w:firstLine="567"/>
        <w:jc w:val="both"/>
      </w:pPr>
      <w:r>
        <w:rPr>
          <w:rFonts w:ascii="Arial" w:cs="Arial" w:eastAsia="Arial" w:hAnsi="Arial"/>
          <w:sz w:val="24"/>
          <w:szCs w:val="24"/>
        </w:rPr>
        <w:t xml:space="preserve">- решение или протокол о назначении руководителя юридического лица или доверенность на представление интересов заявителя;</w:t>
      </w:r>
    </w:p>
    <w:p>
      <w:pPr>
        <w:spacing w:after="60"/>
        <w:ind w:firstLine="567"/>
        <w:jc w:val="both"/>
      </w:pPr>
      <w:r>
        <w:rPr>
          <w:rFonts w:ascii="Arial" w:cs="Arial" w:eastAsia="Arial" w:hAnsi="Arial"/>
          <w:sz w:val="24"/>
          <w:szCs w:val="24"/>
        </w:rPr>
        <w:t xml:space="preserve">- иностранное юридическое лицо дополнительно представляет легализованную выписку из государственного реестра или иной документ, удостоверяющий, что оно является действующим юридическим лицом по законодательству своей страны;</w:t>
      </w:r>
    </w:p>
    <w:p>
      <w:pPr>
        <w:spacing w:after="60"/>
        <w:ind w:firstLine="567"/>
        <w:jc w:val="both"/>
      </w:pPr>
      <w:r>
        <w:rPr>
          <w:rFonts w:ascii="Arial" w:cs="Arial" w:eastAsia="Arial" w:hAnsi="Arial"/>
          <w:sz w:val="24"/>
          <w:szCs w:val="24"/>
        </w:rPr>
        <w:t xml:space="preserve">- компании, зарегистрированные в Кыргызской Республике, включая филиалы иностранных компаний, зарегистрированных в Кыргызской Республике, дополнительно представляют справку налоговой службы об отсутствии просроченной налоговой задолженности.</w:t>
      </w:r>
    </w:p>
    <w:p>
      <w:pPr>
        <w:spacing w:after="60"/>
        <w:ind w:firstLine="567"/>
        <w:jc w:val="both"/>
      </w:pPr>
      <w:r>
        <w:rPr>
          <w:rFonts w:ascii="Arial" w:cs="Arial" w:eastAsia="Arial" w:hAnsi="Arial"/>
          <w:sz w:val="24"/>
          <w:szCs w:val="24"/>
        </w:rPr>
        <w:t xml:space="preserve">К заявке на получение лицензии на право пользования недрами по отбору и использованию подземных вод дополнительно прилагаются:</w:t>
      </w:r>
    </w:p>
    <w:p>
      <w:pPr>
        <w:spacing w:after="60"/>
        <w:ind w:firstLine="567"/>
        <w:jc w:val="both"/>
      </w:pPr>
      <w:r>
        <w:rPr>
          <w:rFonts w:ascii="Arial" w:cs="Arial" w:eastAsia="Arial" w:hAnsi="Arial"/>
          <w:sz w:val="24"/>
          <w:szCs w:val="24"/>
        </w:rPr>
        <w:t xml:space="preserve">- технологическая схема эксплуатации;</w:t>
      </w:r>
    </w:p>
    <w:p>
      <w:pPr>
        <w:spacing w:after="60"/>
        <w:ind w:firstLine="567"/>
        <w:jc w:val="both"/>
      </w:pPr>
      <w:r>
        <w:rPr>
          <w:rFonts w:ascii="Arial" w:cs="Arial" w:eastAsia="Arial" w:hAnsi="Arial"/>
          <w:sz w:val="24"/>
          <w:szCs w:val="24"/>
        </w:rPr>
        <w:t xml:space="preserve">- заключение уполномоченного государственного органа по здравоохранению в случае использования подземных вод для розлива и (или) для бальнеологического лечения.</w:t>
      </w:r>
    </w:p>
    <w:p>
      <w:pPr>
        <w:spacing w:after="60"/>
        <w:ind w:firstLine="567"/>
        <w:jc w:val="both"/>
      </w:pPr>
      <w:r>
        <w:rPr>
          <w:rFonts w:ascii="Arial" w:cs="Arial" w:eastAsia="Arial" w:hAnsi="Arial"/>
          <w:sz w:val="24"/>
          <w:szCs w:val="24"/>
        </w:rPr>
        <w:t xml:space="preserve">Документы, подтверждающие финансовые возможности заявителя для выполнения представленной программы освоения лицензионного объекта, и документы, подтверждающие возможность уплаты лицензионных платежей в течение первых трех лет действия лицензии на право пользования недрами, а также справки налоговой службы об отсутствии просроченной налоговой задолженности действуют в течение трех месяцев с момента их составления.</w:t>
      </w:r>
    </w:p>
    <w:p>
      <w:pPr>
        <w:spacing w:after="60"/>
        <w:ind w:firstLine="567"/>
        <w:jc w:val="both"/>
      </w:pPr>
      <w:r>
        <w:rPr>
          <w:rFonts w:ascii="Arial" w:cs="Arial" w:eastAsia="Arial" w:hAnsi="Arial"/>
          <w:sz w:val="24"/>
          <w:szCs w:val="24"/>
        </w:rPr>
        <w:t xml:space="preserve">Заявка с приложениями подается на бумажном носителе информации вместе с фотокопиями на электронном носителе информации.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zy9hjsu-p_4cheuhknbef">
        <w:r>
          <w:rPr>
            <w:rFonts w:ascii="Arial" w:cs="Arial" w:eastAsia="Arial" w:hAnsi="Arial"/>
            <w:i/>
            <w:iCs/>
            <w:color w:val="1D4ED8"/>
            <w:sz w:val="24"/>
            <w:szCs w:val="24"/>
            <w:u w:val="single"/>
          </w:rPr>
          <w:t xml:space="preserve">13 июня 2013 года N 350</w:t>
        </w:r>
      </w:hyperlink>
      <w:r>
        <w:rPr>
          <w:rFonts w:ascii="Arial" w:cs="Arial" w:eastAsia="Arial" w:hAnsi="Arial"/>
          <w:i/>
          <w:iCs/>
          <w:sz w:val="24"/>
          <w:szCs w:val="24"/>
        </w:rPr>
        <w:t xml:space="preserve">, </w:t>
      </w:r>
      <w:hyperlink w:history="1" r:id="rId-l2t2yodhap_0gpkj4hj2">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 Заявки с неполным комплектом требуемых документов и без копии на электронном носителе не принимаются.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g4bmr0dhvl7fodtu4v1f">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Заявки с приложением полного комплекта документов фиксируются в специальной книге приема заявок с указанием даты и времени их принятия.</w:t>
      </w:r>
    </w:p>
    <w:p>
      <w:pPr>
        <w:spacing w:after="60"/>
        <w:ind w:firstLine="567"/>
        <w:jc w:val="both"/>
      </w:pPr>
      <w:r>
        <w:rPr>
          <w:rFonts w:ascii="Arial" w:cs="Arial" w:eastAsia="Arial" w:hAnsi="Arial"/>
          <w:sz w:val="24"/>
          <w:szCs w:val="24"/>
        </w:rPr>
        <w:t xml:space="preserve">Ответственный за прием документов ежедневно отмечает завершение приема заявок и заверяет его своей подписью.</w:t>
      </w:r>
    </w:p>
    <w:p>
      <w:pPr>
        <w:spacing w:after="60"/>
        <w:ind w:firstLine="567"/>
        <w:jc w:val="both"/>
      </w:pPr>
      <w:r>
        <w:rPr>
          <w:rFonts w:ascii="Arial" w:cs="Arial" w:eastAsia="Arial" w:hAnsi="Arial"/>
          <w:sz w:val="24"/>
          <w:szCs w:val="24"/>
        </w:rPr>
        <w:t xml:space="preserve">39. В случае если на объект права пользования недрами в течение 20 календарных дней после подачи первой заявки будет зарегистрировано две и более заявки, право пользования недрами по данному объекту подлежит предоставлению путем проведения аукциона, в соответствии с установленным порядком.</w:t>
      </w:r>
    </w:p>
    <w:p>
      <w:pPr>
        <w:spacing w:after="60"/>
        <w:ind w:firstLine="567"/>
        <w:jc w:val="both"/>
      </w:pPr>
      <w:r>
        <w:rPr>
          <w:rFonts w:ascii="Arial" w:cs="Arial" w:eastAsia="Arial" w:hAnsi="Arial"/>
          <w:sz w:val="24"/>
          <w:szCs w:val="24"/>
        </w:rPr>
        <w:t xml:space="preserve">В данном случае уполномоченным государственным органом по реализации государственной политики по недропользованию, в течение 30 календарных дней с момента подачи первой заявки, принимается решение о проведении аукциона.</w:t>
      </w:r>
    </w:p>
    <w:p>
      <w:pPr>
        <w:spacing w:after="60"/>
        <w:ind w:firstLine="567"/>
        <w:jc w:val="both"/>
      </w:pPr>
      <w:r>
        <w:rPr>
          <w:rFonts w:ascii="Arial" w:cs="Arial" w:eastAsia="Arial" w:hAnsi="Arial"/>
          <w:sz w:val="24"/>
          <w:szCs w:val="24"/>
        </w:rPr>
        <w:t xml:space="preserve">Лицам, подавшим заявки на предоставление права пользования недрами на объект путем прямых переговоров, необходимо подать заявки на участие в аукционе в соответствии с установленным порядком. При этом, представления документов, которые были уже представлены ранее, при подаче первой заявки, не требуется.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5s-7octl1iqc1oc5axkk">
        <w:r>
          <w:rPr>
            <w:rFonts w:ascii="Arial" w:cs="Arial" w:eastAsia="Arial" w:hAnsi="Arial"/>
            <w:i/>
            <w:iCs/>
            <w:color w:val="1D4ED8"/>
            <w:sz w:val="24"/>
            <w:szCs w:val="24"/>
            <w:u w:val="single"/>
          </w:rPr>
          <w:t xml:space="preserve">12 января 2013 года N 12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40. Отказ в предоставлении права пользования недрами может последовать в случаях:</w:t>
      </w:r>
    </w:p>
    <w:p>
      <w:pPr>
        <w:spacing w:after="60"/>
        <w:ind w:firstLine="567"/>
        <w:jc w:val="both"/>
      </w:pPr>
      <w:r>
        <w:rPr>
          <w:rFonts w:ascii="Arial" w:cs="Arial" w:eastAsia="Arial" w:hAnsi="Arial"/>
          <w:sz w:val="24"/>
          <w:szCs w:val="24"/>
        </w:rPr>
        <w:t xml:space="preserve">- если заявитель предоставил о себе неверные сведения и (или) не обладает необходимыми финансовыми средствами для поиска и/или разведки и/или разработки объекта;</w:t>
      </w:r>
    </w:p>
    <w:p>
      <w:pPr>
        <w:spacing w:after="60"/>
        <w:ind w:firstLine="567"/>
        <w:jc w:val="both"/>
      </w:pPr>
      <w:r>
        <w:rPr>
          <w:rFonts w:ascii="Arial" w:cs="Arial" w:eastAsia="Arial" w:hAnsi="Arial"/>
          <w:sz w:val="24"/>
          <w:szCs w:val="24"/>
        </w:rPr>
        <w:t xml:space="preserve">- если на заявленный объект уже выдана лицензия на те же виды минерального сырья.</w:t>
      </w:r>
    </w:p>
    <w:p>
      <w:pPr>
        <w:spacing w:after="60"/>
        <w:ind w:firstLine="567"/>
        <w:jc w:val="both"/>
      </w:pPr>
      <w:r>
        <w:rPr>
          <w:rFonts w:ascii="Arial" w:cs="Arial" w:eastAsia="Arial" w:hAnsi="Arial"/>
          <w:sz w:val="24"/>
          <w:szCs w:val="24"/>
        </w:rPr>
        <w:t xml:space="preserve">41. Решение о выдаче лицензии на право пользования недрами или об отказе в выдаче лицензии на право пользования недрами путем проведения прямых переговоров принимается лицензионным органом в течение 30 календарных дней.</w:t>
      </w:r>
    </w:p>
    <w:p>
      <w:pPr>
        <w:spacing w:after="200" w:before="200"/>
        <w:jc w:val="center"/>
      </w:pPr>
      <w:r>
        <w:rPr>
          <w:rFonts w:ascii="Arial" w:cs="Arial" w:eastAsia="Arial" w:hAnsi="Arial"/>
          <w:b/>
          <w:bCs/>
          <w:sz w:val="24"/>
          <w:szCs w:val="24"/>
        </w:rPr>
        <w:t xml:space="preserve">V. Порядок оформления условий лицензирования и продления сроков лицензирования</w:t>
      </w:r>
    </w:p>
    <w:p>
      <w:pPr>
        <w:spacing w:after="60"/>
        <w:ind w:firstLine="567"/>
        <w:jc w:val="both"/>
      </w:pPr>
      <w:r>
        <w:rPr>
          <w:rFonts w:ascii="Arial" w:cs="Arial" w:eastAsia="Arial" w:hAnsi="Arial"/>
          <w:sz w:val="24"/>
          <w:szCs w:val="24"/>
        </w:rPr>
        <w:t xml:space="preserve">42. После утверждения конкурсной комиссией результатов конкурса по объектам общегосударственного значения, а также после подписания протокола аукционной комиссией об определении победителя аукциона и уплаты им окончательной цены объекта аукциона, а также после подписания сторонами протокола прямых переговоров, выдается лицензия и лицензионное соглашение на проектирование работ (геологическое изучение недр, разработка месторождений полезных ископаемых, строительство и эксплуатация подземных сооружений, не связанных с добычей полезных ископаемых) на лицензионном объекте.</w:t>
      </w:r>
    </w:p>
    <w:p>
      <w:pPr>
        <w:spacing w:after="60"/>
        <w:ind w:firstLine="567"/>
        <w:jc w:val="both"/>
      </w:pPr>
      <w:r>
        <w:rPr>
          <w:rFonts w:ascii="Arial" w:cs="Arial" w:eastAsia="Arial" w:hAnsi="Arial"/>
          <w:sz w:val="24"/>
          <w:szCs w:val="24"/>
        </w:rPr>
        <w:t xml:space="preserve">43. Для получения лицензии иностранному юридическому лицу необходимо до получения лицензии произвести регистрацию дочерней компании (со 100% долей участия) в Кыргызской Республике, с указанием наименования и адреса лицензиата в Кыргызской Республике. В лицензионном соглашении делается указание на то, что лицензия выдана дочерней компании.</w:t>
      </w:r>
    </w:p>
    <w:p>
      <w:pPr>
        <w:spacing w:after="60"/>
        <w:ind w:firstLine="567"/>
        <w:jc w:val="both"/>
      </w:pPr>
      <w:r>
        <w:rPr>
          <w:rFonts w:ascii="Arial" w:cs="Arial" w:eastAsia="Arial" w:hAnsi="Arial"/>
          <w:sz w:val="24"/>
          <w:szCs w:val="24"/>
        </w:rPr>
        <w:t xml:space="preserve">44. Лицензионное соглашение является неотъемлемой частью лицензии.</w:t>
      </w:r>
    </w:p>
    <w:p>
      <w:pPr>
        <w:spacing w:after="60"/>
        <w:ind w:firstLine="567"/>
        <w:jc w:val="both"/>
      </w:pPr>
      <w:r>
        <w:rPr>
          <w:rFonts w:ascii="Arial" w:cs="Arial" w:eastAsia="Arial" w:hAnsi="Arial"/>
          <w:sz w:val="24"/>
          <w:szCs w:val="24"/>
        </w:rPr>
        <w:t xml:space="preserve">45. Лицензия на право пользования представляет собой установленной формы бланк строгой отчетности с наименованием лицензионного органа, с изображением Государственного герба Кыргызской Республики, порядковым номером и сведениями по лицензированию.</w:t>
      </w:r>
    </w:p>
    <w:p>
      <w:pPr>
        <w:spacing w:after="60"/>
        <w:ind w:firstLine="567"/>
        <w:jc w:val="both"/>
      </w:pPr>
      <w:r>
        <w:rPr>
          <w:rFonts w:ascii="Arial" w:cs="Arial" w:eastAsia="Arial" w:hAnsi="Arial"/>
          <w:sz w:val="24"/>
          <w:szCs w:val="24"/>
        </w:rPr>
        <w:t xml:space="preserve">Лицензия на право пользования недрами содержит следующие сведения:</w:t>
      </w:r>
    </w:p>
    <w:p>
      <w:pPr>
        <w:spacing w:after="60"/>
        <w:ind w:firstLine="567"/>
        <w:jc w:val="both"/>
      </w:pPr>
      <w:r>
        <w:rPr>
          <w:rFonts w:ascii="Arial" w:cs="Arial" w:eastAsia="Arial" w:hAnsi="Arial"/>
          <w:sz w:val="24"/>
          <w:szCs w:val="24"/>
        </w:rPr>
        <w:t xml:space="preserve">- алфавитно-цифровой код лицензии на право пользования недрами;</w:t>
      </w:r>
    </w:p>
    <w:p>
      <w:pPr>
        <w:spacing w:after="60"/>
        <w:ind w:firstLine="567"/>
        <w:jc w:val="both"/>
      </w:pPr>
      <w:r>
        <w:rPr>
          <w:rFonts w:ascii="Arial" w:cs="Arial" w:eastAsia="Arial" w:hAnsi="Arial"/>
          <w:sz w:val="24"/>
          <w:szCs w:val="24"/>
        </w:rPr>
        <w:t xml:space="preserve">- вид пользования недрами;</w:t>
      </w:r>
    </w:p>
    <w:p>
      <w:pPr>
        <w:spacing w:after="60"/>
        <w:ind w:firstLine="567"/>
        <w:jc w:val="both"/>
      </w:pPr>
      <w:r>
        <w:rPr>
          <w:rFonts w:ascii="Arial" w:cs="Arial" w:eastAsia="Arial" w:hAnsi="Arial"/>
          <w:sz w:val="24"/>
          <w:szCs w:val="24"/>
        </w:rPr>
        <w:t xml:space="preserve">- наименование и реквизиты лицензиата;</w:t>
      </w:r>
    </w:p>
    <w:p>
      <w:pPr>
        <w:spacing w:after="60"/>
        <w:ind w:firstLine="567"/>
        <w:jc w:val="both"/>
      </w:pPr>
      <w:r>
        <w:rPr>
          <w:rFonts w:ascii="Arial" w:cs="Arial" w:eastAsia="Arial" w:hAnsi="Arial"/>
          <w:sz w:val="24"/>
          <w:szCs w:val="24"/>
        </w:rPr>
        <w:t xml:space="preserve">- лицензионный номер объекта недропользования;</w:t>
      </w:r>
    </w:p>
    <w:p>
      <w:pPr>
        <w:spacing w:after="60"/>
        <w:ind w:firstLine="567"/>
        <w:jc w:val="both"/>
      </w:pPr>
      <w:r>
        <w:rPr>
          <w:rFonts w:ascii="Arial" w:cs="Arial" w:eastAsia="Arial" w:hAnsi="Arial"/>
          <w:sz w:val="24"/>
          <w:szCs w:val="24"/>
        </w:rPr>
        <w:t xml:space="preserve">- вид полезного ископаемого;</w:t>
      </w:r>
    </w:p>
    <w:p>
      <w:pPr>
        <w:spacing w:after="60"/>
        <w:ind w:firstLine="567"/>
        <w:jc w:val="both"/>
      </w:pPr>
      <w:r>
        <w:rPr>
          <w:rFonts w:ascii="Arial" w:cs="Arial" w:eastAsia="Arial" w:hAnsi="Arial"/>
          <w:sz w:val="24"/>
          <w:szCs w:val="24"/>
        </w:rPr>
        <w:t xml:space="preserve">- административное местоположение лицензионного объекта;</w:t>
      </w:r>
    </w:p>
    <w:p>
      <w:pPr>
        <w:spacing w:after="60"/>
        <w:ind w:firstLine="567"/>
        <w:jc w:val="both"/>
      </w:pPr>
      <w:r>
        <w:rPr>
          <w:rFonts w:ascii="Arial" w:cs="Arial" w:eastAsia="Arial" w:hAnsi="Arial"/>
          <w:sz w:val="24"/>
          <w:szCs w:val="24"/>
        </w:rPr>
        <w:t xml:space="preserve">- дата выдачи и срок действия лицензии на право пользования недрами;</w:t>
      </w:r>
    </w:p>
    <w:p>
      <w:pPr>
        <w:spacing w:after="60"/>
        <w:ind w:firstLine="567"/>
        <w:jc w:val="both"/>
      </w:pPr>
      <w:r>
        <w:rPr>
          <w:rFonts w:ascii="Arial" w:cs="Arial" w:eastAsia="Arial" w:hAnsi="Arial"/>
          <w:sz w:val="24"/>
          <w:szCs w:val="24"/>
        </w:rPr>
        <w:t xml:space="preserve">- дата внесения изменений и дополнений;</w:t>
      </w:r>
    </w:p>
    <w:p>
      <w:pPr>
        <w:spacing w:after="60"/>
        <w:ind w:firstLine="567"/>
        <w:jc w:val="both"/>
      </w:pPr>
      <w:r>
        <w:rPr>
          <w:rFonts w:ascii="Arial" w:cs="Arial" w:eastAsia="Arial" w:hAnsi="Arial"/>
          <w:sz w:val="24"/>
          <w:szCs w:val="24"/>
        </w:rPr>
        <w:t xml:space="preserve">- печать и подпись руководителя лицензионного органа.</w:t>
      </w:r>
    </w:p>
    <w:p>
      <w:pPr>
        <w:spacing w:after="60"/>
        <w:ind w:firstLine="567"/>
        <w:jc w:val="both"/>
      </w:pPr>
      <w:r>
        <w:rPr>
          <w:rFonts w:ascii="Arial" w:cs="Arial" w:eastAsia="Arial" w:hAnsi="Arial"/>
          <w:sz w:val="24"/>
          <w:szCs w:val="24"/>
        </w:rPr>
        <w:t xml:space="preserve">46. Лицензионное соглашение, как неотъемлемая часть лицензии на право пользования недрами, содержит следующие сведения:</w:t>
      </w:r>
    </w:p>
    <w:p>
      <w:pPr>
        <w:spacing w:after="60"/>
        <w:ind w:firstLine="567"/>
        <w:jc w:val="both"/>
      </w:pPr>
      <w:r>
        <w:rPr>
          <w:rFonts w:ascii="Arial" w:cs="Arial" w:eastAsia="Arial" w:hAnsi="Arial"/>
          <w:sz w:val="24"/>
          <w:szCs w:val="24"/>
        </w:rPr>
        <w:t xml:space="preserve">- координаты угловых точек и размер лицензионной площади;</w:t>
      </w:r>
    </w:p>
    <w:p>
      <w:pPr>
        <w:spacing w:after="60"/>
        <w:ind w:firstLine="567"/>
        <w:jc w:val="both"/>
      </w:pPr>
      <w:r>
        <w:rPr>
          <w:rFonts w:ascii="Arial" w:cs="Arial" w:eastAsia="Arial" w:hAnsi="Arial"/>
          <w:sz w:val="24"/>
          <w:szCs w:val="24"/>
        </w:rPr>
        <w:t xml:space="preserve">- целевое назначение работ;</w:t>
      </w:r>
    </w:p>
    <w:p>
      <w:pPr>
        <w:spacing w:after="60"/>
        <w:ind w:firstLine="567"/>
        <w:jc w:val="both"/>
      </w:pPr>
      <w:r>
        <w:rPr>
          <w:rFonts w:ascii="Arial" w:cs="Arial" w:eastAsia="Arial" w:hAnsi="Arial"/>
          <w:sz w:val="24"/>
          <w:szCs w:val="24"/>
        </w:rPr>
        <w:t xml:space="preserve">- порядок и условия пользования недрами;</w:t>
      </w:r>
    </w:p>
    <w:p>
      <w:pPr>
        <w:spacing w:after="60"/>
        <w:ind w:firstLine="567"/>
        <w:jc w:val="both"/>
      </w:pPr>
      <w:r>
        <w:rPr>
          <w:rFonts w:ascii="Arial" w:cs="Arial" w:eastAsia="Arial" w:hAnsi="Arial"/>
          <w:sz w:val="24"/>
          <w:szCs w:val="24"/>
        </w:rPr>
        <w:t xml:space="preserve">- сведения о регистрации передачи лицензии на право пользования недрами в залог;</w:t>
      </w:r>
    </w:p>
    <w:p>
      <w:pPr>
        <w:spacing w:after="60"/>
        <w:ind w:firstLine="567"/>
        <w:jc w:val="both"/>
      </w:pPr>
      <w:r>
        <w:rPr>
          <w:rFonts w:ascii="Arial" w:cs="Arial" w:eastAsia="Arial" w:hAnsi="Arial"/>
          <w:sz w:val="24"/>
          <w:szCs w:val="24"/>
        </w:rPr>
        <w:t xml:space="preserve">- сроки отчетности;</w:t>
      </w:r>
    </w:p>
    <w:p>
      <w:pPr>
        <w:spacing w:after="60"/>
        <w:ind w:firstLine="567"/>
        <w:jc w:val="both"/>
      </w:pPr>
      <w:r>
        <w:rPr>
          <w:rFonts w:ascii="Arial" w:cs="Arial" w:eastAsia="Arial" w:hAnsi="Arial"/>
          <w:sz w:val="24"/>
          <w:szCs w:val="24"/>
        </w:rPr>
        <w:t xml:space="preserve">- дополнительные сведения;</w:t>
      </w:r>
    </w:p>
    <w:p>
      <w:pPr>
        <w:spacing w:after="60"/>
        <w:ind w:firstLine="567"/>
        <w:jc w:val="both"/>
      </w:pPr>
      <w:r>
        <w:rPr>
          <w:rFonts w:ascii="Arial" w:cs="Arial" w:eastAsia="Arial" w:hAnsi="Arial"/>
          <w:sz w:val="24"/>
          <w:szCs w:val="24"/>
        </w:rPr>
        <w:t xml:space="preserve">- печать и подпись руководителя лицензионного органа;</w:t>
      </w:r>
    </w:p>
    <w:p>
      <w:pPr>
        <w:spacing w:after="60"/>
        <w:ind w:firstLine="567"/>
        <w:jc w:val="both"/>
      </w:pPr>
      <w:r>
        <w:rPr>
          <w:rFonts w:ascii="Arial" w:cs="Arial" w:eastAsia="Arial" w:hAnsi="Arial"/>
          <w:sz w:val="24"/>
          <w:szCs w:val="24"/>
        </w:rPr>
        <w:t xml:space="preserve">- фамилия, имя, отчество руководителя предприятия.</w:t>
      </w:r>
    </w:p>
    <w:p>
      <w:pPr>
        <w:spacing w:after="60"/>
        <w:ind w:firstLine="567"/>
        <w:jc w:val="both"/>
      </w:pPr>
      <w:r>
        <w:rPr>
          <w:rFonts w:ascii="Arial" w:cs="Arial" w:eastAsia="Arial" w:hAnsi="Arial"/>
          <w:sz w:val="24"/>
          <w:szCs w:val="24"/>
        </w:rPr>
        <w:t xml:space="preserve">В лицензионном соглашении, как неотъемлемой части лицензии на право пользования недрами, на отбор и использование подземных вод дополнительно содержатся следующие сведения:</w:t>
      </w:r>
    </w:p>
    <w:p>
      <w:pPr>
        <w:spacing w:after="60"/>
        <w:ind w:firstLine="567"/>
        <w:jc w:val="both"/>
      </w:pPr>
      <w:r>
        <w:rPr>
          <w:rFonts w:ascii="Arial" w:cs="Arial" w:eastAsia="Arial" w:hAnsi="Arial"/>
          <w:sz w:val="24"/>
          <w:szCs w:val="24"/>
        </w:rPr>
        <w:t xml:space="preserve">- дебит скважины или родника, количество и категория запасов;</w:t>
      </w:r>
    </w:p>
    <w:p>
      <w:pPr>
        <w:spacing w:after="60"/>
        <w:ind w:firstLine="567"/>
        <w:jc w:val="both"/>
      </w:pPr>
      <w:r>
        <w:rPr>
          <w:rFonts w:ascii="Arial" w:cs="Arial" w:eastAsia="Arial" w:hAnsi="Arial"/>
          <w:sz w:val="24"/>
          <w:szCs w:val="24"/>
        </w:rPr>
        <w:t xml:space="preserve">- тип подземной воды;</w:t>
      </w:r>
    </w:p>
    <w:p>
      <w:pPr>
        <w:spacing w:after="60"/>
        <w:ind w:firstLine="567"/>
        <w:jc w:val="both"/>
      </w:pPr>
      <w:r>
        <w:rPr>
          <w:rFonts w:ascii="Arial" w:cs="Arial" w:eastAsia="Arial" w:hAnsi="Arial"/>
          <w:sz w:val="24"/>
          <w:szCs w:val="24"/>
        </w:rPr>
        <w:t xml:space="preserve">- координаты устья скважины или родника;</w:t>
      </w:r>
    </w:p>
    <w:p>
      <w:pPr>
        <w:spacing w:after="60"/>
        <w:ind w:firstLine="567"/>
        <w:jc w:val="both"/>
      </w:pPr>
      <w:r>
        <w:rPr>
          <w:rFonts w:ascii="Arial" w:cs="Arial" w:eastAsia="Arial" w:hAnsi="Arial"/>
          <w:sz w:val="24"/>
          <w:szCs w:val="24"/>
        </w:rPr>
        <w:t xml:space="preserve">- целевое использование подземных вод;</w:t>
      </w:r>
    </w:p>
    <w:p>
      <w:pPr>
        <w:spacing w:after="60"/>
        <w:ind w:firstLine="567"/>
        <w:jc w:val="both"/>
      </w:pPr>
      <w:r>
        <w:rPr>
          <w:rFonts w:ascii="Arial" w:cs="Arial" w:eastAsia="Arial" w:hAnsi="Arial"/>
          <w:sz w:val="24"/>
          <w:szCs w:val="24"/>
        </w:rPr>
        <w:t xml:space="preserve">- размер горно-санитарной охранной зоны, зоны санитарной охраны вокруг скважины (родника) подземных вод;</w:t>
      </w:r>
    </w:p>
    <w:p>
      <w:pPr>
        <w:spacing w:after="60"/>
        <w:ind w:firstLine="567"/>
        <w:jc w:val="both"/>
      </w:pPr>
      <w:r>
        <w:rPr>
          <w:rFonts w:ascii="Arial" w:cs="Arial" w:eastAsia="Arial" w:hAnsi="Arial"/>
          <w:sz w:val="24"/>
          <w:szCs w:val="24"/>
        </w:rPr>
        <w:t xml:space="preserve">- согласованный объем отбора подземных вод;</w:t>
      </w:r>
    </w:p>
    <w:p>
      <w:pPr>
        <w:spacing w:after="60"/>
        <w:ind w:firstLine="567"/>
        <w:jc w:val="both"/>
      </w:pPr>
      <w:r>
        <w:rPr>
          <w:rFonts w:ascii="Arial" w:cs="Arial" w:eastAsia="Arial" w:hAnsi="Arial"/>
          <w:sz w:val="24"/>
          <w:szCs w:val="24"/>
        </w:rPr>
        <w:t xml:space="preserve">- сроки отчетности о режимных наблюдениях.</w:t>
      </w:r>
    </w:p>
    <w:p>
      <w:pPr>
        <w:spacing w:after="60"/>
        <w:ind w:firstLine="567"/>
        <w:jc w:val="both"/>
      </w:pPr>
      <w:r>
        <w:rPr>
          <w:rFonts w:ascii="Arial" w:cs="Arial" w:eastAsia="Arial" w:hAnsi="Arial"/>
          <w:sz w:val="24"/>
          <w:szCs w:val="24"/>
        </w:rPr>
        <w:t xml:space="preserve">В лицензионные соглашения всех видов лицензирования могут быть внесены и другие дополнительные условия, согласованные сторонами.</w:t>
      </w:r>
    </w:p>
    <w:p>
      <w:pPr>
        <w:spacing w:after="60"/>
        <w:ind w:firstLine="567"/>
        <w:jc w:val="both"/>
      </w:pPr>
      <w:r>
        <w:rPr>
          <w:rFonts w:ascii="Arial" w:cs="Arial" w:eastAsia="Arial" w:hAnsi="Arial"/>
          <w:sz w:val="24"/>
          <w:szCs w:val="24"/>
        </w:rPr>
        <w:t xml:space="preserve">За выдачу лицензии взимается плата в размере понесенных материальных расходов. Расчет расходов ежегодно согласовывается с уполномоченным антимонопольным государственным органом.</w:t>
      </w:r>
    </w:p>
    <w:p>
      <w:pPr>
        <w:spacing w:after="60"/>
        <w:ind w:firstLine="567"/>
        <w:jc w:val="both"/>
      </w:pPr>
      <w:r>
        <w:rPr>
          <w:rFonts w:ascii="Arial" w:cs="Arial" w:eastAsia="Arial" w:hAnsi="Arial"/>
          <w:sz w:val="24"/>
          <w:szCs w:val="24"/>
        </w:rPr>
        <w:t xml:space="preserve">47. После получения лицензии на право пользования недрами и лицензионного соглашения лицензиат составляет и представляет лицензиару технический проект с положительными экспертными заключениями по промышленной, экологической безопасности и охране недр.</w:t>
      </w:r>
    </w:p>
    <w:p>
      <w:pPr>
        <w:spacing w:after="60"/>
        <w:ind w:firstLine="567"/>
        <w:jc w:val="both"/>
      </w:pPr>
      <w:r>
        <w:rPr>
          <w:rFonts w:ascii="Arial" w:cs="Arial" w:eastAsia="Arial" w:hAnsi="Arial"/>
          <w:sz w:val="24"/>
          <w:szCs w:val="24"/>
        </w:rPr>
        <w:t xml:space="preserve">На объекты недр, по которым право пользование недрами предоставлено путем проведения конкурса, лицензионное соглашение на составление технического проекта выдается на срок, предусмотренный конкурсными условиями, на остальные объекты недр - на срок действия лицензии.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9wfgbt0lvrnqenddjor7-">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48. В соответствии с проектом лицензиаром выдается следующее лицензионное соглашение на проведение работ.</w:t>
      </w:r>
    </w:p>
    <w:p>
      <w:pPr>
        <w:spacing w:after="60"/>
        <w:ind w:firstLine="567"/>
        <w:jc w:val="both"/>
      </w:pPr>
      <w:r>
        <w:rPr>
          <w:rFonts w:ascii="Arial" w:cs="Arial" w:eastAsia="Arial" w:hAnsi="Arial"/>
          <w:sz w:val="24"/>
          <w:szCs w:val="24"/>
        </w:rPr>
        <w:t xml:space="preserve">49. В случае наличия замечаний к проекту Комиссией по вопросам лицензирования недропользования может быть установлен срок для исправления недостатков.</w:t>
      </w:r>
    </w:p>
    <w:p>
      <w:pPr>
        <w:spacing w:after="60"/>
        <w:ind w:firstLine="567"/>
        <w:jc w:val="both"/>
      </w:pPr>
      <w:r>
        <w:rPr>
          <w:rFonts w:ascii="Arial" w:cs="Arial" w:eastAsia="Arial" w:hAnsi="Arial"/>
          <w:i/>
          <w:iCs/>
          <w:sz w:val="24"/>
          <w:szCs w:val="24"/>
        </w:rPr>
        <w:t xml:space="preserve">50. (Утратил силу в соответствии с </w:t>
      </w:r>
      <w:hyperlink w:history="1" r:id="rIdcqucn9_gaue5njnkkaew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января 2013 года N 12)</w:t>
      </w:r>
    </w:p>
    <w:p>
      <w:pPr>
        <w:spacing w:after="60"/>
        <w:ind w:firstLine="567"/>
        <w:jc w:val="both"/>
      </w:pPr>
      <w:r>
        <w:rPr>
          <w:rFonts w:ascii="Arial" w:cs="Arial" w:eastAsia="Arial" w:hAnsi="Arial"/>
          <w:i/>
          <w:iCs/>
          <w:sz w:val="24"/>
          <w:szCs w:val="24"/>
        </w:rPr>
        <w:t xml:space="preserve">51. (Утратил силу в соответствии с </w:t>
      </w:r>
      <w:hyperlink w:history="1" r:id="rId0gyz8cxvsvwi6nngpuvn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января 2013 года N 12)</w:t>
      </w:r>
    </w:p>
    <w:p>
      <w:pPr>
        <w:spacing w:after="60"/>
        <w:ind w:firstLine="567"/>
        <w:jc w:val="both"/>
      </w:pPr>
      <w:r>
        <w:rPr>
          <w:rFonts w:ascii="Arial" w:cs="Arial" w:eastAsia="Arial" w:hAnsi="Arial"/>
          <w:sz w:val="24"/>
          <w:szCs w:val="24"/>
        </w:rPr>
        <w:t xml:space="preserve">52. Лицензированным объектам недропользования присваивается кадастровый алфавитно-нумерический код, являющийся одновременно номером дела по лицензионному объекту и номером на кадастровой топографической карте масштаба 1:100000, состоящий из цифры, указывающей на кадастровый порядковый номер объекта, и букв: "Н" - для нефти и газа, "С" - для углей, "М" - для металлов, кроме драгоценных металлов, "А" - для драгоценных металлов, "Т" - для неметаллов, "В" - для подземных вод, "Г" - для работ, проводимых за счет государственного бюджета, и он заносится в журнал регистрации лицензий, заводится лицензионное дело на бумажном и электронном носителях.</w:t>
      </w:r>
    </w:p>
    <w:p>
      <w:pPr>
        <w:spacing w:after="60"/>
        <w:ind w:firstLine="567"/>
        <w:jc w:val="both"/>
      </w:pPr>
      <w:r>
        <w:rPr>
          <w:rFonts w:ascii="Arial" w:cs="Arial" w:eastAsia="Arial" w:hAnsi="Arial"/>
          <w:sz w:val="24"/>
          <w:szCs w:val="24"/>
        </w:rPr>
        <w:t xml:space="preserve">53. Границы лицензионной площади (геологический отвод) выносятся на топографическую карту масштаба 1:100000 (кадастровая карта) и на электронную карту лицензионных площадей. Координаты угловых точек указываются в прямоугольной системе координат 1942 года. Каждая лицензионная площадь замыкается только собственным контуром. Границы лицензионных площадей отклоняются от прямолинейной в случаях:</w:t>
      </w:r>
    </w:p>
    <w:p>
      <w:pPr>
        <w:spacing w:after="60"/>
        <w:ind w:firstLine="567"/>
        <w:jc w:val="both"/>
      </w:pPr>
      <w:r>
        <w:rPr>
          <w:rFonts w:ascii="Arial" w:cs="Arial" w:eastAsia="Arial" w:hAnsi="Arial"/>
          <w:sz w:val="24"/>
          <w:szCs w:val="24"/>
        </w:rPr>
        <w:t xml:space="preserve">- пересечения с государственной границей;</w:t>
      </w:r>
    </w:p>
    <w:p>
      <w:pPr>
        <w:spacing w:after="60"/>
        <w:ind w:firstLine="567"/>
        <w:jc w:val="both"/>
      </w:pPr>
      <w:r>
        <w:rPr>
          <w:rFonts w:ascii="Arial" w:cs="Arial" w:eastAsia="Arial" w:hAnsi="Arial"/>
          <w:sz w:val="24"/>
          <w:szCs w:val="24"/>
        </w:rPr>
        <w:t xml:space="preserve">- пересечения с границами особо охраняемых территорий;</w:t>
      </w:r>
    </w:p>
    <w:p>
      <w:pPr>
        <w:spacing w:after="60"/>
        <w:ind w:firstLine="567"/>
        <w:jc w:val="both"/>
      </w:pPr>
      <w:r>
        <w:rPr>
          <w:rFonts w:ascii="Arial" w:cs="Arial" w:eastAsia="Arial" w:hAnsi="Arial"/>
          <w:sz w:val="24"/>
          <w:szCs w:val="24"/>
        </w:rPr>
        <w:t xml:space="preserve">- пересечения с водоемами (озера, водохранилища).</w:t>
      </w:r>
    </w:p>
    <w:p>
      <w:pPr>
        <w:spacing w:after="60"/>
        <w:ind w:firstLine="567"/>
        <w:jc w:val="both"/>
      </w:pPr>
      <w:r>
        <w:rPr>
          <w:rFonts w:ascii="Arial" w:cs="Arial" w:eastAsia="Arial" w:hAnsi="Arial"/>
          <w:sz w:val="24"/>
          <w:szCs w:val="24"/>
        </w:rPr>
        <w:t xml:space="preserve">Размер лицензионной площади не ограничивается.</w:t>
      </w:r>
    </w:p>
    <w:p>
      <w:pPr>
        <w:spacing w:after="60"/>
        <w:ind w:firstLine="567"/>
        <w:jc w:val="both"/>
      </w:pPr>
      <w:r>
        <w:rPr>
          <w:rFonts w:ascii="Arial" w:cs="Arial" w:eastAsia="Arial" w:hAnsi="Arial"/>
          <w:sz w:val="24"/>
          <w:szCs w:val="24"/>
        </w:rPr>
        <w:t xml:space="preserve">54. Границы горного отвода для разработки месторождений полезных ископаемых и для целей, не связанных с добычей полезных ископаемых, определяются трехмерными координатами угловых точек в прямоугольной системе координат 1942 года.</w:t>
      </w:r>
    </w:p>
    <w:p>
      <w:pPr>
        <w:spacing w:after="60"/>
        <w:ind w:firstLine="567"/>
        <w:jc w:val="both"/>
      </w:pPr>
      <w:r>
        <w:rPr>
          <w:rFonts w:ascii="Arial" w:cs="Arial" w:eastAsia="Arial" w:hAnsi="Arial"/>
          <w:sz w:val="24"/>
          <w:szCs w:val="24"/>
        </w:rPr>
        <w:t xml:space="preserve">55. В случаях, когда из-за малых размеров лицензионного и горного отводов невозможно отобразить границы объекта на кадастровой карте, объект обозначается точкой на кадастровой карте масштаба 1:100000 с алфавитно-нумерическим кодом и дополнительно составляется врезка-накладка в соответствующем масштабе.</w:t>
      </w:r>
    </w:p>
    <w:p>
      <w:pPr>
        <w:spacing w:after="60"/>
        <w:ind w:firstLine="567"/>
        <w:jc w:val="both"/>
      </w:pPr>
      <w:r>
        <w:rPr>
          <w:rFonts w:ascii="Arial" w:cs="Arial" w:eastAsia="Arial" w:hAnsi="Arial"/>
          <w:sz w:val="24"/>
          <w:szCs w:val="24"/>
        </w:rPr>
        <w:t xml:space="preserve">56. Окончательные размеры геологического и горного отводов могут корректироваться по результатам проектирования. В случае изменения контура и размера отвода в сторону их уменьшения, или увеличения, если смежная площадь не занята, лицензионное соглашение согласовывается лицензиаром без дополнительных условий. В случае если смежная площадь занята, изменение может вноситься только с письменного согласия владельца лицензии смежной площади и только после согласования нового лицензионного соглашения с ним.</w:t>
      </w:r>
    </w:p>
    <w:p>
      <w:pPr>
        <w:spacing w:after="60"/>
        <w:ind w:firstLine="567"/>
        <w:jc w:val="both"/>
      </w:pPr>
      <w:r>
        <w:rPr>
          <w:rFonts w:ascii="Arial" w:cs="Arial" w:eastAsia="Arial" w:hAnsi="Arial"/>
          <w:sz w:val="24"/>
          <w:szCs w:val="24"/>
        </w:rPr>
        <w:t xml:space="preserve">В случае снижения или увеличения объемов добычи полезных ископаемых, согласованных лицензированием, размеры горного отвода по заявке лицензиата могут корректироваться лицензиаром с составлением нового лицензионного соглашения.</w:t>
      </w:r>
    </w:p>
    <w:p>
      <w:pPr>
        <w:spacing w:after="60"/>
        <w:ind w:firstLine="567"/>
        <w:jc w:val="both"/>
      </w:pPr>
      <w:r>
        <w:rPr>
          <w:rFonts w:ascii="Arial" w:cs="Arial" w:eastAsia="Arial" w:hAnsi="Arial"/>
          <w:sz w:val="24"/>
          <w:szCs w:val="24"/>
        </w:rPr>
        <w:t xml:space="preserve">После получения лицензионного соглашения на проведение работ координаты угловых точек горного отвода изменению не подлежат, за исключением случаев, указанных в пункте 57 настоящего Положения. Координаты угловых точек геологического отвода могут быть скорректированы в сторону увеличения при условии наличия обоснованного заключения соответствующего структурного подразделения уполномоченного государственного органа по реализации государственной политики по недропользованию.</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nmoeuliatn_k4dcq_zss">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57. Лицензиат имеет право сократить лицензионную площадь. Сокращение по его заявлению производится после приема отчета о результатах выполненных работ на сокращаемой площади и предоставления акта о выполнении рекультивационных работ.</w:t>
      </w:r>
    </w:p>
    <w:p>
      <w:pPr>
        <w:spacing w:after="60"/>
        <w:ind w:firstLine="567"/>
        <w:jc w:val="both"/>
      </w:pPr>
      <w:r>
        <w:rPr>
          <w:rFonts w:ascii="Arial" w:cs="Arial" w:eastAsia="Arial" w:hAnsi="Arial"/>
          <w:sz w:val="24"/>
          <w:szCs w:val="24"/>
        </w:rPr>
        <w:t xml:space="preserve">58. Для продления срока действия лицензии недропользователь подает заявку о продлении срока действия лицензии в уполномоченный государственный орган по реализации государственной политики по недропользованию не ранее одного года и не позднее 30 дней до истечения срока действия лицензии, представляет отчет о выполнении условий лицензирования за весь предыдущий срок действия лицензии в соответствии со стандартами отчетности и программу работ на период продлеваемого срока действия лицензии. Представленные материалы рассматриваются лицензиаром в течение 30 дней и принимается соответствующее решение, которое оформляется протоколом.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ycu-tcnuy6z8b6p7zvrm">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58-1. В случае, если лицензиат подал заявление о продлении срока действия лицензии на право пользования недрами и отчет о выполненных работах за весь предыдущий срок действия лицензии на право пользования недрами по форме, утвержденной Правительством Кыргызской Республики, в установленный срок, то несмотря на истечение срока действия, лицензия остается действительной до тех пор, пока уполномоченный государственный орган по реализации государственной политики по недропользованию не примет решение в отношении заявления на продление срока действия лицензии.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ba5uops54k-dshb2cb2l">
        <w:r>
          <w:rPr>
            <w:rFonts w:ascii="Arial" w:cs="Arial" w:eastAsia="Arial" w:hAnsi="Arial"/>
            <w:i/>
            <w:iCs/>
            <w:color w:val="1D4ED8"/>
            <w:sz w:val="24"/>
            <w:szCs w:val="24"/>
            <w:u w:val="single"/>
          </w:rPr>
          <w:t xml:space="preserve">4 августа 2014 года № 436)</w:t>
        </w:r>
      </w:hyperlink>
    </w:p>
    <w:p>
      <w:pPr>
        <w:spacing w:after="200" w:before="200"/>
        <w:jc w:val="center"/>
      </w:pPr>
      <w:r>
        <w:rPr>
          <w:rFonts w:ascii="Arial" w:cs="Arial" w:eastAsia="Arial" w:hAnsi="Arial"/>
          <w:b/>
          <w:bCs/>
          <w:sz w:val="24"/>
          <w:szCs w:val="24"/>
        </w:rPr>
        <w:t xml:space="preserve">VI. Экспертиза технических проектов</w:t>
      </w:r>
    </w:p>
    <w:p>
      <w:pPr>
        <w:spacing w:after="60"/>
        <w:ind w:firstLine="567"/>
        <w:jc w:val="both"/>
      </w:pPr>
      <w:r>
        <w:rPr>
          <w:rFonts w:ascii="Arial" w:cs="Arial" w:eastAsia="Arial" w:hAnsi="Arial"/>
          <w:sz w:val="24"/>
          <w:szCs w:val="24"/>
        </w:rPr>
        <w:t xml:space="preserve">59. Технические проекты на проведение соответствующих работ подлежат экспертизе на соответствие требованиям промышленной, экологической безопасности и охраны недр.</w:t>
      </w:r>
    </w:p>
    <w:p>
      <w:pPr>
        <w:spacing w:after="60"/>
        <w:ind w:firstLine="567"/>
        <w:jc w:val="both"/>
      </w:pPr>
      <w:r>
        <w:rPr>
          <w:rFonts w:ascii="Arial" w:cs="Arial" w:eastAsia="Arial" w:hAnsi="Arial"/>
          <w:sz w:val="24"/>
          <w:szCs w:val="24"/>
        </w:rPr>
        <w:t xml:space="preserve">60. Указанные экспертизы проводятся соответствующими уполномоченными государственными органами.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ryy5yfr2mf0mvjqag4b_">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61. Для проведения экспертиз лицензиат обязан представить технический проект, включающий материалы по охране окружающей среды:</w:t>
      </w:r>
    </w:p>
    <w:p>
      <w:pPr>
        <w:spacing w:after="60"/>
        <w:ind w:firstLine="567"/>
        <w:jc w:val="both"/>
      </w:pPr>
      <w:r>
        <w:rPr>
          <w:rFonts w:ascii="Arial" w:cs="Arial" w:eastAsia="Arial" w:hAnsi="Arial"/>
          <w:sz w:val="24"/>
          <w:szCs w:val="24"/>
        </w:rPr>
        <w:t xml:space="preserve">- для объектов недр общегосударственного значения - не позднее, чем за три месяца до истечения срока действия лицензионного соглашения, в котором предусмотрено составление технического проекта;</w:t>
      </w:r>
    </w:p>
    <w:p>
      <w:pPr>
        <w:spacing w:after="60"/>
        <w:ind w:firstLine="567"/>
        <w:jc w:val="both"/>
      </w:pPr>
      <w:r>
        <w:rPr>
          <w:rFonts w:ascii="Arial" w:cs="Arial" w:eastAsia="Arial" w:hAnsi="Arial"/>
          <w:sz w:val="24"/>
          <w:szCs w:val="24"/>
        </w:rPr>
        <w:t xml:space="preserve">- для всех иных объектов недр - не позднее, чем за один месяц до истечения срока действия лицензионного соглашения, в котором предусмотрено составление технического проекта.</w:t>
      </w:r>
    </w:p>
    <w:p>
      <w:pPr>
        <w:spacing w:after="60"/>
        <w:ind w:firstLine="567"/>
        <w:jc w:val="both"/>
      </w:pPr>
      <w:r>
        <w:rPr>
          <w:rFonts w:ascii="Arial" w:cs="Arial" w:eastAsia="Arial" w:hAnsi="Arial"/>
          <w:sz w:val="24"/>
          <w:szCs w:val="24"/>
        </w:rPr>
        <w:t xml:space="preserve">В случае несоблюдения лицензиатом сроков представления проекта, указанных в настоящем Положении, в отношении представленного проекта экспертиза не проводится до продления срока действия лицензионного соглашения.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1jqg10vzjxjxdjnnko6gy">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62. Уполномоченные государственные органы, ответственные за проведение экспертиз, должны обеспечить их проведение в следующие сроки со дня поступления технического проекта:</w:t>
      </w:r>
    </w:p>
    <w:p>
      <w:pPr>
        <w:spacing w:after="60"/>
        <w:ind w:firstLine="567"/>
        <w:jc w:val="both"/>
      </w:pPr>
      <w:r>
        <w:rPr>
          <w:rFonts w:ascii="Arial" w:cs="Arial" w:eastAsia="Arial" w:hAnsi="Arial"/>
          <w:sz w:val="24"/>
          <w:szCs w:val="24"/>
        </w:rPr>
        <w:t xml:space="preserve">- для объектов недр общегосударственного значения - в течение трех месяцев;</w:t>
      </w:r>
    </w:p>
    <w:p>
      <w:pPr>
        <w:spacing w:after="60"/>
        <w:ind w:firstLine="567"/>
        <w:jc w:val="both"/>
      </w:pPr>
      <w:r>
        <w:rPr>
          <w:rFonts w:ascii="Arial" w:cs="Arial" w:eastAsia="Arial" w:hAnsi="Arial"/>
          <w:sz w:val="24"/>
          <w:szCs w:val="24"/>
        </w:rPr>
        <w:t xml:space="preserve">- для всех иных объектов недр - в течение одного месяца.</w:t>
      </w:r>
    </w:p>
    <w:p>
      <w:pPr>
        <w:spacing w:after="60"/>
        <w:ind w:firstLine="567"/>
        <w:jc w:val="both"/>
      </w:pPr>
      <w:r>
        <w:rPr>
          <w:rFonts w:ascii="Arial" w:cs="Arial" w:eastAsia="Arial" w:hAnsi="Arial"/>
          <w:sz w:val="24"/>
          <w:szCs w:val="24"/>
        </w:rPr>
        <w:t xml:space="preserve">В случае несоблюдения уполномоченными государственными органами сроков проведения экспертиз наступает ответственность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9-su9wwmm_4lcyzsigfyp">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63. (Утратил силу в соответствии с </w:t>
      </w:r>
      <w:hyperlink w:history="1" r:id="rIdtzvdob2qk_d3tmg5qrbu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4 августа 2014 года № 436)</w:t>
      </w:r>
    </w:p>
    <w:p>
      <w:pPr>
        <w:spacing w:after="60"/>
        <w:ind w:firstLine="567"/>
        <w:jc w:val="both"/>
      </w:pPr>
      <w:r>
        <w:rPr>
          <w:rFonts w:ascii="Arial" w:cs="Arial" w:eastAsia="Arial" w:hAnsi="Arial"/>
          <w:sz w:val="24"/>
          <w:szCs w:val="24"/>
        </w:rPr>
        <w:t xml:space="preserve">64. Производство работ без технического проекта, получившего все необходимые положительные экспертные заключения, запрещается.</w:t>
      </w:r>
    </w:p>
    <w:p>
      <w:pPr>
        <w:spacing w:after="200" w:before="200"/>
        <w:jc w:val="center"/>
      </w:pPr>
      <w:r>
        <w:rPr>
          <w:rFonts w:ascii="Arial" w:cs="Arial" w:eastAsia="Arial" w:hAnsi="Arial"/>
          <w:b/>
          <w:bCs/>
          <w:sz w:val="24"/>
          <w:szCs w:val="24"/>
        </w:rPr>
        <w:t xml:space="preserve">VII. Порядок представления геологической, горной отчетности и геологической информации</w:t>
      </w:r>
    </w:p>
    <w:p>
      <w:pPr>
        <w:spacing w:after="60"/>
        <w:ind w:firstLine="567"/>
        <w:jc w:val="both"/>
      </w:pPr>
      <w:r>
        <w:rPr>
          <w:rFonts w:ascii="Arial" w:cs="Arial" w:eastAsia="Arial" w:hAnsi="Arial"/>
          <w:sz w:val="24"/>
          <w:szCs w:val="24"/>
        </w:rPr>
        <w:t xml:space="preserve">65. После выполнения всех условий лицензионного соглашения на составление технического проекта подписывается лицензионное соглашение на проведение работ.</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f-71rw5n6-myzzkdo5-z">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66. Лицензиат после получения лицензионного соглашения на проведение работ обязан представить в уполномоченный государственный орган по реализации государственной политики по недропользованию отчет о выполненных работах и план геологических и горных работ на последующий год в письменном виде, по форме, утверждаемой уполномоченным государственным органом по реализации государственной политики по недропользованию, а также на электронном носителе информации.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pir2fqlp5k3fm9chdcm3">
        <w:r>
          <w:rPr>
            <w:rFonts w:ascii="Arial" w:cs="Arial" w:eastAsia="Arial" w:hAnsi="Arial"/>
            <w:i/>
            <w:iCs/>
            <w:color w:val="1D4ED8"/>
            <w:sz w:val="24"/>
            <w:szCs w:val="24"/>
            <w:u w:val="single"/>
          </w:rPr>
          <w:t xml:space="preserve">4 августа 2014 года № 436)</w:t>
        </w:r>
      </w:hyperlink>
    </w:p>
    <w:p>
      <w:pPr>
        <w:spacing w:after="60"/>
        <w:ind w:firstLine="567"/>
        <w:jc w:val="both"/>
      </w:pPr>
      <w:r>
        <w:rPr>
          <w:rFonts w:ascii="Arial" w:cs="Arial" w:eastAsia="Arial" w:hAnsi="Arial"/>
          <w:sz w:val="24"/>
          <w:szCs w:val="24"/>
        </w:rPr>
        <w:t xml:space="preserve">67. Структурные подразделения уполномоченного государственного органа по реализации государственной политики по недропользованию рассматривают отчеты и согласовывают планы геологических и горных работ, которые утверждаются руководителем.</w:t>
      </w:r>
    </w:p>
    <w:p>
      <w:pPr>
        <w:spacing w:after="60"/>
        <w:ind w:firstLine="567"/>
        <w:jc w:val="both"/>
      </w:pPr>
      <w:r>
        <w:rPr>
          <w:rFonts w:ascii="Arial" w:cs="Arial" w:eastAsia="Arial" w:hAnsi="Arial"/>
          <w:sz w:val="24"/>
          <w:szCs w:val="24"/>
        </w:rPr>
        <w:t xml:space="preserve">68. Отчет о выполненных работах включает в себя полугодовую информацию и годовой отчет.</w:t>
      </w:r>
    </w:p>
    <w:p>
      <w:pPr>
        <w:spacing w:after="60"/>
        <w:ind w:firstLine="567"/>
        <w:jc w:val="both"/>
      </w:pPr>
      <w:r>
        <w:rPr>
          <w:rFonts w:ascii="Arial" w:cs="Arial" w:eastAsia="Arial" w:hAnsi="Arial"/>
          <w:sz w:val="24"/>
          <w:szCs w:val="24"/>
        </w:rPr>
        <w:t xml:space="preserve">69. Сроки представления отчетности:</w:t>
      </w:r>
    </w:p>
    <w:p>
      <w:pPr>
        <w:spacing w:after="60"/>
        <w:ind w:firstLine="567"/>
        <w:jc w:val="both"/>
      </w:pPr>
      <w:r>
        <w:rPr>
          <w:rFonts w:ascii="Arial" w:cs="Arial" w:eastAsia="Arial" w:hAnsi="Arial"/>
          <w:sz w:val="24"/>
          <w:szCs w:val="24"/>
        </w:rPr>
        <w:t xml:space="preserve">- полугодовой информации - до 15 июля текущего года;</w:t>
      </w:r>
    </w:p>
    <w:p>
      <w:pPr>
        <w:spacing w:after="60"/>
        <w:ind w:firstLine="567"/>
        <w:jc w:val="both"/>
      </w:pPr>
      <w:r>
        <w:rPr>
          <w:rFonts w:ascii="Arial" w:cs="Arial" w:eastAsia="Arial" w:hAnsi="Arial"/>
          <w:sz w:val="24"/>
          <w:szCs w:val="24"/>
        </w:rPr>
        <w:t xml:space="preserve">- годового отчета и плана геологических и горных работ - до 31 января следующего года;</w:t>
      </w:r>
    </w:p>
    <w:p>
      <w:pPr>
        <w:spacing w:after="60"/>
        <w:ind w:firstLine="567"/>
        <w:jc w:val="both"/>
      </w:pPr>
      <w:r>
        <w:rPr>
          <w:rFonts w:ascii="Arial" w:cs="Arial" w:eastAsia="Arial" w:hAnsi="Arial"/>
          <w:sz w:val="24"/>
          <w:szCs w:val="24"/>
        </w:rPr>
        <w:t xml:space="preserve">- отчеты по движению запасов полезных ископаемых - до 1 марта следующего года.</w:t>
      </w:r>
    </w:p>
    <w:p>
      <w:pPr>
        <w:spacing w:after="60"/>
        <w:ind w:firstLine="567"/>
        <w:jc w:val="both"/>
      </w:pPr>
      <w:r>
        <w:rPr>
          <w:rFonts w:ascii="Arial" w:cs="Arial" w:eastAsia="Arial" w:hAnsi="Arial"/>
          <w:sz w:val="24"/>
          <w:szCs w:val="24"/>
        </w:rPr>
        <w:t xml:space="preserve">В случае, если недропользователь сдал отчет с нарушением установленных сроков, но при этом Комиссией по вопросам лицензирования недропользования не был рассмотрен вопрос о приостановлении лицензии, уполномоченный орган по реализации государственной политики по недропользованию обязан принять отчет к рассмотрению.</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t2bpqfymq2jwkkvwgcui">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70. В случае если уполномоченный государственный орган по реализации государственной политики по недропользованию в течение двухмесячного срока после представления отчета не рассматривает отчеты лицензиатов за предыдущий год и план план геологических и горных работ на последующий год, то отчет считается утвержденным, а план считается согласованным.</w:t>
      </w:r>
    </w:p>
    <w:p>
      <w:pPr>
        <w:spacing w:after="60"/>
        <w:ind w:firstLine="567"/>
        <w:jc w:val="both"/>
      </w:pPr>
      <w:r>
        <w:rPr>
          <w:rFonts w:ascii="Arial" w:cs="Arial" w:eastAsia="Arial" w:hAnsi="Arial"/>
          <w:sz w:val="24"/>
          <w:szCs w:val="24"/>
        </w:rPr>
        <w:t xml:space="preserve">В случае, если отчеты и планы геологических и горных работ возвращаются на доработку, лицензиат обязан представить повторно доработанные отчет и план геологических и горных работ в течение 30 дней со дня получения официального уведомления. Непредставление доработанного отчета в указанный выше срок повлечет за собой ответственность согласно пункту 74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uylz7d_z2hw1y1_xftw">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71. Информация о недрах, полученная по результатам геологоразведочных работ, финансированных из государственного бюджета, является собственностью Кыргызской Республики.</w:t>
      </w:r>
    </w:p>
    <w:p>
      <w:pPr>
        <w:spacing w:after="60"/>
        <w:ind w:firstLine="567"/>
        <w:jc w:val="both"/>
      </w:pPr>
      <w:r>
        <w:rPr>
          <w:rFonts w:ascii="Arial" w:cs="Arial" w:eastAsia="Arial" w:hAnsi="Arial"/>
          <w:sz w:val="24"/>
          <w:szCs w:val="24"/>
        </w:rPr>
        <w:t xml:space="preserve">72. Информация о недрах, полученная по результатам геологоразведочных работ, финансированных предпринимателями, предприятиями и организациями, в том числе совместными и иностранными, является их собственностью на период, определенный лицензионным соглашением, по истечении которого информация о недрах безвозмездно переходит в собственность государства.</w:t>
      </w:r>
    </w:p>
    <w:p>
      <w:pPr>
        <w:spacing w:after="60"/>
        <w:ind w:firstLine="567"/>
        <w:jc w:val="both"/>
      </w:pPr>
      <w:r>
        <w:rPr>
          <w:rFonts w:ascii="Arial" w:cs="Arial" w:eastAsia="Arial" w:hAnsi="Arial"/>
          <w:sz w:val="24"/>
          <w:szCs w:val="24"/>
        </w:rPr>
        <w:t xml:space="preserve">73. Информация о недрах, полученная по результатам геологоразведочных работ, независимо от источников финансирования, передается в государственный орган по недропользованию для включения в государственный фонд информации о недрах. Должностные лица, имеющие доступ к информации лицензиатов о недрах, обязаны обеспечивать ее конфиденциальность.</w:t>
      </w:r>
    </w:p>
    <w:p>
      <w:pPr>
        <w:spacing w:after="200" w:before="200"/>
        <w:jc w:val="center"/>
      </w:pPr>
      <w:r>
        <w:rPr>
          <w:rFonts w:ascii="Arial" w:cs="Arial" w:eastAsia="Arial" w:hAnsi="Arial"/>
          <w:b/>
          <w:bCs/>
          <w:sz w:val="24"/>
          <w:szCs w:val="24"/>
        </w:rPr>
        <w:t xml:space="preserve">VIII. Порядок приостановления и отзыва права пользования недрами</w:t>
      </w:r>
    </w:p>
    <w:p>
      <w:pPr>
        <w:spacing w:after="60"/>
        <w:ind w:firstLine="567"/>
        <w:jc w:val="both"/>
      </w:pPr>
      <w:r>
        <w:rPr>
          <w:rFonts w:ascii="Arial" w:cs="Arial" w:eastAsia="Arial" w:hAnsi="Arial"/>
          <w:sz w:val="24"/>
          <w:szCs w:val="24"/>
        </w:rPr>
        <w:t xml:space="preserve">74. Право пользования недрами может быть приостановлено соответствующими уполномоченными государственными органами на срок до 3 месяцев, с указанием причин приостановления и предписанием об устранении нарушений, в случаях:</w:t>
      </w:r>
    </w:p>
    <w:p>
      <w:pPr>
        <w:spacing w:after="60"/>
        <w:ind w:firstLine="567"/>
        <w:jc w:val="both"/>
      </w:pPr>
      <w:r>
        <w:rPr>
          <w:rFonts w:ascii="Arial" w:cs="Arial" w:eastAsia="Arial" w:hAnsi="Arial"/>
          <w:sz w:val="24"/>
          <w:szCs w:val="24"/>
        </w:rPr>
        <w:t xml:space="preserve">- нарушения требований охраны недр, экологической и промышленной безопасности, установленных соответствующим законодательством Кыргызской Республики;</w:t>
      </w:r>
    </w:p>
    <w:p>
      <w:pPr>
        <w:spacing w:after="60"/>
        <w:ind w:firstLine="567"/>
        <w:jc w:val="both"/>
      </w:pPr>
      <w:r>
        <w:rPr>
          <w:rFonts w:ascii="Arial" w:cs="Arial" w:eastAsia="Arial" w:hAnsi="Arial"/>
          <w:sz w:val="24"/>
          <w:szCs w:val="24"/>
        </w:rPr>
        <w:t xml:space="preserve">- непредставления отчета о выполненных работах в случаях, предусмотренных </w:t>
      </w:r>
      <w:hyperlink w:history="1" r:id="rId3h6nwv9kylkntknmrjr0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недрах";</w:t>
      </w:r>
    </w:p>
    <w:p>
      <w:pPr>
        <w:spacing w:after="60"/>
        <w:ind w:firstLine="567"/>
        <w:jc w:val="both"/>
      </w:pPr>
      <w:r>
        <w:rPr>
          <w:rFonts w:ascii="Arial" w:cs="Arial" w:eastAsia="Arial" w:hAnsi="Arial"/>
          <w:sz w:val="24"/>
          <w:szCs w:val="24"/>
        </w:rPr>
        <w:t xml:space="preserve">- представления отчета о выполненных работах, содержащего недостоверные сведения;</w:t>
      </w:r>
    </w:p>
    <w:p>
      <w:pPr>
        <w:spacing w:after="60"/>
        <w:ind w:firstLine="567"/>
        <w:jc w:val="both"/>
      </w:pPr>
      <w:r>
        <w:rPr>
          <w:rFonts w:ascii="Arial" w:cs="Arial" w:eastAsia="Arial" w:hAnsi="Arial"/>
          <w:sz w:val="24"/>
          <w:szCs w:val="24"/>
        </w:rPr>
        <w:t xml:space="preserve">- невыполнения требований по аккумулированию средств для рекультивации земельного участка и/или лицензионного объекта;</w:t>
      </w:r>
    </w:p>
    <w:p>
      <w:pPr>
        <w:spacing w:after="60"/>
        <w:ind w:firstLine="567"/>
        <w:jc w:val="both"/>
      </w:pPr>
      <w:r>
        <w:rPr>
          <w:rFonts w:ascii="Arial" w:cs="Arial" w:eastAsia="Arial" w:hAnsi="Arial"/>
          <w:sz w:val="24"/>
          <w:szCs w:val="24"/>
        </w:rPr>
        <w:t xml:space="preserve">- применения технологий по освоению недр, создающих угрозу здоровью и безопасности работников и населения, а также невосполнимого ущерба природной среде и потери запасов полезных ископаемых.</w:t>
      </w:r>
    </w:p>
    <w:p>
      <w:pPr>
        <w:spacing w:after="60"/>
        <w:ind w:firstLine="567"/>
        <w:jc w:val="both"/>
      </w:pPr>
      <w:r>
        <w:rPr>
          <w:rFonts w:ascii="Arial" w:cs="Arial" w:eastAsia="Arial" w:hAnsi="Arial"/>
          <w:sz w:val="24"/>
          <w:szCs w:val="24"/>
        </w:rPr>
        <w:t xml:space="preserve">75. В случае возникновения форс-мажора право пользования недрами приостанавливается по заявлению недропользователя на срок действия форс-мажора. В течение 7 рабочих дней со дня подачи такого заявления уполномоченный государственный орган по реализации государственной политики по недропользованию вправе отказать в приостановлении права недропользования, с указанием мотивов отказа.</w:t>
      </w:r>
    </w:p>
    <w:p>
      <w:pPr>
        <w:spacing w:after="60"/>
        <w:ind w:firstLine="567"/>
        <w:jc w:val="both"/>
      </w:pPr>
      <w:r>
        <w:rPr>
          <w:rFonts w:ascii="Arial" w:cs="Arial" w:eastAsia="Arial" w:hAnsi="Arial"/>
          <w:sz w:val="24"/>
          <w:szCs w:val="24"/>
        </w:rPr>
        <w:t xml:space="preserve">Если устранение причин, повлекших приостановление права пользования недрами, в течение 90 дней невозможно в целях поддержания горного имущества в сохранном, безаварийном и безопасном для людей и окружающей среды состоянии, уполномоченный государственный орган по реализации государственной политики по недропользованию по мотивированному заявлению недропользователя вправе продлить срок для устранения нарушений.</w:t>
      </w:r>
    </w:p>
    <w:p>
      <w:pPr>
        <w:spacing w:after="60"/>
        <w:ind w:firstLine="567"/>
        <w:jc w:val="both"/>
      </w:pPr>
      <w:r>
        <w:rPr>
          <w:rFonts w:ascii="Arial" w:cs="Arial" w:eastAsia="Arial" w:hAnsi="Arial"/>
          <w:sz w:val="24"/>
          <w:szCs w:val="24"/>
        </w:rPr>
        <w:t xml:space="preserve">76. Право пользования недрами может быть также приостановлено по определению суда, на срок, определенный процессуальным законодательством.</w:t>
      </w:r>
    </w:p>
    <w:p>
      <w:pPr>
        <w:spacing w:after="60"/>
        <w:ind w:firstLine="567"/>
        <w:jc w:val="both"/>
      </w:pPr>
      <w:r>
        <w:rPr>
          <w:rFonts w:ascii="Arial" w:cs="Arial" w:eastAsia="Arial" w:hAnsi="Arial"/>
          <w:sz w:val="24"/>
          <w:szCs w:val="24"/>
        </w:rPr>
        <w:t xml:space="preserve">77. Право пользования недрами прекращается уполномоченным государственным органом по реализации государственной политики по недропользованию в случаях:</w:t>
      </w:r>
    </w:p>
    <w:p>
      <w:pPr>
        <w:spacing w:after="60"/>
        <w:ind w:firstLine="567"/>
        <w:jc w:val="both"/>
      </w:pPr>
      <w:r>
        <w:rPr>
          <w:rFonts w:ascii="Arial" w:cs="Arial" w:eastAsia="Arial" w:hAnsi="Arial"/>
          <w:sz w:val="24"/>
          <w:szCs w:val="24"/>
        </w:rPr>
        <w:t xml:space="preserve">- передачи более 10% уставного капитала общества, владеющего лицензией, третьему лицу, без регистрации соответствующего изменения в уполномоченном государственном органе по реализации государственной политики по недропользованию (за исключением публичных компаний);</w:t>
      </w:r>
    </w:p>
    <w:p>
      <w:pPr>
        <w:spacing w:after="60"/>
        <w:ind w:firstLine="567"/>
        <w:jc w:val="both"/>
      </w:pPr>
      <w:r>
        <w:rPr>
          <w:rFonts w:ascii="Arial" w:cs="Arial" w:eastAsia="Arial" w:hAnsi="Arial"/>
          <w:sz w:val="24"/>
          <w:szCs w:val="24"/>
        </w:rPr>
        <w:t xml:space="preserve">- передачи лицензии в залог, без регистрации в уполномоченном государственном органе по реализации государственной политики по недропользованию;</w:t>
      </w:r>
    </w:p>
    <w:p>
      <w:pPr>
        <w:spacing w:after="60"/>
        <w:ind w:firstLine="567"/>
        <w:jc w:val="both"/>
      </w:pPr>
      <w:r>
        <w:rPr>
          <w:rFonts w:ascii="Arial" w:cs="Arial" w:eastAsia="Arial" w:hAnsi="Arial"/>
          <w:sz w:val="24"/>
          <w:szCs w:val="24"/>
        </w:rPr>
        <w:t xml:space="preserve">- нарушения более чем на 30 дней сроков уплаты бонуса и (или) лицензионных платежей и (или) роялти;</w:t>
      </w:r>
    </w:p>
    <w:p>
      <w:pPr>
        <w:spacing w:after="60"/>
        <w:ind w:firstLine="567"/>
        <w:jc w:val="both"/>
      </w:pPr>
      <w:r>
        <w:rPr>
          <w:rFonts w:ascii="Arial" w:cs="Arial" w:eastAsia="Arial" w:hAnsi="Arial"/>
          <w:sz w:val="24"/>
          <w:szCs w:val="24"/>
        </w:rPr>
        <w:t xml:space="preserve">- отказа от права пользования недрами недропользователем;</w:t>
      </w:r>
    </w:p>
    <w:p>
      <w:pPr>
        <w:spacing w:after="60"/>
        <w:ind w:firstLine="567"/>
        <w:jc w:val="both"/>
      </w:pPr>
      <w:r>
        <w:rPr>
          <w:rFonts w:ascii="Arial" w:cs="Arial" w:eastAsia="Arial" w:hAnsi="Arial"/>
          <w:sz w:val="24"/>
          <w:szCs w:val="24"/>
        </w:rPr>
        <w:t xml:space="preserve">- истечения срока действия лицензии на право пользования недрами, если лицензиатом не подано заявление о продлении или трансформации лицензии в установленный срок;</w:t>
      </w:r>
    </w:p>
    <w:p>
      <w:pPr>
        <w:spacing w:after="60"/>
        <w:ind w:firstLine="567"/>
        <w:jc w:val="both"/>
      </w:pPr>
      <w:r>
        <w:rPr>
          <w:rFonts w:ascii="Arial" w:cs="Arial" w:eastAsia="Arial" w:hAnsi="Arial"/>
          <w:sz w:val="24"/>
          <w:szCs w:val="24"/>
        </w:rPr>
        <w:t xml:space="preserve">- проведения работ без технического проекта, получившего все необходимые положительные экспертизы;</w:t>
      </w:r>
    </w:p>
    <w:p>
      <w:pPr>
        <w:spacing w:after="60"/>
        <w:ind w:firstLine="567"/>
        <w:jc w:val="both"/>
      </w:pPr>
      <w:r>
        <w:rPr>
          <w:rFonts w:ascii="Arial" w:cs="Arial" w:eastAsia="Arial" w:hAnsi="Arial"/>
          <w:sz w:val="24"/>
          <w:szCs w:val="24"/>
        </w:rPr>
        <w:t xml:space="preserve">- в случае неустранения причин, повлекших приостановку права пользования недрами в соответствии с п.74 настоящего Положения.</w:t>
      </w:r>
    </w:p>
    <w:p>
      <w:pPr>
        <w:spacing w:after="60"/>
        <w:ind w:firstLine="567"/>
        <w:jc w:val="both"/>
      </w:pPr>
      <w:r>
        <w:rPr>
          <w:rFonts w:ascii="Arial" w:cs="Arial" w:eastAsia="Arial" w:hAnsi="Arial"/>
          <w:sz w:val="24"/>
          <w:szCs w:val="24"/>
        </w:rPr>
        <w:t xml:space="preserve">78. Решение о приостановлении или прекращении права пользования недрами, с указанием оснований принятия такого решения, принимается Комиссией по вопросам лицензирования недропользования и направляется недропользователю в течение 7 рабочих дней. Решение о приостановлении или прекращении права пользования недрами вступает в силу со дня его принятия.</w:t>
      </w:r>
    </w:p>
    <w:p>
      <w:pPr>
        <w:spacing w:after="60"/>
        <w:ind w:firstLine="567"/>
        <w:jc w:val="both"/>
      </w:pPr>
      <w:r>
        <w:rPr>
          <w:rFonts w:ascii="Arial" w:cs="Arial" w:eastAsia="Arial" w:hAnsi="Arial"/>
          <w:sz w:val="24"/>
          <w:szCs w:val="24"/>
        </w:rPr>
        <w:t xml:space="preserve">Прекращение права пользования недрами не производится, если основания для этого возникли не по вине лицензиата, а по причине обстоятельств непреодолимой силы, воспрепятствовавших выполнению лицензиатом требований законодательства. В зависимости от характера, обстоятельства непреодолимой силы подтверждаются справками соответствующих компетентных органов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zmkjng7dlk6wt4d-bizj">
        <w:r>
          <w:rPr>
            <w:rFonts w:ascii="Arial" w:cs="Arial" w:eastAsia="Arial" w:hAnsi="Arial"/>
            <w:i/>
            <w:iCs/>
            <w:color w:val="1D4ED8"/>
            <w:sz w:val="24"/>
            <w:szCs w:val="24"/>
            <w:u w:val="single"/>
          </w:rPr>
          <w:t xml:space="preserve">13 июня 2013 года N 350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79. Прекращение действия лицензии на право пользования недрами не прекращает обязанности недропользователя по:</w:t>
      </w:r>
    </w:p>
    <w:p>
      <w:pPr>
        <w:spacing w:after="60"/>
        <w:ind w:firstLine="567"/>
        <w:jc w:val="both"/>
      </w:pPr>
      <w:r>
        <w:rPr>
          <w:rFonts w:ascii="Arial" w:cs="Arial" w:eastAsia="Arial" w:hAnsi="Arial"/>
          <w:sz w:val="24"/>
          <w:szCs w:val="24"/>
        </w:rPr>
        <w:t xml:space="preserve">- рекультивации земельного участка и ликвидации горного имущества;</w:t>
      </w:r>
    </w:p>
    <w:p>
      <w:pPr>
        <w:spacing w:after="60"/>
        <w:ind w:firstLine="567"/>
        <w:jc w:val="both"/>
      </w:pPr>
      <w:r>
        <w:rPr>
          <w:rFonts w:ascii="Arial" w:cs="Arial" w:eastAsia="Arial" w:hAnsi="Arial"/>
          <w:sz w:val="24"/>
          <w:szCs w:val="24"/>
        </w:rPr>
        <w:t xml:space="preserve">- консервации и поддержанию горного имущества в сохранном, безаварийном и безопасном для людей и окружающей среды состоянии до его передачи последующему владельцу права пользования недрами;</w:t>
      </w:r>
    </w:p>
    <w:p>
      <w:pPr>
        <w:spacing w:after="60"/>
        <w:ind w:firstLine="567"/>
        <w:jc w:val="both"/>
      </w:pPr>
      <w:r>
        <w:rPr>
          <w:rFonts w:ascii="Arial" w:cs="Arial" w:eastAsia="Arial" w:hAnsi="Arial"/>
          <w:sz w:val="24"/>
          <w:szCs w:val="24"/>
        </w:rPr>
        <w:t xml:space="preserve">- передаче геологической информации и первичной документации в Государственный геологический информационный фонд.</w:t>
      </w:r>
    </w:p>
    <w:p>
      <w:pPr>
        <w:spacing w:after="200" w:before="200"/>
        <w:jc w:val="center"/>
      </w:pPr>
      <w:r>
        <w:rPr>
          <w:rFonts w:ascii="Arial" w:cs="Arial" w:eastAsia="Arial" w:hAnsi="Arial"/>
          <w:b/>
          <w:bCs/>
          <w:sz w:val="24"/>
          <w:szCs w:val="24"/>
        </w:rPr>
        <w:t xml:space="preserve">IX. Рекультивация земельного участка и ликвидация горного имущества</w:t>
      </w:r>
    </w:p>
    <w:p>
      <w:pPr>
        <w:spacing w:after="60"/>
        <w:ind w:firstLine="567"/>
        <w:jc w:val="both"/>
      </w:pPr>
      <w:r>
        <w:rPr>
          <w:rFonts w:ascii="Arial" w:cs="Arial" w:eastAsia="Arial" w:hAnsi="Arial"/>
          <w:sz w:val="24"/>
          <w:szCs w:val="24"/>
        </w:rPr>
        <w:t xml:space="preserve">80. Рекультивация земельного участка и лицензионного объекта проводится в соответствии с техническим проектом рекультивации и осуществляется за счет средств фонда рекультивации, ежемесячно отчисляемых и аккумулируемых лицензиатом с начала разработки месторождения полезных ископаемых или строительства подземных сооружений, не связанных с разработкой месторождений полезных ископаемых.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j-kvrmevtfezbqhwdbcq">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81. Средства фонда рекультивации размещаются на счетах лицензиата в банках Кыргызской Республики и не могут расходоваться на другие цели, в том числе для удовлетворения требований кредиторов и погашения задолженности по налоговым и таможенным платежам, при этом расход средств на осуществление рекультивации производится с письменного согласия уполномоченного государственного органа по реализации государственной политики по недропользованию. Данные условия расхода денежных средств рекультивационного счета должны быть отражены в договоре о банковском счете между банком и недропользователем.</w:t>
      </w:r>
    </w:p>
    <w:p>
      <w:pPr>
        <w:spacing w:after="60"/>
        <w:ind w:firstLine="567"/>
        <w:jc w:val="both"/>
      </w:pPr>
      <w:r>
        <w:rPr>
          <w:rFonts w:ascii="Arial" w:cs="Arial" w:eastAsia="Arial" w:hAnsi="Arial"/>
          <w:sz w:val="24"/>
          <w:szCs w:val="24"/>
        </w:rPr>
        <w:t xml:space="preserve">82. Лицензиат обязан открыть целевой рекультивационный счет в течение 30 рабочих дней после начала работ по освоению месторождения. Об открытии целевого рекультивационного счета и о величине отчислений финансовых средств на целевой счет недропользователь обязан ежеквартально уведомлять уполномоченный государственный орган по реализации государственной политики по недропользованию, с представлением копий банковских документов.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itc8826pezgko-zrseua">
        <w:r>
          <w:rPr>
            <w:rFonts w:ascii="Arial" w:cs="Arial" w:eastAsia="Arial" w:hAnsi="Arial"/>
            <w:i/>
            <w:iCs/>
            <w:color w:val="1D4ED8"/>
            <w:sz w:val="24"/>
            <w:szCs w:val="24"/>
            <w:u w:val="single"/>
          </w:rPr>
          <w:t xml:space="preserve">13 июня 2013 года N 350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83. В случае банкротства, ликвидации предприятия или смерти недропользователя средства фонда рекультивации, по поручению уполномоченного государственного органа по реализации государственной политики по недропользованию, перечисляются на расчетный счет владельца земельного участка для проведения рекультивационных работ. Использование средств фонда рекультивации на иные цели запрещается.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fwi59vbb6fw9g6xgabdt">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84. Рекультивация нарушенных земель при геологическом изучении недр проводится в соответствии с техническим проектом.</w:t>
      </w:r>
    </w:p>
    <w:p>
      <w:pPr>
        <w:spacing w:after="200" w:before="200"/>
        <w:jc w:val="center"/>
      </w:pPr>
      <w:r>
        <w:rPr>
          <w:rFonts w:ascii="Arial" w:cs="Arial" w:eastAsia="Arial" w:hAnsi="Arial"/>
          <w:b/>
          <w:bCs/>
          <w:sz w:val="24"/>
          <w:szCs w:val="24"/>
        </w:rPr>
        <w:t xml:space="preserve">X. Прочие положения</w:t>
      </w:r>
    </w:p>
    <w:p>
      <w:pPr>
        <w:spacing w:after="60"/>
        <w:ind w:firstLine="567"/>
        <w:jc w:val="both"/>
      </w:pPr>
      <w:r>
        <w:rPr>
          <w:rFonts w:ascii="Arial" w:cs="Arial" w:eastAsia="Arial" w:hAnsi="Arial"/>
          <w:sz w:val="24"/>
          <w:szCs w:val="24"/>
        </w:rPr>
        <w:t xml:space="preserve">85. В отношении участка недр, на который выдана лицензия на право пользования недрами на геолого-поисковые или геологоразведочные работы, третьи лица вправе, без согласия лицензиата, получить лицензии на право пользования недрами на геолого-поисковые или геологоразведочные работы в отношении видов полезных ископаемых, не предусмотренных действующей лицензией на право пользования недрами и относящихся к другой группе месторождений полезных ископаемых.</w:t>
      </w:r>
    </w:p>
    <w:p>
      <w:pPr>
        <w:spacing w:after="60"/>
        <w:ind w:firstLine="567"/>
        <w:jc w:val="both"/>
      </w:pPr>
      <w:r>
        <w:rPr>
          <w:rFonts w:ascii="Arial" w:cs="Arial" w:eastAsia="Arial" w:hAnsi="Arial"/>
          <w:sz w:val="24"/>
          <w:szCs w:val="24"/>
        </w:rPr>
        <w:t xml:space="preserve">86. На лицензионных площадях владелец лицензии на право пользования недрами вправе предложить другому лицензиату, лицензия которого предусматривает обнаруженный вид полезного ископаемого, выкупить информацию об обнаруженных полезных ископаемых.</w:t>
      </w:r>
    </w:p>
    <w:p>
      <w:pPr>
        <w:spacing w:after="60"/>
        <w:ind w:firstLine="567"/>
        <w:jc w:val="both"/>
      </w:pPr>
      <w:r>
        <w:rPr>
          <w:rFonts w:ascii="Arial" w:cs="Arial" w:eastAsia="Arial" w:hAnsi="Arial"/>
          <w:sz w:val="24"/>
          <w:szCs w:val="24"/>
        </w:rPr>
        <w:t xml:space="preserve">87. Заявитель обязан обеспечить совместимость своего технического проекта с техническим проектом лицензиата, ранее получившего лицензию на право пользования недрами, в отношении участка недр, по которому подано заявление.</w:t>
      </w:r>
    </w:p>
    <w:p>
      <w:pPr>
        <w:spacing w:after="60"/>
        <w:ind w:firstLine="567"/>
        <w:jc w:val="both"/>
      </w:pPr>
      <w:r>
        <w:rPr>
          <w:rFonts w:ascii="Arial" w:cs="Arial" w:eastAsia="Arial" w:hAnsi="Arial"/>
          <w:sz w:val="24"/>
          <w:szCs w:val="24"/>
        </w:rPr>
        <w:t xml:space="preserve">88. Уполномоченный государственный орган по реализации государственной политики по недропользованию выдает разрешения на вывоз за пределы Кыргызской Республики образцов руд и горных пород, концентратов, отходов производства и лабораторных проб для проведения аналитических исследований.</w:t>
      </w:r>
    </w:p>
    <w:p>
      <w:pPr>
        <w:spacing w:after="60"/>
        <w:ind w:firstLine="567"/>
        <w:jc w:val="both"/>
      </w:pPr>
      <w:r>
        <w:rPr>
          <w:rFonts w:ascii="Arial" w:cs="Arial" w:eastAsia="Arial" w:hAnsi="Arial"/>
          <w:sz w:val="24"/>
          <w:szCs w:val="24"/>
        </w:rPr>
        <w:t xml:space="preserve">89. Лицензиат имеет право заложить право пользования недрами по лицензии третьему лицу по договору залога.</w:t>
      </w:r>
    </w:p>
    <w:p>
      <w:pPr>
        <w:spacing w:after="60"/>
        <w:ind w:firstLine="567"/>
        <w:jc w:val="both"/>
      </w:pPr>
      <w:r>
        <w:rPr>
          <w:rFonts w:ascii="Arial" w:cs="Arial" w:eastAsia="Arial" w:hAnsi="Arial"/>
          <w:sz w:val="24"/>
          <w:szCs w:val="24"/>
        </w:rPr>
        <w:t xml:space="preserve">90. Для регистрации залога права пользования недрами недропользователь должен в течение 30 календарных дней с момента заключения договора залога представить в уполномоченный государственный орган по реализации государственной политики по недропользованию - уведомление о заключении договора залога, с обязательным указанием наименования залогодержателя, его местонахождения, а также представить копию договора залога.</w:t>
      </w:r>
    </w:p>
    <w:p>
      <w:pPr>
        <w:spacing w:after="60"/>
        <w:ind w:firstLine="567"/>
        <w:jc w:val="both"/>
      </w:pPr>
      <w:r>
        <w:rPr>
          <w:rFonts w:ascii="Arial" w:cs="Arial" w:eastAsia="Arial" w:hAnsi="Arial"/>
          <w:sz w:val="24"/>
          <w:szCs w:val="24"/>
        </w:rPr>
        <w:t xml:space="preserve">91. Уполномоченный государственный орган по реализации государственной политики по недропользованию обязан до 30 календарных дней рассмотреть поступившее уведомление и произвести регистрацию залога права пользования недрами, путем внесения в лицензионное соглашение соответствующей записи, с проставлением печати "зарегистрировано".</w:t>
      </w:r>
    </w:p>
    <w:p>
      <w:pPr>
        <w:spacing w:after="60"/>
        <w:ind w:firstLine="567"/>
        <w:jc w:val="both"/>
      </w:pPr>
      <w:r>
        <w:rPr>
          <w:rFonts w:ascii="Arial" w:cs="Arial" w:eastAsia="Arial" w:hAnsi="Arial"/>
          <w:sz w:val="24"/>
          <w:szCs w:val="24"/>
        </w:rPr>
        <w:t xml:space="preserve">92. В случае обращения взыскания на предмет залога - право пользования недрами, в уполномоченный государственный орган по реализации государственной политики по недропользованию представляются судебное решение и акт продажи права с торгов судебным исполнителем либо мировое соглашение о передаче прав, утвержденное определением суда (если обращение взыскания производилось в судебном порядке), либо соглашение об удовлетворении требований залогодержателя во внесудебном порядке и документы, свидетельствующие о передаче права новому недропользователю, либо соглашение об отступном (если обращение взыскания на предмет залога производилось во внесудебном порядке).</w:t>
      </w:r>
    </w:p>
    <w:p>
      <w:pPr>
        <w:spacing w:after="60"/>
        <w:ind w:firstLine="567"/>
        <w:jc w:val="both"/>
      </w:pPr>
      <w:r>
        <w:rPr>
          <w:rFonts w:ascii="Arial" w:cs="Arial" w:eastAsia="Arial" w:hAnsi="Arial"/>
          <w:sz w:val="24"/>
          <w:szCs w:val="24"/>
        </w:rPr>
        <w:t xml:space="preserve">93. Указанные в пункте 92 документы должны быть представлены в течение 10 календарных дней лицом, которое приобрело право пользования недрами в результате обращения взыскания на предмет залога.</w:t>
      </w:r>
    </w:p>
    <w:p>
      <w:pPr>
        <w:spacing w:after="60"/>
        <w:ind w:firstLine="567"/>
        <w:jc w:val="both"/>
      </w:pPr>
      <w:r>
        <w:rPr>
          <w:rFonts w:ascii="Arial" w:cs="Arial" w:eastAsia="Arial" w:hAnsi="Arial"/>
          <w:sz w:val="24"/>
          <w:szCs w:val="24"/>
        </w:rPr>
        <w:t xml:space="preserve">Кроме этого представляются:</w:t>
      </w:r>
    </w:p>
    <w:p>
      <w:pPr>
        <w:spacing w:after="60"/>
        <w:ind w:firstLine="567"/>
        <w:jc w:val="both"/>
      </w:pPr>
      <w:r>
        <w:rPr>
          <w:rFonts w:ascii="Arial" w:cs="Arial" w:eastAsia="Arial" w:hAnsi="Arial"/>
          <w:sz w:val="24"/>
          <w:szCs w:val="24"/>
        </w:rPr>
        <w:t xml:space="preserve">- нотариально удостоверенные копии учредительных документов - для юридических лиц, зарегистрированных, перерегистрированных до 1 апреля 2009 года, или копии учредительных документов, заверенных своей печатью, - для юридических лиц, зарегистрированных, перерегистрированных позже указанного срока;</w:t>
      </w:r>
    </w:p>
    <w:p>
      <w:pPr>
        <w:spacing w:after="60"/>
        <w:ind w:firstLine="567"/>
        <w:jc w:val="both"/>
      </w:pPr>
      <w:r>
        <w:rPr>
          <w:rFonts w:ascii="Arial" w:cs="Arial" w:eastAsia="Arial" w:hAnsi="Arial"/>
          <w:sz w:val="24"/>
          <w:szCs w:val="24"/>
        </w:rPr>
        <w:t xml:space="preserve">- нотариально удостоверенная копия свидетельства о государственной регистрации юридического и (или) индивидуального предпринимателя;</w:t>
      </w:r>
    </w:p>
    <w:p>
      <w:pPr>
        <w:spacing w:after="60"/>
        <w:ind w:firstLine="567"/>
        <w:jc w:val="both"/>
      </w:pPr>
      <w:r>
        <w:rPr>
          <w:rFonts w:ascii="Arial" w:cs="Arial" w:eastAsia="Arial" w:hAnsi="Arial"/>
          <w:sz w:val="24"/>
          <w:szCs w:val="24"/>
        </w:rPr>
        <w:t xml:space="preserve">- копия паспорта, с указанием адреса прописки - для физического лица.</w:t>
      </w:r>
    </w:p>
    <w:p>
      <w:pPr>
        <w:spacing w:after="60"/>
        <w:ind w:firstLine="567"/>
        <w:jc w:val="both"/>
      </w:pPr>
      <w:r>
        <w:rPr>
          <w:rFonts w:ascii="Arial" w:cs="Arial" w:eastAsia="Arial" w:hAnsi="Arial"/>
          <w:sz w:val="24"/>
          <w:szCs w:val="24"/>
        </w:rPr>
        <w:t xml:space="preserve">94. Уполномоченный государственный орган по реализации государственной политики по недропользованию, в течение до 30 календарных дней с момента поступления всех документов обязан принять решение о передаче лицензии другому лицу, которому выдается другая лицензия.</w:t>
      </w:r>
    </w:p>
    <w:p>
      <w:pPr>
        <w:spacing w:after="60"/>
        <w:ind w:firstLine="567"/>
        <w:jc w:val="both"/>
      </w:pPr>
      <w:r>
        <w:rPr>
          <w:rFonts w:ascii="Arial" w:cs="Arial" w:eastAsia="Arial" w:hAnsi="Arial"/>
          <w:sz w:val="24"/>
          <w:szCs w:val="24"/>
        </w:rPr>
        <w:t xml:space="preserve">95. Лицо, к которому перешло право пользования недрами в результате обращения взыскания на предмет залога, обязано уплатить сумму бонуса, а также оплачивать платежи за пользование недрами с даты получения лицензии.</w:t>
      </w:r>
    </w:p>
    <w:p>
      <w:pPr>
        <w:spacing w:after="60"/>
        <w:ind w:firstLine="567"/>
        <w:jc w:val="both"/>
      </w:pPr>
      <w:r>
        <w:rPr>
          <w:rFonts w:ascii="Arial" w:cs="Arial" w:eastAsia="Arial" w:hAnsi="Arial"/>
          <w:sz w:val="24"/>
          <w:szCs w:val="24"/>
        </w:rPr>
        <w:t xml:space="preserve">96. До даты получения лицензии новым лицензиатом все права и обязанности, в том числе по уплате лицензионных платежей, относятся на счет прежнего лицензиата.</w:t>
      </w:r>
    </w:p>
    <w:p>
      <w:pPr>
        <w:spacing w:after="60"/>
        <w:ind w:firstLine="567"/>
        <w:jc w:val="both"/>
      </w:pPr>
      <w:r>
        <w:rPr>
          <w:rFonts w:ascii="Arial" w:cs="Arial" w:eastAsia="Arial" w:hAnsi="Arial"/>
          <w:sz w:val="24"/>
          <w:szCs w:val="24"/>
        </w:rPr>
        <w:t xml:space="preserve">97. Лицу, к которому перешло право пользования недрами в результате обращения взыскания на предмет залога, переходят все условия лицензирования, которые существовали до момента перехода.</w:t>
      </w:r>
    </w:p>
    <w:p>
      <w:pPr>
        <w:spacing w:after="60"/>
        <w:ind w:firstLine="567"/>
        <w:jc w:val="both"/>
      </w:pPr>
      <w:r>
        <w:rPr>
          <w:rFonts w:ascii="Arial" w:cs="Arial" w:eastAsia="Arial" w:hAnsi="Arial"/>
          <w:sz w:val="24"/>
          <w:szCs w:val="24"/>
        </w:rPr>
        <w:t xml:space="preserve">98. В случае прекращения договора залога без обращения взыскания на предмет залога, уполномоченный государственный орган по реализации государственной политики по недропользованию в течение до 30 календарных дней со дня получения уведомления о прекращении договора о залоге от залогодержателя вносит соответствующую запись в лицензионное соглашение о прекращении залога права пользования недрами.</w:t>
      </w:r>
    </w:p>
    <w:p>
      <w:pPr>
        <w:spacing w:after="60"/>
        <w:ind w:firstLine="567"/>
        <w:jc w:val="both"/>
      </w:pPr>
      <w:r>
        <w:rPr>
          <w:rFonts w:ascii="Arial" w:cs="Arial" w:eastAsia="Arial" w:hAnsi="Arial"/>
          <w:sz w:val="24"/>
          <w:szCs w:val="24"/>
        </w:rPr>
        <w:t xml:space="preserve">99. В случае реорганизации юридического лица его правопреемнику (правопреемникам) переходят соответствующие права пользования недрами и обязательства в порядке универсального правопреемства в соответствии с нормами Гражданского </w:t>
      </w:r>
      <w:hyperlink w:history="1" r:id="rIdcwbunrgb9pgudvrie-rf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Неделимый лицензионный участок не подлежит разделу в случае разделения юридического лица или образования другого юридического лица путем выделения.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sg2u68gyjgqpvkvj6qhn">
        <w:r>
          <w:rPr>
            <w:rFonts w:ascii="Arial" w:cs="Arial" w:eastAsia="Arial" w:hAnsi="Arial"/>
            <w:i/>
            <w:iCs/>
            <w:color w:val="1D4ED8"/>
            <w:sz w:val="24"/>
            <w:szCs w:val="24"/>
            <w:u w:val="single"/>
          </w:rPr>
          <w:t xml:space="preserve">12 января 2013 года N 12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100. Изменение доли собственности при смене учредителей в размере десяти и более процентов приравнивается к получению лицензии и является основанием для уплаты бонуса в соответствии с налоговым законодательством Кыргызской Республики, за исключением компаний, прошедших листинг на фондовых биржах. Оплата бонуса производится пропорционально изменению доли собственности.</w:t>
      </w:r>
    </w:p>
    <w:p>
      <w:pPr>
        <w:spacing w:after="60"/>
        <w:ind w:firstLine="567"/>
        <w:jc w:val="both"/>
      </w:pPr>
      <w:r>
        <w:rPr>
          <w:rFonts w:ascii="Arial" w:cs="Arial" w:eastAsia="Arial" w:hAnsi="Arial"/>
          <w:sz w:val="24"/>
          <w:szCs w:val="24"/>
        </w:rPr>
        <w:t xml:space="preserve">101. Об изменении участников (акционеров) с долей собственности 10% и более недропользователь должен в течение 30 календарных дней с момента прохождения перерегистрации в органах юстиции, либо перевода права собственности в акции, подать в уполномоченный государственный орган по реализации государственной политики по недропользованию уведомление о смене участников, с приложением документов, подтверждающих смену участников (акционеров), а также оригиналы лицензии и лицензионного соглашения.</w:t>
      </w:r>
    </w:p>
    <w:p>
      <w:pPr>
        <w:spacing w:after="60"/>
        <w:ind w:firstLine="567"/>
        <w:jc w:val="both"/>
      </w:pPr>
      <w:r>
        <w:rPr>
          <w:rFonts w:ascii="Arial" w:cs="Arial" w:eastAsia="Arial" w:hAnsi="Arial"/>
          <w:sz w:val="24"/>
          <w:szCs w:val="24"/>
        </w:rPr>
        <w:t xml:space="preserve">102. Уполномоченный государственный орган по реализации государственной политики по недропользованию обязан до 30 календарных дней рассмотреть поступившее уведомление и произвести регистрацию перехода права долей, путем внесения в лицензионное соглашение изменений, касающихся участников (акционеров) недропользователя.</w:t>
      </w:r>
    </w:p>
    <w:p>
      <w:pPr>
        <w:spacing w:after="60"/>
        <w:ind w:firstLine="567"/>
        <w:jc w:val="both"/>
      </w:pPr>
      <w:r>
        <w:rPr>
          <w:rFonts w:ascii="Arial" w:cs="Arial" w:eastAsia="Arial" w:hAnsi="Arial"/>
          <w:sz w:val="24"/>
          <w:szCs w:val="24"/>
        </w:rPr>
        <w:t xml:space="preserve">103. Экземпляры лицензий и лицензионных соглашений, в том числе аннулированных лицензий, хранятся в архиве уполномоченного государственного органа по реализации государственной политики по недропользованию до минования надобности. В случае утери или невозможности использования оригинала лицензии и (или) лицензионного соглашения лицензиат подает заявку в уполномоченный государственный орган по реализации государственной политики по недропользованию на выдачу дубликата. В дубликаты лицензии и (или) лицензионного соглашения вписывается слово "Дубликат". За выдачу дубликата взимается плата в размере, предусмотренном за выдачу лицензии.</w:t>
      </w:r>
    </w:p>
    <w:p>
      <w:pPr>
        <w:spacing w:after="60"/>
        <w:ind w:firstLine="567"/>
        <w:jc w:val="both"/>
      </w:pPr>
      <w:r>
        <w:rPr>
          <w:rFonts w:ascii="Arial" w:cs="Arial" w:eastAsia="Arial" w:hAnsi="Arial"/>
          <w:sz w:val="24"/>
          <w:szCs w:val="24"/>
        </w:rPr>
        <w:t xml:space="preserve">104. Лицензия с просроченным сроком действия является недействительной, а проведение работ на лицензионном объекте в этом случае считается самовольным пользованием недрами и влечет ответственность, предусмотренную законодательством Кыргызской Республики.</w:t>
      </w:r>
    </w:p>
    <w:p>
      <w:pPr>
        <w:spacing w:after="60"/>
        <w:ind w:firstLine="567"/>
        <w:jc w:val="both"/>
      </w:pPr>
      <w:r>
        <w:rPr>
          <w:rFonts w:ascii="Arial" w:cs="Arial" w:eastAsia="Arial" w:hAnsi="Arial"/>
          <w:sz w:val="24"/>
          <w:szCs w:val="24"/>
        </w:rPr>
        <w:t xml:space="preserve">105. Недропользователи, которые ранее получили лицензии на право пользования недрами по месторождениям общегосударственного значения, кроме нерудных месторождений полезных ископаемых и воды, обязаны представить в уполномоченный государственный орган по реализации государственной политики по недропользованию социальный пакет - программу инвестиций по созданию условий для развития местного сообщества (подготовка кадров, трудоустройство местного населения и строительство инфраструктуры), утвержденную представительным органом местного самоуправления, с учетом решения острых проблем местного сообщества, на территории которого находится объект.</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db5irmh0f1lcfhei3la4">
        <w:r>
          <w:rPr>
            <w:rFonts w:ascii="Arial" w:cs="Arial" w:eastAsia="Arial" w:hAnsi="Arial"/>
            <w:i/>
            <w:iCs/>
            <w:color w:val="1D4ED8"/>
            <w:sz w:val="24"/>
            <w:szCs w:val="24"/>
            <w:u w:val="single"/>
          </w:rPr>
          <w:t xml:space="preserve">13 июня 2013 года N 350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106. При изменении реквизитов, правового статуса лицензиата, лицензионной площади или горного отвода, состава учредителей, руководителя предприятия, а также при установлении существенного отклонения действительных природных условий лицензионного объекта от исходной геологической информации, по заявке лицензиата, с приложением соответствующих подтверждающих документов, лицензия и (или) лицензионное соглашение переоформляются. За переоформление взимается плата в размере платы за выдачу лицензии.</w:t>
      </w:r>
    </w:p>
    <w:p>
      <w:pPr>
        <w:spacing w:after="60"/>
        <w:ind w:firstLine="567"/>
        <w:jc w:val="both"/>
      </w:pPr>
      <w:r>
        <w:rPr>
          <w:rFonts w:ascii="Arial" w:cs="Arial" w:eastAsia="Arial" w:hAnsi="Arial"/>
          <w:sz w:val="24"/>
          <w:szCs w:val="24"/>
        </w:rPr>
        <w:t xml:space="preserve">107. Заявки о предоставлении лицензий на право пользования недрами путем прямых переговоров, поступившие в уполномоченный государственный орган по реализации государственной политики по недропользованию до вступления в силу настоящего Положения, должны быть приведены в соответствие с требованиями настоящего Положения в течение месячного срока с момента получения лицензиатом уведомления о необходимости обновления заявки.</w:t>
      </w:r>
    </w:p>
    <w:p>
      <w:pPr>
        <w:spacing w:after="60"/>
        <w:ind w:firstLine="567"/>
        <w:jc w:val="both"/>
      </w:pPr>
      <w:r>
        <w:rPr>
          <w:rFonts w:ascii="Arial" w:cs="Arial" w:eastAsia="Arial" w:hAnsi="Arial"/>
          <w:sz w:val="24"/>
          <w:szCs w:val="24"/>
        </w:rPr>
        <w:t xml:space="preserve">При обновлении (представлении дополнительных документов в соответствии с требованиями настоящего Положения) лицензиатом заявки в месячный срок, за данной заявкой сохраняется дата первоначальной ее подачи. В случае необновления лицензиатом заявки в месячный срок, принимается решение об отказе в ее удовлетворении. Не обновленные в указанный срок заявки не принимаются во внимание в случаях, предусмотренных абзацем первым пункта 39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dua4ihccv-utrb42cnlk">
        <w:r>
          <w:rPr>
            <w:rFonts w:ascii="Arial" w:cs="Arial" w:eastAsia="Arial" w:hAnsi="Arial"/>
            <w:i/>
            <w:iCs/>
            <w:color w:val="1D4ED8"/>
            <w:sz w:val="24"/>
            <w:szCs w:val="24"/>
            <w:u w:val="single"/>
          </w:rPr>
          <w:t xml:space="preserve">13 июня 2013 года N 350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l5lemqjg_2o2a1lzt7_9">
      <w:r>
        <w:rPr>
          <w:rFonts w:ascii="Arial" w:cs="Arial" w:eastAsia="Arial" w:hAnsi="Arial"/>
          <w:color w:val="132D3F"/>
          <w:sz w:val="16"/>
          <w:szCs w:val="16"/>
          <w:u w:val="single"/>
        </w:rPr>
        <w:t xml:space="preserve">dalil.kg/document/94191</w:t>
      </w:r>
    </w:hyperlink>
  </w:p>
  <w:p>
    <w:pPr>
      <w:spacing w:after="0" w:before="40"/>
      <w:jc w:val="center"/>
    </w:pPr>
    <w:hyperlink w:history="1" r:id="rIdxxkxqwjz1uybjbiaxmuc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x158zjwrkzkcbyfzifda" Type="http://schemas.openxmlformats.org/officeDocument/2006/relationships/hyperlink" Target="https://dalil.kg/document/12764" TargetMode="External"/><Relationship Id="rIdqzixkazjz37rulrjzy9cn" Type="http://schemas.openxmlformats.org/officeDocument/2006/relationships/hyperlink" Target="https://dalil.kg/document/93222" TargetMode="External"/><Relationship Id="rIdes7oojeijadi116w8zzk4" Type="http://schemas.openxmlformats.org/officeDocument/2006/relationships/hyperlink" Target="https://dalil.kg/document/94110" TargetMode="External"/><Relationship Id="rId2r3k9jukkkg2019qgjnsy" Type="http://schemas.openxmlformats.org/officeDocument/2006/relationships/hyperlink" Target="https://dalil.kg/document/94491" TargetMode="External"/><Relationship Id="rIddpidae6sldwqi8ap_46wr" Type="http://schemas.openxmlformats.org/officeDocument/2006/relationships/hyperlink" Target="https://dalil.kg/document/99442" TargetMode="External"/><Relationship Id="rId8cxi2atpkndqkc8q3syox" Type="http://schemas.openxmlformats.org/officeDocument/2006/relationships/hyperlink" Target="https://dalil.kg/document/203760" TargetMode="External"/><Relationship Id="rIdu3bq9eudd46mtprdxg6lr" Type="http://schemas.openxmlformats.org/officeDocument/2006/relationships/hyperlink" Target="https://dalil.kg/document/94491" TargetMode="External"/><Relationship Id="rIdhftplxkbnxxavwvaeycyw" Type="http://schemas.openxmlformats.org/officeDocument/2006/relationships/hyperlink" Target="https://dalil.kg/document/99442" TargetMode="External"/><Relationship Id="rIdqultr2gantpw9onwfgwdf" Type="http://schemas.openxmlformats.org/officeDocument/2006/relationships/hyperlink" Target="https://dalil.kg/document/99442" TargetMode="External"/><Relationship Id="rIdpdrayb7zapky6qwphjvmi" Type="http://schemas.openxmlformats.org/officeDocument/2006/relationships/hyperlink" Target="https://dalil.kg/document/94491" TargetMode="External"/><Relationship Id="rId71sd_4wa_sty1kwxeo7zw" Type="http://schemas.openxmlformats.org/officeDocument/2006/relationships/hyperlink" Target="https://dalil.kg/document/99442" TargetMode="External"/><Relationship Id="rIdez6ci8royqvoftyvfep2_" Type="http://schemas.openxmlformats.org/officeDocument/2006/relationships/hyperlink" Target="https://dalil.kg/document/99442" TargetMode="External"/><Relationship Id="rIdfktfuob2unh43knajjmoq" Type="http://schemas.openxmlformats.org/officeDocument/2006/relationships/hyperlink" Target="https://dalil.kg/document/99442" TargetMode="External"/><Relationship Id="rId9wjyaadj2z0fv_ep2vt31" Type="http://schemas.openxmlformats.org/officeDocument/2006/relationships/hyperlink" Target="https://dalil.kg/document/99442" TargetMode="External"/><Relationship Id="rIdzy9hjsu-p_4cheuhknbef" Type="http://schemas.openxmlformats.org/officeDocument/2006/relationships/hyperlink" Target="https://dalil.kg/document/94491" TargetMode="External"/><Relationship Id="rId-l2t2yodhap_0gpkj4hj2" Type="http://schemas.openxmlformats.org/officeDocument/2006/relationships/hyperlink" Target="https://dalil.kg/document/99442" TargetMode="External"/><Relationship Id="rIdfg4bmr0dhvl7fodtu4v1f" Type="http://schemas.openxmlformats.org/officeDocument/2006/relationships/hyperlink" Target="https://dalil.kg/document/99442" TargetMode="External"/><Relationship Id="rIdq5s-7octl1iqc1oc5axkk" Type="http://schemas.openxmlformats.org/officeDocument/2006/relationships/hyperlink" Target="https://dalil.kg/document/94110" TargetMode="External"/><Relationship Id="rId9wfgbt0lvrnqenddjor7-" Type="http://schemas.openxmlformats.org/officeDocument/2006/relationships/hyperlink" Target="https://dalil.kg/document/99442" TargetMode="External"/><Relationship Id="rIdcqucn9_gaue5njnkkaewh" Type="http://schemas.openxmlformats.org/officeDocument/2006/relationships/hyperlink" Target="https://dalil.kg/document/94110" TargetMode="External"/><Relationship Id="rId0gyz8cxvsvwi6nngpuvng" Type="http://schemas.openxmlformats.org/officeDocument/2006/relationships/hyperlink" Target="https://dalil.kg/document/94110" TargetMode="External"/><Relationship Id="rIdsnmoeuliatn_k4dcq_zss" Type="http://schemas.openxmlformats.org/officeDocument/2006/relationships/hyperlink" Target="https://dalil.kg/document/99442" TargetMode="External"/><Relationship Id="rIdlycu-tcnuy6z8b6p7zvrm" Type="http://schemas.openxmlformats.org/officeDocument/2006/relationships/hyperlink" Target="https://dalil.kg/document/99442" TargetMode="External"/><Relationship Id="rIdhba5uops54k-dshb2cb2l" Type="http://schemas.openxmlformats.org/officeDocument/2006/relationships/hyperlink" Target="https://dalil.kg/document/99442" TargetMode="External"/><Relationship Id="rIdjryy5yfr2mf0mvjqag4b_" Type="http://schemas.openxmlformats.org/officeDocument/2006/relationships/hyperlink" Target="https://dalil.kg/document/99442" TargetMode="External"/><Relationship Id="rId1jqg10vzjxjxdjnnko6gy" Type="http://schemas.openxmlformats.org/officeDocument/2006/relationships/hyperlink" Target="https://dalil.kg/document/99442" TargetMode="External"/><Relationship Id="rId9-su9wwmm_4lcyzsigfyp" Type="http://schemas.openxmlformats.org/officeDocument/2006/relationships/hyperlink" Target="https://dalil.kg/document/99442" TargetMode="External"/><Relationship Id="rIdtzvdob2qk_d3tmg5qrbuw" Type="http://schemas.openxmlformats.org/officeDocument/2006/relationships/hyperlink" Target="https://dalil.kg/document/99442" TargetMode="External"/><Relationship Id="rIddf-71rw5n6-myzzkdo5-z" Type="http://schemas.openxmlformats.org/officeDocument/2006/relationships/hyperlink" Target="https://dalil.kg/document/99342" TargetMode="External"/><Relationship Id="rIdopir2fqlp5k3fm9chdcm3" Type="http://schemas.openxmlformats.org/officeDocument/2006/relationships/hyperlink" Target="https://dalil.kg/document/99442" TargetMode="External"/><Relationship Id="rIddt2bpqfymq2jwkkvwgcui" Type="http://schemas.openxmlformats.org/officeDocument/2006/relationships/hyperlink" Target="https://dalil.kg/document/99442" TargetMode="External"/><Relationship Id="rId-auylz7d_z2hw1y1_xftw" Type="http://schemas.openxmlformats.org/officeDocument/2006/relationships/hyperlink" Target="https://dalil.kg/document/99442" TargetMode="External"/><Relationship Id="rId3h6nwv9kylkntknmrjr0q" Type="http://schemas.openxmlformats.org/officeDocument/2006/relationships/hyperlink" Target="https://dalil.kg/document/203760" TargetMode="External"/><Relationship Id="rIdxzmkjng7dlk6wt4d-bizj" Type="http://schemas.openxmlformats.org/officeDocument/2006/relationships/hyperlink" Target="https://dalil.kg/document/94110" TargetMode="External"/><Relationship Id="rIdej-kvrmevtfezbqhwdbcq" Type="http://schemas.openxmlformats.org/officeDocument/2006/relationships/hyperlink" Target="https://dalil.kg/document/99442" TargetMode="External"/><Relationship Id="rIdpitc8826pezgko-zrseua" Type="http://schemas.openxmlformats.org/officeDocument/2006/relationships/hyperlink" Target="https://dalil.kg/document/94491" TargetMode="External"/><Relationship Id="rIdxfwi59vbb6fw9g6xgabdt" Type="http://schemas.openxmlformats.org/officeDocument/2006/relationships/hyperlink" Target="https://dalil.kg/document/99442" TargetMode="External"/><Relationship Id="rIdcwbunrgb9pgudvrie-rfv" Type="http://schemas.openxmlformats.org/officeDocument/2006/relationships/hyperlink" Target="https://dalil.kg/document/4" TargetMode="External"/><Relationship Id="rIdzsg2u68gyjgqpvkvj6qhn" Type="http://schemas.openxmlformats.org/officeDocument/2006/relationships/hyperlink" Target="https://dalil.kg/document/94110" TargetMode="External"/><Relationship Id="rIdtdb5irmh0f1lcfhei3la4" Type="http://schemas.openxmlformats.org/officeDocument/2006/relationships/hyperlink" Target="https://dalil.kg/document/94491" TargetMode="External"/><Relationship Id="rIdadua4ihccv-utrb42cnlk" Type="http://schemas.openxmlformats.org/officeDocument/2006/relationships/hyperlink" Target="https://dalil.kg/document/94491" TargetMode="External"/><Relationship Id="rId8" Type="http://schemas.openxmlformats.org/officeDocument/2006/relationships/image" Target="media/8de64316e95979c063c17bcd5380dc052a2594e9.png"/><Relationship Id="rId5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l5lemqjg_2o2a1lzt7_9" Type="http://schemas.openxmlformats.org/officeDocument/2006/relationships/hyperlink" Target="https://dalil.kg/document/94191" TargetMode="External"/><Relationship Id="rIdxxkxqwjz1uybjbiaxmuc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2026-09-24T17:10:32.824Z</dcterms:created>
  <dcterms:modified xsi:type="dcterms:W3CDTF">2026-09-24T17:10:32.824Z</dcterms:modified>
</cp:coreProperties>
</file>

<file path=docProps/custom.xml><?xml version="1.0" encoding="utf-8"?>
<Properties xmlns="http://schemas.openxmlformats.org/officeDocument/2006/custom-properties" xmlns:vt="http://schemas.openxmlformats.org/officeDocument/2006/docPropsVTypes"/>
</file>