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06txr8bjm0zvv5350eo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мая 2013 года № 264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ctyr6uj_bqxezbzawuv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 инициированный депутатами Жогорку Кенеша Кыргызской Республики К.К.Иманалиевым, А.Т.Алтыбаевой, Т.З.Зулпукаровым, К.Т.Тумановым, Д.Д.Бекешевым и О.М.Бакировым.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xrorf1mtk6jg0axgqail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13 мая 2013 года № 264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woxiyphigp-z4ve20pn_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основах государственной политики по поддержке соотечественников за рубежом", инициированный депутатами Жогорку Кенеша Кыргызской Республики К.К.Иманалиевым, А.Т.Алтыбаевой, Т.З.Зулпукаровым, К.Т.Тумановым, Д.Д.Бекешевым и О.М.Бакировым, сообщает следующее.</w:t>
      </w:r>
    </w:p>
    <w:p>
      <w:pPr>
        <w:spacing w:after="120"/>
        <w:jc w:val="both"/>
      </w:pPr>
      <w:r>
        <w:rPr>
          <w:rFonts w:ascii="Arial" w:cs="Arial" w:eastAsia="Arial" w:hAnsi="Arial"/>
          <w:sz w:val="24"/>
          <w:szCs w:val="24"/>
        </w:rPr>
        <w:t xml:space="preserve">1. Виду того, что первый абзац преамбулы проекта Закона дублирует положения части 1 статьи 4 проекта, а также поскольку согласно части 2 статьи 12 </w:t>
      </w:r>
      <w:hyperlink w:history="1" r:id="rIdc8htja40parclzwm3qol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абзац первый преамбулы проекта Закона предлагаем исключить.</w:t>
      </w:r>
    </w:p>
    <w:p>
      <w:pPr>
        <w:spacing w:after="120"/>
        <w:jc w:val="both"/>
      </w:pPr>
      <w:r>
        <w:rPr>
          <w:rFonts w:ascii="Arial" w:cs="Arial" w:eastAsia="Arial" w:hAnsi="Arial"/>
          <w:sz w:val="24"/>
          <w:szCs w:val="24"/>
        </w:rPr>
        <w:t xml:space="preserve">2. Принимая во внимание положения статьи 6 </w:t>
      </w:r>
      <w:hyperlink w:history="1" r:id="rIdegqpz7lmuekr83a8nhrx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всему тексту проекта Закона слова "международными договорами Кыргызской Республики" предлагаем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В статье 1 проекта Закона предлагаем пересмотреть нумерацию пунктов.</w:t>
      </w:r>
    </w:p>
    <w:p>
      <w:pPr>
        <w:spacing w:after="120"/>
        <w:jc w:val="both"/>
      </w:pPr>
      <w:r>
        <w:rPr>
          <w:rFonts w:ascii="Arial" w:cs="Arial" w:eastAsia="Arial" w:hAnsi="Arial"/>
          <w:sz w:val="24"/>
          <w:szCs w:val="24"/>
        </w:rPr>
        <w:t xml:space="preserve">4. В связи с тем, что Кыргызская Республика своими нормативными правовыми актами не может обязывать другие государства соблюдать общепризнанные принципы и нормы международного права, предлагаем пересмотреть редакцию пункта 2 части 2 статьи 1 проекта Закона.</w:t>
      </w:r>
    </w:p>
    <w:p>
      <w:pPr>
        <w:spacing w:after="120"/>
        <w:jc w:val="both"/>
      </w:pPr>
      <w:r>
        <w:rPr>
          <w:rFonts w:ascii="Arial" w:cs="Arial" w:eastAsia="Arial" w:hAnsi="Arial"/>
          <w:sz w:val="24"/>
          <w:szCs w:val="24"/>
        </w:rPr>
        <w:t xml:space="preserve">5. В статье 2 проекта Закона слова "законов и иных" предлагаем исключить.</w:t>
      </w:r>
    </w:p>
    <w:p>
      <w:pPr>
        <w:spacing w:after="120"/>
        <w:jc w:val="both"/>
      </w:pPr>
      <w:r>
        <w:rPr>
          <w:rFonts w:ascii="Arial" w:cs="Arial" w:eastAsia="Arial" w:hAnsi="Arial"/>
          <w:sz w:val="24"/>
          <w:szCs w:val="24"/>
        </w:rPr>
        <w:t xml:space="preserve">6. Учитывая, что термины "соотечественники за рубежом" и "гражданин Кыргызской Республики, проживающий за рубежом" имеют идентичное значение, предлагаем пункт 4 статьи 3 проекта Закона исключить. При этом, в целях отнесения граждан Кыргызской Республики, проживающих за рубежом, к соотечественникам, предлагаем уточнить, в каком случае проживание гражданина Кыргызской Республики на территории другого государства будет признаваться постоянным.</w:t>
      </w:r>
    </w:p>
    <w:p>
      <w:pPr>
        <w:spacing w:after="120"/>
        <w:jc w:val="both"/>
      </w:pPr>
      <w:r>
        <w:rPr>
          <w:rFonts w:ascii="Arial" w:cs="Arial" w:eastAsia="Arial" w:hAnsi="Arial"/>
          <w:sz w:val="24"/>
          <w:szCs w:val="24"/>
        </w:rPr>
        <w:t xml:space="preserve">Кроме того, предлагаем пункт 2 указанной статьи проекта Закона также исключить, ввиду того, что понятие "за рубежом" не нуждается в дополнительной расшифровке.</w:t>
      </w:r>
    </w:p>
    <w:p>
      <w:pPr>
        <w:spacing w:after="120"/>
        <w:jc w:val="both"/>
      </w:pPr>
      <w:r>
        <w:rPr>
          <w:rFonts w:ascii="Arial" w:cs="Arial" w:eastAsia="Arial" w:hAnsi="Arial"/>
          <w:sz w:val="24"/>
          <w:szCs w:val="24"/>
        </w:rPr>
        <w:t xml:space="preserve">7. В связи с тем, что терминология, используемая в законодательстве, должна иметь идентичное значение, пункт 5 статьи 3 проекта Закона, раскрывающий значение термина "лицо без гражданства", предлагаем привести в соответствие с аналогичным термином, примененным в статье 3 </w:t>
      </w:r>
      <w:hyperlink w:history="1" r:id="rIdkuwfdsngmx5gz6ipvz9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w:t>
      </w:r>
    </w:p>
    <w:p>
      <w:pPr>
        <w:spacing w:after="120"/>
        <w:jc w:val="both"/>
      </w:pPr>
      <w:r>
        <w:rPr>
          <w:rFonts w:ascii="Arial" w:cs="Arial" w:eastAsia="Arial" w:hAnsi="Arial"/>
          <w:sz w:val="24"/>
          <w:szCs w:val="24"/>
        </w:rPr>
        <w:t xml:space="preserve">8. В пункте 6 статьи 3 проекта Закона слова "уполномоченные государственные органы, местные государственные администрации" предлагаем исключить, поскольку они поглощаются понятием "органы государственной власти Кыргызской Республики", обозначенным в данном пункте указанной статьи проекта.</w:t>
      </w:r>
    </w:p>
    <w:p>
      <w:pPr>
        <w:spacing w:after="120"/>
        <w:jc w:val="both"/>
      </w:pPr>
      <w:r>
        <w:rPr>
          <w:rFonts w:ascii="Arial" w:cs="Arial" w:eastAsia="Arial" w:hAnsi="Arial"/>
          <w:sz w:val="24"/>
          <w:szCs w:val="24"/>
        </w:rPr>
        <w:t xml:space="preserve">9. Наименования статей 4 и 5 проекта Закона предлагаем пересмотреть.</w:t>
      </w:r>
    </w:p>
    <w:p>
      <w:pPr>
        <w:spacing w:after="120"/>
        <w:jc w:val="both"/>
      </w:pPr>
      <w:r>
        <w:rPr>
          <w:rFonts w:ascii="Arial" w:cs="Arial" w:eastAsia="Arial" w:hAnsi="Arial"/>
          <w:sz w:val="24"/>
          <w:szCs w:val="24"/>
        </w:rPr>
        <w:t xml:space="preserve">10. В соответствии с пунктом 3 статьи 16 </w:t>
      </w:r>
      <w:hyperlink w:history="1" r:id="rId7y8rmfnpj-dg6ikyygaa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все равны перед законом. С учетом изложенного, принимая во внимание, что гражданам нашей страны, вне зависимости от места их проживания, должна устанавливаться равная правовая защита, а также учитывая возможность введения ограничений при реализации отдельных прав, например избирательных, часть 2 статьи 4 проекта Закона предлагаем изложить в следующей редакции:</w:t>
      </w:r>
    </w:p>
    <w:p>
      <w:pPr>
        <w:spacing w:after="120"/>
        <w:jc w:val="both"/>
      </w:pPr>
      <w:r>
        <w:rPr>
          <w:rFonts w:ascii="Arial" w:cs="Arial" w:eastAsia="Arial" w:hAnsi="Arial"/>
          <w:sz w:val="24"/>
          <w:szCs w:val="24"/>
        </w:rPr>
        <w:t xml:space="preserve">"2. Граждане Кыргызской Республики, проживающие за рубежом, пользуются правами и несут обязанности наравне с гражданами Кыргызской Республики, проживающими на территории Кыргызской Республики, с учетом особенностей, установленных законами Кыргызской Республики.".</w:t>
      </w:r>
    </w:p>
    <w:p>
      <w:pPr>
        <w:spacing w:after="120"/>
        <w:jc w:val="both"/>
      </w:pPr>
      <w:r>
        <w:rPr>
          <w:rFonts w:ascii="Arial" w:cs="Arial" w:eastAsia="Arial" w:hAnsi="Arial"/>
          <w:sz w:val="24"/>
          <w:szCs w:val="24"/>
        </w:rPr>
        <w:t xml:space="preserve">Принимая во внимание изложенное, а также учитывая, что граждане нашей страны, проживающие за рубежом, в случае пребывания на территории Кыргызской Республики, должны иметь тот же объем прав, что и граждане, постоянно проживающие в Кыргызской Республике, часть 3 статьи 4, статью 9, части 6 и 7 статьи 12 проекта Закона предлагаем исключить.</w:t>
      </w:r>
    </w:p>
    <w:p>
      <w:pPr>
        <w:spacing w:after="120"/>
        <w:jc w:val="both"/>
      </w:pPr>
      <w:r>
        <w:rPr>
          <w:rFonts w:ascii="Arial" w:cs="Arial" w:eastAsia="Arial" w:hAnsi="Arial"/>
          <w:sz w:val="24"/>
          <w:szCs w:val="24"/>
        </w:rPr>
        <w:t xml:space="preserve">При этом, относительно статьи 9 проекта Закона также отмечаем, что согласно статье 51 </w:t>
      </w:r>
      <w:hyperlink w:history="1" r:id="rIdskoag-gsfo2fhbug2-33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имеют право беспрепятственно возвращаться в Кыргызскую Республику. Указанное право, в соответствии с частью 5 статьи 20 </w:t>
      </w:r>
      <w:hyperlink w:history="1" r:id="rIdodgn3pvqlc9ee1evjtrc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подлежит никакому ограничению.</w:t>
      </w:r>
    </w:p>
    <w:p>
      <w:pPr>
        <w:spacing w:after="120"/>
        <w:jc w:val="both"/>
      </w:pPr>
      <w:r>
        <w:rPr>
          <w:rFonts w:ascii="Arial" w:cs="Arial" w:eastAsia="Arial" w:hAnsi="Arial"/>
          <w:sz w:val="24"/>
          <w:szCs w:val="24"/>
        </w:rPr>
        <w:t xml:space="preserve">Статьей 25 </w:t>
      </w:r>
      <w:hyperlink w:history="1" r:id="rIdxjqm6edjo9cy7anrmgs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также установлено, что каждый имеет право на свободу передвижения, выбор места пребывания и жительства в Кыргызской Республике. Каждый имеет право свободно выезжать за пределы Кыргызской Республики.</w:t>
      </w:r>
    </w:p>
    <w:p>
      <w:pPr>
        <w:spacing w:after="120"/>
        <w:jc w:val="both"/>
      </w:pPr>
      <w:r>
        <w:rPr>
          <w:rFonts w:ascii="Arial" w:cs="Arial" w:eastAsia="Arial" w:hAnsi="Arial"/>
          <w:sz w:val="24"/>
          <w:szCs w:val="24"/>
        </w:rPr>
        <w:t xml:space="preserve">В свою очередь, учитывая, что в проекте под термином "соотечественники" понимаются граждане Кыргызской Республики, установление квоты на прием иностранных граждан на обучение и повышение квалификации не может осуществляться в зависимости от интересов соотечественников (часть 7 статьи 12 проекта Закона).</w:t>
      </w:r>
    </w:p>
    <w:p>
      <w:pPr>
        <w:spacing w:after="120"/>
        <w:jc w:val="both"/>
      </w:pPr>
      <w:r>
        <w:rPr>
          <w:rFonts w:ascii="Arial" w:cs="Arial" w:eastAsia="Arial" w:hAnsi="Arial"/>
          <w:sz w:val="24"/>
          <w:szCs w:val="24"/>
        </w:rPr>
        <w:t xml:space="preserve">11. Частью 1 статьи 5 проекта Закона предлагается установить, что основные направления государственной политики Кыргызской Республики в отношении соотечественников, которая, в соответствии с частью 1 статьи 1 проекта Закона, является составной частью внутренней и внешней политики, определяет Жогорку Кенеш Кыргызской Республики в соответствии с Конституцией Кыргызской Республики и настоящим Законом.</w:t>
      </w:r>
    </w:p>
    <w:p>
      <w:pPr>
        <w:spacing w:after="120"/>
        <w:jc w:val="both"/>
      </w:pPr>
      <w:r>
        <w:rPr>
          <w:rFonts w:ascii="Arial" w:cs="Arial" w:eastAsia="Arial" w:hAnsi="Arial"/>
          <w:sz w:val="24"/>
          <w:szCs w:val="24"/>
        </w:rPr>
        <w:t xml:space="preserve">Вместе с тем, необходимо конкретизировать, в какой форме будут определяться названные направления. В случае, если речь идет о принятии нормативных правовых актов, то согласно статье 74 </w:t>
      </w:r>
      <w:hyperlink w:history="1" r:id="rIdg5jx9lm6ehrtsnpn6hbe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Жогорку Кенеш Кыргызской Республики уполномочен принимать законы, а также ратифицировать и денонсировать международные договоры в порядке, определяемом законом. При этом, следует отметить, что согласно части 9 вышеназванной статьи Конституции полномочия Жогорку Кенеша Кыргызской Республики определяются исключительно </w:t>
      </w:r>
      <w:hyperlink w:history="1" r:id="rId3lp4zres71qnuj_hm279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Парламент не может расширять свою компетенцию в законах.</w:t>
      </w:r>
    </w:p>
    <w:p>
      <w:pPr>
        <w:spacing w:after="120"/>
        <w:jc w:val="both"/>
      </w:pPr>
      <w:r>
        <w:rPr>
          <w:rFonts w:ascii="Arial" w:cs="Arial" w:eastAsia="Arial" w:hAnsi="Arial"/>
          <w:sz w:val="24"/>
          <w:szCs w:val="24"/>
        </w:rPr>
        <w:t xml:space="preserve">При этом, в порядке информации отмечаем, что согласно статье 4 </w:t>
      </w:r>
      <w:hyperlink w:history="1" r:id="rIdpghqdyxxoblhl7wrcyhu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взаимодействии государственных органов в сфере внешней политики Кыргызской Республики" Президент Кыргызской Республики определяет внешнюю политику Кыргызской Республики.</w:t>
      </w:r>
    </w:p>
    <w:p>
      <w:pPr>
        <w:spacing w:after="120"/>
        <w:jc w:val="both"/>
      </w:pPr>
      <w:r>
        <w:rPr>
          <w:rFonts w:ascii="Arial" w:cs="Arial" w:eastAsia="Arial" w:hAnsi="Arial"/>
          <w:sz w:val="24"/>
          <w:szCs w:val="24"/>
        </w:rPr>
        <w:t xml:space="preserve">12. Учитывая, что нормативные правовые акты должны быть ясными и однозначными, предлагаем в статье 6 проекта Закона слова "и специально уполномоченными государственными органами" исключить, а также уточнить, что в данной статье проекта подразумевается под словами "государственным управлением и контролем в области отношений с соотечественниками". При этом считаем более правильным регулировать вопросы реализации основных направлений государственной политики в обозначенной сфере. С учетом изложенного, предлагаем в целом пересмотреть положения названной статьи проекта.</w:t>
      </w:r>
    </w:p>
    <w:p>
      <w:pPr>
        <w:spacing w:after="120"/>
        <w:jc w:val="both"/>
      </w:pPr>
      <w:r>
        <w:rPr>
          <w:rFonts w:ascii="Arial" w:cs="Arial" w:eastAsia="Arial" w:hAnsi="Arial"/>
          <w:sz w:val="24"/>
          <w:szCs w:val="24"/>
        </w:rPr>
        <w:t xml:space="preserve">13. Название статьи 7 проекта Закона не соответствует содержанию указанной статьи.</w:t>
      </w:r>
    </w:p>
    <w:p>
      <w:pPr>
        <w:spacing w:after="120"/>
        <w:jc w:val="both"/>
      </w:pPr>
      <w:r>
        <w:rPr>
          <w:rFonts w:ascii="Arial" w:cs="Arial" w:eastAsia="Arial" w:hAnsi="Arial"/>
          <w:sz w:val="24"/>
          <w:szCs w:val="24"/>
        </w:rPr>
        <w:t xml:space="preserve">14. Поскольку в соответствии с частью 1 статьи 9</w:t>
      </w:r>
      <w:hyperlink w:history="1" r:id="rId3ozrurvtcp6kujqes-w4y">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действуют на всей территории Кыргызской Республики со дня вступления их в силу и подлежат исполнению, пункт 3 статьи 7 проекта Закона предлагаем исключить.</w:t>
      </w:r>
    </w:p>
    <w:p>
      <w:pPr>
        <w:spacing w:after="120"/>
        <w:jc w:val="both"/>
      </w:pPr>
      <w:r>
        <w:rPr>
          <w:rFonts w:ascii="Arial" w:cs="Arial" w:eastAsia="Arial" w:hAnsi="Arial"/>
          <w:sz w:val="24"/>
          <w:szCs w:val="24"/>
        </w:rPr>
        <w:t xml:space="preserve">15. Учитывая, что лица, относящиеся к соотечественникам, определяются в статье 3 проекта Закона, а также в целях исключения дублирования статью 8 проекта предлагаем исключить. При этом в случае необходимости, предлагаем расширить термин "соотечественники", посредством включения в его значение лиц, имеющих двойное гражданство.</w:t>
      </w:r>
    </w:p>
    <w:p>
      <w:pPr>
        <w:spacing w:after="120"/>
        <w:jc w:val="both"/>
      </w:pPr>
      <w:r>
        <w:rPr>
          <w:rFonts w:ascii="Arial" w:cs="Arial" w:eastAsia="Arial" w:hAnsi="Arial"/>
          <w:sz w:val="24"/>
          <w:szCs w:val="24"/>
        </w:rPr>
        <w:t xml:space="preserve">16. Часть 2 статьи 10 рассматриваемого проекта Закона предлагаем исключить ввиду дублирования положений части 2 статьи 1 проекта Закона.</w:t>
      </w:r>
    </w:p>
    <w:p>
      <w:pPr>
        <w:spacing w:after="120"/>
        <w:jc w:val="both"/>
      </w:pPr>
      <w:r>
        <w:rPr>
          <w:rFonts w:ascii="Arial" w:cs="Arial" w:eastAsia="Arial" w:hAnsi="Arial"/>
          <w:sz w:val="24"/>
          <w:szCs w:val="24"/>
        </w:rPr>
        <w:t xml:space="preserve">17. Положения части 1 статьи 12 проекта Закона дублируют положения части 5 названной статьи. Вместе с тем, согласно части 1 статьи 11 </w:t>
      </w:r>
      <w:hyperlink w:history="1" r:id="rIdhtjcmiievvqklidqgg9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текст статьи (пункта) не излагается повторно в других статьях (пунктах).</w:t>
      </w:r>
    </w:p>
    <w:p>
      <w:pPr>
        <w:spacing w:after="120"/>
        <w:jc w:val="both"/>
      </w:pPr>
      <w:r>
        <w:rPr>
          <w:rFonts w:ascii="Arial" w:cs="Arial" w:eastAsia="Arial" w:hAnsi="Arial"/>
          <w:sz w:val="24"/>
          <w:szCs w:val="24"/>
        </w:rPr>
        <w:t xml:space="preserve">18. В части 8 статьи 12 законопроекта предусматривается положение о выработке согласованной политики в сфере образования только государствами-участниками СНГ. Вместе с тем, данной частью указанной статьи проекта не учитываются права и интересы тех соотечественников, которые получают образование вне территории государств-участников СНГ.</w:t>
      </w:r>
    </w:p>
    <w:p>
      <w:pPr>
        <w:spacing w:after="120"/>
        <w:jc w:val="both"/>
      </w:pPr>
      <w:r>
        <w:rPr>
          <w:rFonts w:ascii="Arial" w:cs="Arial" w:eastAsia="Arial" w:hAnsi="Arial"/>
          <w:sz w:val="24"/>
          <w:szCs w:val="24"/>
        </w:rPr>
        <w:t xml:space="preserve">19. Принимая во внимание, что </w:t>
      </w:r>
      <w:hyperlink w:history="1" r:id="rIdkjfttjfsszcve2uw5ot_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определен исчерпывающий перечень субъектов, наделенных правом принимать (издавать) нормативные правовые акты, предлагаем в части 3 статьи 14 проекта Закона слова "устанавливается уполномоченным государственным органом"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Руководствуясь изложенным, в статье 15 проекта предложение второе предлагаем изложить в следующей редакции:</w:t>
      </w:r>
    </w:p>
    <w:p>
      <w:pPr>
        <w:spacing w:after="120"/>
        <w:jc w:val="both"/>
      </w:pPr>
      <w:r>
        <w:rPr>
          <w:rFonts w:ascii="Arial" w:cs="Arial" w:eastAsia="Arial" w:hAnsi="Arial"/>
          <w:sz w:val="24"/>
          <w:szCs w:val="24"/>
        </w:rPr>
        <w:t xml:space="preserve">"Порядок формирования, задачи и функции советов (комиссий) соотечественников определяются Правительством Кыргызской Республики.".</w:t>
      </w:r>
    </w:p>
    <w:p>
      <w:pPr>
        <w:spacing w:after="120"/>
        <w:jc w:val="both"/>
      </w:pPr>
      <w:r>
        <w:rPr>
          <w:rFonts w:ascii="Arial" w:cs="Arial" w:eastAsia="Arial" w:hAnsi="Arial"/>
          <w:sz w:val="24"/>
          <w:szCs w:val="24"/>
        </w:rPr>
        <w:t xml:space="preserve">20. В части 2 статьи 16 проекта Закона необходимо конкретизировать, в каких формах органы государственной власти будут поощрять благотворительную деятельность физических и юридических лиц Кыргызской Республики в области отношений с соотечественниками.</w:t>
      </w:r>
    </w:p>
    <w:p>
      <w:pPr>
        <w:spacing w:after="120"/>
        <w:jc w:val="both"/>
      </w:pPr>
      <w:r>
        <w:rPr>
          <w:rFonts w:ascii="Arial" w:cs="Arial" w:eastAsia="Arial" w:hAnsi="Arial"/>
          <w:sz w:val="24"/>
          <w:szCs w:val="24"/>
        </w:rPr>
        <w:t xml:space="preserve">21. Частью 2 статьи 17 проекта Закона Правительству Кыргызской Республики дается поручение, в случаях необходимости, подготовить и внести в установленном порядке в Жогорку Кенеш Кыргызской Республики предложения о внесении изменений и дополнений в законодательство Кыргызской Республики.</w:t>
      </w:r>
    </w:p>
    <w:p>
      <w:pPr>
        <w:spacing w:after="120"/>
        <w:jc w:val="both"/>
      </w:pPr>
      <w:r>
        <w:rPr>
          <w:rFonts w:ascii="Arial" w:cs="Arial" w:eastAsia="Arial" w:hAnsi="Arial"/>
          <w:sz w:val="24"/>
          <w:szCs w:val="24"/>
        </w:rPr>
        <w:t xml:space="preserve">Вместе с тем, необходимо отметить, что статьей 47 </w:t>
      </w:r>
      <w:hyperlink w:history="1" r:id="rIdwnfayylhiklzhtws5va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предусматривается, что к проекту закона, вносимому субъектом права законодательной инициативы в Жогорку Кенеш Кыргызской Республики, прилагаются, в том числе, проекты законов, вытекающие из вносимого проекта закона. Соответственно внесение депутатами рассматриваемого проекта Закона в Жогорку Кенеш Кыргызской Республики должно осуществляться с одновременным внесением законопроектов, вытекающих из представленного проекта.</w:t>
      </w:r>
    </w:p>
    <w:p>
      <w:pPr>
        <w:spacing w:after="120"/>
        <w:jc w:val="both"/>
      </w:pPr>
      <w:r>
        <w:rPr>
          <w:rFonts w:ascii="Arial" w:cs="Arial" w:eastAsia="Arial" w:hAnsi="Arial"/>
          <w:sz w:val="24"/>
          <w:szCs w:val="24"/>
        </w:rPr>
        <w:t xml:space="preserve">Кроме того, обращаем внимание, что согласно статье 2 </w:t>
      </w:r>
      <w:hyperlink w:history="1" r:id="rId5i9eqkx8ydo8vbv7k6-7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право принятия которых, наряду с Жогорку Кенешем Кыргызской Республики, принадлежит иным нормотворческим органам.</w:t>
      </w:r>
    </w:p>
    <w:p>
      <w:pPr>
        <w:spacing w:after="120"/>
        <w:jc w:val="both"/>
      </w:pPr>
      <w:r>
        <w:rPr>
          <w:rFonts w:ascii="Arial" w:cs="Arial" w:eastAsia="Arial" w:hAnsi="Arial"/>
          <w:sz w:val="24"/>
          <w:szCs w:val="24"/>
        </w:rPr>
        <w:t xml:space="preserve">С учетом изложенного, пункт 3 части 2 статьи 17 проекта Закона предлагаем исключить.</w:t>
      </w:r>
    </w:p>
    <w:p>
      <w:pPr>
        <w:spacing w:after="120"/>
        <w:jc w:val="both"/>
      </w:pPr>
      <w:r>
        <w:rPr>
          <w:rFonts w:ascii="Arial" w:cs="Arial" w:eastAsia="Arial" w:hAnsi="Arial"/>
          <w:sz w:val="24"/>
          <w:szCs w:val="24"/>
        </w:rPr>
        <w:t xml:space="preserve">При этом также отмечаем, что в справке-обосновании к проекту Закона отсутствует информация о необходимости разработки законопроектов и пересмотра решений Правительства Кыргызской Республики.</w:t>
      </w:r>
    </w:p>
    <w:p>
      <w:pPr>
        <w:spacing w:after="120"/>
        <w:jc w:val="both"/>
      </w:pPr>
      <w:r>
        <w:rPr>
          <w:rFonts w:ascii="Arial" w:cs="Arial" w:eastAsia="Arial" w:hAnsi="Arial"/>
          <w:sz w:val="24"/>
          <w:szCs w:val="24"/>
        </w:rPr>
        <w:t xml:space="preserve">Одновременно, в абзаце первом пункта 2 статьи 17 проекта слово "Поручить" предлагаем исключить.</w:t>
      </w:r>
    </w:p>
    <w:p>
      <w:pPr>
        <w:spacing w:after="120"/>
        <w:jc w:val="both"/>
      </w:pPr>
      <w:r>
        <w:rPr>
          <w:rFonts w:ascii="Arial" w:cs="Arial" w:eastAsia="Arial" w:hAnsi="Arial"/>
          <w:sz w:val="24"/>
          <w:szCs w:val="24"/>
        </w:rPr>
        <w:t xml:space="preserve">22. В соответствии со статьями 23 и 25 </w:t>
      </w:r>
      <w:hyperlink w:history="1" r:id="rIda3vqvlc3rqf8nbwdukvs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срок общественного обсуждения проектов нормативных правовых актов составляет не менее одного месяца. При этом справка-обоснование проекта нормативного правового акта должна содержать информацию о результатах общественного обсуждения.</w:t>
      </w:r>
    </w:p>
    <w:p>
      <w:pPr>
        <w:spacing w:after="120"/>
        <w:jc w:val="both"/>
      </w:pPr>
      <w:r>
        <w:rPr>
          <w:rFonts w:ascii="Arial" w:cs="Arial" w:eastAsia="Arial" w:hAnsi="Arial"/>
          <w:sz w:val="24"/>
          <w:szCs w:val="24"/>
        </w:rPr>
        <w:t xml:space="preserve">Кроме того, реализация проекта Закона, в случае его принятия, потребует выделения из республиканского бюджета значительных финансовых средств, поскольку предусматривает оказание государственной поддержки в различных сферах (например, часть 2 статьи 2, статьи 11, 12, 13 проекта).</w:t>
      </w:r>
    </w:p>
    <w:p>
      <w:pPr>
        <w:spacing w:after="120"/>
        <w:jc w:val="both"/>
      </w:pPr>
      <w:r>
        <w:rPr>
          <w:rFonts w:ascii="Arial" w:cs="Arial" w:eastAsia="Arial" w:hAnsi="Arial"/>
          <w:sz w:val="24"/>
          <w:szCs w:val="24"/>
        </w:rPr>
        <w:t xml:space="preserve">Вместе с тем, частью 1 статьи 26 </w:t>
      </w:r>
      <w:hyperlink w:history="1" r:id="rIdha6hnw-fict9g61j5ly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установлено, что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На основании изложенного отмечаем о необходимости проведения предварительных финансово-экономических расчетов, в целях выявления возможности реализации названного проекта Закона, в случае его принятия, за счет средств республиканского бюджета. Без необходимого финансового подкрепления, положения проекта Закона останутся декларативными.</w:t>
      </w:r>
    </w:p>
    <w:p>
      <w:pPr>
        <w:spacing w:after="120"/>
        <w:jc w:val="both"/>
      </w:pPr>
      <w:r>
        <w:rPr>
          <w:rFonts w:ascii="Arial" w:cs="Arial" w:eastAsia="Arial" w:hAnsi="Arial"/>
          <w:sz w:val="24"/>
          <w:szCs w:val="24"/>
        </w:rPr>
        <w:t xml:space="preserve">При этом обращаем внимание на то, что значительное количество положений проекта носят декларативный характер.</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06txr8bjm0zvv5350eog" Type="http://schemas.openxmlformats.org/officeDocument/2006/relationships/hyperlink" Target="http://kodeks.duckdns.org/document/159126" TargetMode="External"/><Relationship Id="rIdctyr6uj_bqxezbzawuvdg" Type="http://schemas.openxmlformats.org/officeDocument/2006/relationships/hyperlink" Target="http://kodeks.duckdns.org/document/203685" TargetMode="External"/><Relationship Id="rIdxrorf1mtk6jg0axgqailz" Type="http://schemas.openxmlformats.org/officeDocument/2006/relationships/hyperlink" Target="http://kodeks.duckdns.org/document/94354" TargetMode="External"/><Relationship Id="rIdwoxiyphigp-z4ve20pn_n" Type="http://schemas.openxmlformats.org/officeDocument/2006/relationships/hyperlink" Target="http://kodeks.duckdns.org/document/203685" TargetMode="External"/><Relationship Id="rIdc8htja40parclzwm3qol8" Type="http://schemas.openxmlformats.org/officeDocument/2006/relationships/hyperlink" Target="http://kodeks.duckdns.org/document/202591" TargetMode="External"/><Relationship Id="rIdegqpz7lmuekr83a8nhrxv" Type="http://schemas.openxmlformats.org/officeDocument/2006/relationships/hyperlink" Target="http://kodeks.duckdns.org/document/202913" TargetMode="External"/><Relationship Id="rIdkuwfdsngmx5gz6ipvz9hy" Type="http://schemas.openxmlformats.org/officeDocument/2006/relationships/hyperlink" Target="http://kodeks.duckdns.org/document/202103" TargetMode="External"/><Relationship Id="rId7y8rmfnpj-dg6ikyygaac" Type="http://schemas.openxmlformats.org/officeDocument/2006/relationships/hyperlink" Target="http://kodeks.duckdns.org/document/202913" TargetMode="External"/><Relationship Id="rIdskoag-gsfo2fhbug2-33z" Type="http://schemas.openxmlformats.org/officeDocument/2006/relationships/hyperlink" Target="http://kodeks.duckdns.org/document/202913" TargetMode="External"/><Relationship Id="rIdodgn3pvqlc9ee1evjtrco" Type="http://schemas.openxmlformats.org/officeDocument/2006/relationships/hyperlink" Target="http://kodeks.duckdns.org/document/202913" TargetMode="External"/><Relationship Id="rIdxjqm6edjo9cy7anrmgsav" Type="http://schemas.openxmlformats.org/officeDocument/2006/relationships/hyperlink" Target="http://kodeks.duckdns.org/document/202913" TargetMode="External"/><Relationship Id="rIdg5jx9lm6ehrtsnpn6hben" Type="http://schemas.openxmlformats.org/officeDocument/2006/relationships/hyperlink" Target="http://kodeks.duckdns.org/document/202913" TargetMode="External"/><Relationship Id="rId3lp4zres71qnuj_hm279y" Type="http://schemas.openxmlformats.org/officeDocument/2006/relationships/hyperlink" Target="http://kodeks.duckdns.org/document/202913" TargetMode="External"/><Relationship Id="rIdpghqdyxxoblhl7wrcyhuv" Type="http://schemas.openxmlformats.org/officeDocument/2006/relationships/hyperlink" Target="http://kodeks.duckdns.org/document/203696" TargetMode="External"/><Relationship Id="rId3ozrurvtcp6kujqes-w4y" Type="http://schemas.openxmlformats.org/officeDocument/2006/relationships/hyperlink" Target="http://kodeks.duckdns.org/document/202591" TargetMode="External"/><Relationship Id="rIdhtjcmiievvqklidqgg9qw" Type="http://schemas.openxmlformats.org/officeDocument/2006/relationships/hyperlink" Target="http://kodeks.duckdns.org/document/202591" TargetMode="External"/><Relationship Id="rIdkjfttjfsszcve2uw5ot_r" Type="http://schemas.openxmlformats.org/officeDocument/2006/relationships/hyperlink" Target="http://kodeks.duckdns.org/document/202591" TargetMode="External"/><Relationship Id="rIdwnfayylhiklzhtws5vaie" Type="http://schemas.openxmlformats.org/officeDocument/2006/relationships/hyperlink" Target="http://kodeks.duckdns.org/document/203166" TargetMode="External"/><Relationship Id="rId5i9eqkx8ydo8vbv7k6-72" Type="http://schemas.openxmlformats.org/officeDocument/2006/relationships/hyperlink" Target="http://kodeks.duckdns.org/document/202591" TargetMode="External"/><Relationship Id="rIda3vqvlc3rqf8nbwdukvsd" Type="http://schemas.openxmlformats.org/officeDocument/2006/relationships/hyperlink" Target="http://kodeks.duckdns.org/document/202591" TargetMode="External"/><Relationship Id="rIdha6hnw-fict9g61j5lyfp"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2026-09-23T11:21:37.835Z</dcterms:created>
  <dcterms:modified xsi:type="dcterms:W3CDTF">2026-09-23T11:21:37.835Z</dcterms:modified>
</cp:coreProperties>
</file>

<file path=docProps/custom.xml><?xml version="1.0" encoding="utf-8"?>
<Properties xmlns="http://schemas.openxmlformats.org/officeDocument/2006/custom-properties" xmlns:vt="http://schemas.openxmlformats.org/officeDocument/2006/docPropsVTypes"/>
</file>