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m8mkgvg807tb6ba0bxj8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мая 2014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июня 2013 года № 316</w:t>
      </w:r>
    </w:p>
    <w:p>
      <w:pPr>
        <w:spacing w:after="120"/>
        <w:jc w:val="both"/>
      </w:pPr>
      <w:r>
        <w:rPr>
          <w:rFonts w:ascii="Arial" w:cs="Arial" w:eastAsia="Arial" w:hAnsi="Arial"/>
          <w:sz w:val="24"/>
          <w:szCs w:val="24"/>
        </w:rPr>
        <w:t xml:space="preserve">Постановление Правительства Кыргызской Республики от 7 июня 2013 года № 316 О подготовке отраслей экономики и населения Кыргызской Республики к осенне-зимнему периоду 2013/2014 года </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b9mltltvelfl-uu6riq1">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а также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2013/2014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Образовать республиканский штаб по подготовке отраслей экономики и населения Кыргызской Республики к осенне-зимнему периоду 2013/2014 года в составе согласно </w:t>
      </w:r>
      <w:hyperlink w:history="1" r:id="rIdl6ggruodwwslrsdio5eg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Утвердить:</w:t>
      </w:r>
    </w:p>
    <w:p>
      <w:pPr>
        <w:spacing w:after="120"/>
        <w:jc w:val="both"/>
      </w:pPr>
      <w:r>
        <w:rPr>
          <w:rFonts w:ascii="Arial" w:cs="Arial" w:eastAsia="Arial" w:hAnsi="Arial"/>
          <w:sz w:val="24"/>
          <w:szCs w:val="24"/>
        </w:rPr>
        <w:t xml:space="preserve">- </w:t>
      </w:r>
      <w:hyperlink w:history="1" r:id="rId5uz8jkklrsryrvqbc8kv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штабе по подготовке отраслей экономики и населения Кыргызской Республики к осенне-зимнему периоду 2013/2014 года согласно </w:t>
      </w:r>
      <w:hyperlink w:history="1" r:id="rId9ppvvz5zn6nl3zyt1j7b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План мероприятий по подготовке отраслей экономики и населения Кыргызской Республики к осенне-зимнему периоду 2013/20</w:t>
      </w:r>
      <w:r>
        <w:rPr>
          <w:rFonts w:ascii="Arial" w:cs="Arial" w:eastAsia="Arial" w:hAnsi="Arial"/>
          <w:sz w:val="24"/>
          <w:szCs w:val="24"/>
        </w:rPr>
        <w:t xml:space="preserve">14 года (далее - План) согласно </w:t>
      </w:r>
      <w:hyperlink w:history="1" r:id="rIdb2-4rndgd9ssaoykk3jz5">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Министерствам, административным ведомствам, государственным предприятиям «Кыргызкомур» и «Кыргызжилкоммунсоюз» при Министерстве энергетики и промышленности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городов Бишкек и Ош, коммунальному предприятию «Бишкектеплоэнерго» мэрии города Бишкек,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«Кыргызгаз», «Кыргызнефтегаз», «Бишкектеплосеть» и Ошскому муниципальному предприятию «Теплоснабжение»:</w:t>
      </w:r>
    </w:p>
    <w:p>
      <w:pPr>
        <w:spacing w:after="120"/>
        <w:jc w:val="both"/>
      </w:pPr>
      <w:r>
        <w:rPr>
          <w:rFonts w:ascii="Arial" w:cs="Arial" w:eastAsia="Arial" w:hAnsi="Arial"/>
          <w:sz w:val="24"/>
          <w:szCs w:val="24"/>
        </w:rPr>
        <w:t xml:space="preserve">- обеспечить выполнение Плана, а т</w:t>
      </w:r>
      <w:r>
        <w:rPr>
          <w:rFonts w:ascii="Arial" w:cs="Arial" w:eastAsia="Arial" w:hAnsi="Arial"/>
          <w:sz w:val="24"/>
          <w:szCs w:val="24"/>
        </w:rPr>
        <w:t xml:space="preserve">акже заданий, предусмотренных </w:t>
      </w:r>
      <w:hyperlink w:history="1" r:id="rIdq0gh16u0pwdr0kdmxftn3">
        <w:r>
          <w:rPr>
            <w:rFonts w:ascii="Arial" w:cs="Arial" w:eastAsia="Arial" w:hAnsi="Arial"/>
            <w:color w:val="1D4ED8"/>
            <w:sz w:val="24"/>
            <w:szCs w:val="24"/>
            <w:u w:val="single"/>
          </w:rPr>
          <w:t xml:space="preserve">приложениями 4</w:t>
        </w:r>
      </w:hyperlink>
      <w:r>
        <w:rPr>
          <w:rFonts w:ascii="Arial" w:cs="Arial" w:eastAsia="Arial" w:hAnsi="Arial"/>
          <w:sz w:val="24"/>
          <w:szCs w:val="24"/>
        </w:rPr>
        <w:t xml:space="preserve">-24 к настоящему постановлению;</w:t>
      </w:r>
    </w:p>
    <w:p>
      <w:pPr>
        <w:spacing w:after="120"/>
        <w:jc w:val="both"/>
      </w:pPr>
      <w:r>
        <w:rPr>
          <w:rFonts w:ascii="Arial" w:cs="Arial" w:eastAsia="Arial" w:hAnsi="Arial"/>
          <w:sz w:val="24"/>
          <w:szCs w:val="24"/>
        </w:rPr>
        <w:t xml:space="preserve">- в срок до 1 июля 2013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w:t>
      </w:r>
    </w:p>
    <w:p>
      <w:pPr>
        <w:spacing w:after="120"/>
        <w:jc w:val="both"/>
      </w:pPr>
      <w:r>
        <w:rPr>
          <w:rFonts w:ascii="Arial" w:cs="Arial" w:eastAsia="Arial" w:hAnsi="Arial"/>
          <w:sz w:val="24"/>
          <w:szCs w:val="24"/>
        </w:rPr>
        <w:t xml:space="preserve">- в срок до 10 сентября 2013 года создать рабочие комиссии по проверке готовности отопительных котельных и предприятий топливно-энергетического комплекса к работе в предстоящем осенне-зимнем периоде,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 не позднее 20 числа месяца, следующего за отчетным.</w:t>
      </w:r>
    </w:p>
    <w:p>
      <w:pPr>
        <w:spacing w:after="120"/>
        <w:jc w:val="both"/>
      </w:pPr>
      <w:r>
        <w:rPr>
          <w:rFonts w:ascii="Arial" w:cs="Arial" w:eastAsia="Arial" w:hAnsi="Arial"/>
          <w:sz w:val="24"/>
          <w:szCs w:val="24"/>
        </w:rPr>
        <w:t xml:space="preserve">4. Тендерным комиссиям министерств и ведомств, государственному предприятию «Кыргызжилкоммунсоюз» при Министерстве энергетики и промышленности Кыргызской Республики, по согласованию: открытому акционерному обществу «Электрические станции», коммунальному предприятию «Бишкектеплоэнерго» мэрии города Бишкек, Ошскому муниципальному предприятию «Теплоснабжение» при проведении тендеров на поставку местного угля для бюджетных организаций и ТЭЦ города Бишкек, в качестве временной меры на период подготовки к осенне-зимнему периоду 2013/2014 года, допускать к участию в тендерах угольные предприятия Кыргызской Республики, несмотря на наличие у них задолженности перед бюджетом и Социальным фондом Кыргызской Республики за отопительный период 2012/2013 года.</w:t>
      </w:r>
    </w:p>
    <w:p>
      <w:pPr>
        <w:spacing w:after="120"/>
        <w:jc w:val="both"/>
      </w:pPr>
      <w:r>
        <w:rPr>
          <w:rFonts w:ascii="Arial" w:cs="Arial" w:eastAsia="Arial" w:hAnsi="Arial"/>
          <w:sz w:val="24"/>
          <w:szCs w:val="24"/>
        </w:rPr>
        <w:t xml:space="preserve">5. Государственному агентству антимонопольного регулирования при Правительстве Кыргызской Республики в срок до 1 августа 2013 года рассмотреть и утвердить цены на уголь угледобывающих предприятий, включенных в перечень предприятий-монополистов, для поставки угля на внутренний рынок республики и населению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6. Министерству здравоохранения Кыргызской Республики обеспечить укомплектование зданий, в которых находятся операционные блоки и родильные залы, автономными источниками электроснабжения в виде дизельных (бензиновых) генераторов или аккумуляторных батарей в целях недопущения перерывов в электроснабжении.</w:t>
      </w:r>
    </w:p>
    <w:p>
      <w:pPr>
        <w:spacing w:after="120"/>
        <w:jc w:val="both"/>
      </w:pPr>
      <w:r>
        <w:rPr>
          <w:rFonts w:ascii="Arial" w:cs="Arial" w:eastAsia="Arial" w:hAnsi="Arial"/>
          <w:sz w:val="24"/>
          <w:szCs w:val="24"/>
        </w:rPr>
        <w:t xml:space="preserve">7. Министерству финансов Кыргызской Республики:</w:t>
      </w:r>
    </w:p>
    <w:p>
      <w:pPr>
        <w:spacing w:after="120"/>
        <w:jc w:val="both"/>
      </w:pPr>
      <w:r>
        <w:rPr>
          <w:rFonts w:ascii="Arial" w:cs="Arial" w:eastAsia="Arial" w:hAnsi="Arial"/>
          <w:sz w:val="24"/>
          <w:szCs w:val="24"/>
        </w:rPr>
        <w:t xml:space="preserve">- осуществлять выделение средств на оплату коммунальных услуг в объеме, предусмотренном </w:t>
      </w:r>
      <w:hyperlink w:history="1" r:id="rIdlyqzmovdwvy1pl_xb5cc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2013 год и прогнозе на 2014-2015 годы» в соответствии с ежемесячным финансовым планом ресурсов, доходов и бюджетных расходов;</w:t>
      </w:r>
    </w:p>
    <w:p>
      <w:pPr>
        <w:spacing w:after="120"/>
        <w:jc w:val="both"/>
      </w:pPr>
      <w:r>
        <w:rPr>
          <w:rFonts w:ascii="Arial" w:cs="Arial" w:eastAsia="Arial" w:hAnsi="Arial"/>
          <w:sz w:val="24"/>
          <w:szCs w:val="24"/>
        </w:rPr>
        <w:t xml:space="preserve">- обеспечить своевременное выделение 20-процентной предоплаты, после представления бюджетными организациями заключенных и надлежащим образом оформленных договоров на поставку угля и топочного мазута, в срок, не позднее 30 дней со дня их представления;</w:t>
      </w:r>
    </w:p>
    <w:p>
      <w:pPr>
        <w:spacing w:after="120"/>
        <w:jc w:val="both"/>
      </w:pPr>
      <w:r>
        <w:rPr>
          <w:rFonts w:ascii="Arial" w:cs="Arial" w:eastAsia="Arial" w:hAnsi="Arial"/>
          <w:sz w:val="24"/>
          <w:szCs w:val="24"/>
        </w:rPr>
        <w:t xml:space="preserve">- рассмотреть возможность предоставления открытому акционерному обществу «Электрические станции» беспроцентной бюджетной ссуды в размере 250,0 (двести пятьдесят) млн. сомов, для заготовки топлива на тепловых электростанциях;</w:t>
      </w:r>
    </w:p>
    <w:p>
      <w:pPr>
        <w:spacing w:after="120"/>
        <w:jc w:val="both"/>
      </w:pPr>
      <w:r>
        <w:rPr>
          <w:rFonts w:ascii="Arial" w:cs="Arial" w:eastAsia="Arial" w:hAnsi="Arial"/>
          <w:sz w:val="24"/>
          <w:szCs w:val="24"/>
        </w:rPr>
        <w:t xml:space="preserve">- предусмотреть средства в сумме 679 (шестьсот семьдесят девять) млн. сомов на компенсацию затрат, связанных с изменением с 1 апреля 2010 года отпускного </w:t>
      </w:r>
      <w:r>
        <w:rPr>
          <w:rFonts w:ascii="Arial" w:cs="Arial" w:eastAsia="Arial" w:hAnsi="Arial"/>
          <w:sz w:val="24"/>
          <w:szCs w:val="24"/>
        </w:rPr>
        <w:t xml:space="preserve">тарифа на тепловую энергию для населения в соответствии с </w:t>
      </w:r>
      <w:r>
        <w:rPr>
          <w:rFonts w:ascii="Arial" w:cs="Arial" w:eastAsia="Arial" w:hAnsi="Arial"/>
          <w:sz w:val="24"/>
          <w:szCs w:val="24"/>
        </w:rPr>
        <w:t xml:space="preserve">постановлением исполнительного совета Государственного департамента по регулированию топливно-энергетического комплекса при Министерстве энергетики Кыргызской Республики от 21 апреля 2010 года № 94, для выделения, по мере исполнения доходной части республиканского бюджета, государственному предприятию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8. Рекомендовать мэриям городов Бишкек и Ош, местным государственным администрациям:</w:t>
      </w:r>
    </w:p>
    <w:p>
      <w:pPr>
        <w:spacing w:after="120"/>
        <w:jc w:val="both"/>
      </w:pPr>
      <w:r>
        <w:rPr>
          <w:rFonts w:ascii="Arial" w:cs="Arial" w:eastAsia="Arial" w:hAnsi="Arial"/>
          <w:sz w:val="24"/>
          <w:szCs w:val="24"/>
        </w:rPr>
        <w:t xml:space="preserve">- погасить задолженность бюджетных организаций, финансируемых из местного бюджета, перед энергетическими предприятиями за электрическую, тепловую энергию, природный газ;</w:t>
      </w:r>
    </w:p>
    <w:p>
      <w:pPr>
        <w:spacing w:after="120"/>
        <w:jc w:val="both"/>
      </w:pPr>
      <w:r>
        <w:rPr>
          <w:rFonts w:ascii="Arial" w:cs="Arial" w:eastAsia="Arial" w:hAnsi="Arial"/>
          <w:sz w:val="24"/>
          <w:szCs w:val="24"/>
        </w:rPr>
        <w:t xml:space="preserve">- ежемесячно в полном объеме осуществлять финансирование бюджетных организаций за потребленную электрическую, тепловую энергию и природный газ.</w:t>
      </w:r>
    </w:p>
    <w:p>
      <w:pPr>
        <w:spacing w:after="120"/>
        <w:jc w:val="both"/>
      </w:pPr>
      <w:r>
        <w:rPr>
          <w:rFonts w:ascii="Arial" w:cs="Arial" w:eastAsia="Arial" w:hAnsi="Arial"/>
          <w:sz w:val="24"/>
          <w:szCs w:val="24"/>
        </w:rPr>
        <w:t xml:space="preserve">9. Министерству иностранных дел Кыргызской Республики, Государственной таможенной службе при Правительстве Кыргызской Республики и Государственной пограничной службе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при пропуске через государственную границу ремонтно-технического персонала, технологического оборудования и приспособлений.</w:t>
      </w:r>
    </w:p>
    <w:p>
      <w:pPr>
        <w:spacing w:after="120"/>
        <w:jc w:val="left"/>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Фонду государственных материальных резервов при Правительстве Кыргызской Республики, Социальному фонду Кыргызской Республики, Государственному фонду развития экономики при Министерстве финансов Кыргызской Республики, Государственному предприятию "Национальная компания "Кыргыз темир жолу" при Министерстве транспорта и коммуникаций Кыргызской Республики, производственно-эксплуатационному управлению "Бишкекводоканал" мэрии города Бишкек, государственному предприятию "Специальный фонд Токтогульского района и села Жазыкечуу города Кара-Куль Джалал-Абадской области" на время подготовки и прохождения осенне-зимнего периода не допускать закрытия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мэрии города Бишкек, Ошского муниципального предприятия "Теплоснабжение" мэрии города Ош, государственных предприятий "Кыргызжилкоммунсоюз" и "Кыргызкомур" при Министерстве энергетики и промышленности Кыргызской Республики и предприятий, в том числе угледобывающих, задействованных в заготовке топлива.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p00neebwpwpemenlax-vo">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Государственному предприятию «Бишкекский штамповочный завод» совместно с открытыми акционерными обществами «Северэлектро» и «Национальная электрическая сеть Кыргызстана» в срок до 1 октября 2013 года ввести в работу принадлежащую заводу подстанцию 110 кВ.</w:t>
      </w:r>
    </w:p>
    <w:p>
      <w:pPr>
        <w:spacing w:after="120"/>
        <w:jc w:val="both"/>
      </w:pPr>
      <w:r>
        <w:rPr>
          <w:rFonts w:ascii="Arial" w:cs="Arial" w:eastAsia="Arial" w:hAnsi="Arial"/>
          <w:sz w:val="24"/>
          <w:szCs w:val="24"/>
        </w:rPr>
        <w:t xml:space="preserve">12.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осуществлять координацию и мониторинг выполнения Плана и заданий, предусмотренных </w:t>
      </w:r>
      <w:hyperlink w:history="1" r:id="rId7cb6mihc8i3ww8jwewsj8">
        <w:r>
          <w:rPr>
            <w:rFonts w:ascii="Arial" w:cs="Arial" w:eastAsia="Arial" w:hAnsi="Arial"/>
            <w:color w:val="1D4ED8"/>
            <w:sz w:val="24"/>
            <w:szCs w:val="24"/>
            <w:u w:val="single"/>
          </w:rPr>
          <w:t xml:space="preserve">приложениями 4</w:t>
        </w:r>
      </w:hyperlink>
      <w:r>
        <w:rPr>
          <w:rFonts w:ascii="Arial" w:cs="Arial" w:eastAsia="Arial" w:hAnsi="Arial"/>
          <w:sz w:val="24"/>
          <w:szCs w:val="24"/>
        </w:rPr>
        <w:t xml:space="preserve"> - 24 к настоящему постановлению;</w:t>
      </w:r>
    </w:p>
    <w:p>
      <w:pPr>
        <w:spacing w:after="120"/>
        <w:jc w:val="both"/>
      </w:pPr>
      <w:r>
        <w:rPr>
          <w:rFonts w:ascii="Arial" w:cs="Arial" w:eastAsia="Arial" w:hAnsi="Arial"/>
          <w:sz w:val="24"/>
          <w:szCs w:val="24"/>
        </w:rPr>
        <w:t xml:space="preserve">- принять меры по обеспечению выполнения открытыми акционерными обществами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и «Бишкектеплосетъ», совместным предприятием «Кыргыз Петролеум Компани», государственными предприятиями «Кыргызкомур» и «Кыргызжилкоммунсоюз» при Министерстве энергетики и промышленности Кыргызской Республики заданий согласно </w:t>
      </w:r>
      <w:hyperlink w:history="1" r:id="rIdtlpsggon_vwe7vd7xkqll">
        <w:r>
          <w:rPr>
            <w:rFonts w:ascii="Arial" w:cs="Arial" w:eastAsia="Arial" w:hAnsi="Arial"/>
            <w:color w:val="1D4ED8"/>
            <w:sz w:val="24"/>
            <w:szCs w:val="24"/>
            <w:u w:val="single"/>
          </w:rPr>
          <w:t xml:space="preserve">приложениям 14</w:t>
        </w:r>
      </w:hyperlink>
      <w:r>
        <w:rPr>
          <w:rFonts w:ascii="Arial" w:cs="Arial" w:eastAsia="Arial" w:hAnsi="Arial"/>
          <w:sz w:val="24"/>
          <w:szCs w:val="24"/>
        </w:rPr>
        <w:t xml:space="preserve"> - 24;</w:t>
      </w:r>
    </w:p>
    <w:p>
      <w:pPr>
        <w:spacing w:after="120"/>
        <w:jc w:val="both"/>
      </w:pPr>
      <w:r>
        <w:rPr>
          <w:rFonts w:ascii="Arial" w:cs="Arial" w:eastAsia="Arial" w:hAnsi="Arial"/>
          <w:sz w:val="24"/>
          <w:szCs w:val="24"/>
        </w:rPr>
        <w:t xml:space="preserve">- совместно с мэриями городов Бишкек и Ош, открытыми акционерными обществами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всех потребителей.</w:t>
      </w:r>
    </w:p>
    <w:p>
      <w:pPr>
        <w:spacing w:after="120"/>
        <w:jc w:val="both"/>
      </w:pPr>
      <w:r>
        <w:rPr>
          <w:rFonts w:ascii="Arial" w:cs="Arial" w:eastAsia="Arial" w:hAnsi="Arial"/>
          <w:sz w:val="24"/>
          <w:szCs w:val="24"/>
        </w:rPr>
        <w:t xml:space="preserve">13. Государственному предприятию «Кыргызкомур»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 обеспечить своевременное и в полном объеме исполнение утвержденных настоящим постановлением графиков поставки местного угля для топливных баз и пунктов реализации угля для населения республики;</w:t>
      </w:r>
    </w:p>
    <w:p>
      <w:pPr>
        <w:spacing w:after="120"/>
        <w:jc w:val="both"/>
      </w:pPr>
      <w:r>
        <w:rPr>
          <w:rFonts w:ascii="Arial" w:cs="Arial" w:eastAsia="Arial" w:hAnsi="Arial"/>
          <w:sz w:val="24"/>
          <w:szCs w:val="24"/>
        </w:rPr>
        <w:t xml:space="preserve">- совместно с угледобывающими предприятиями обеспечить поставку угля надлежащего качества в сроки в соответствии с договорами, заключенными с открытым акционерным обществом «Электрические станции», государственным предприятием «Кыргызжилкоммунсоюз» при Министерстве энергетики и промышленности Кыргызской Республики, коммунальным предприятием «Бишкектеплоэнерго» мэрии города Бишкек и бюджетными организациями.</w:t>
      </w:r>
    </w:p>
    <w:p>
      <w:pPr>
        <w:spacing w:after="120"/>
        <w:jc w:val="both"/>
      </w:pPr>
      <w:r>
        <w:rPr>
          <w:rFonts w:ascii="Arial" w:cs="Arial" w:eastAsia="Arial" w:hAnsi="Arial"/>
          <w:sz w:val="24"/>
          <w:szCs w:val="24"/>
        </w:rPr>
        <w:t xml:space="preserve">14. Рекомендовать открытому акционерному обществу «Электрические станции»:</w:t>
      </w:r>
    </w:p>
    <w:p>
      <w:pPr>
        <w:spacing w:after="120"/>
        <w:jc w:val="both"/>
      </w:pPr>
      <w:r>
        <w:rPr>
          <w:rFonts w:ascii="Arial" w:cs="Arial" w:eastAsia="Arial" w:hAnsi="Arial"/>
          <w:sz w:val="24"/>
          <w:szCs w:val="24"/>
        </w:rPr>
        <w:t xml:space="preserve">- предусмотреть увеличение нагрузки на ТЭЦ г.Бишкек в объеме не менее 300 МВт в период возможного дефицита мощности в энергосистеме в предстоящем осенне-зимнем периоде 2013/2014 года;</w:t>
      </w:r>
    </w:p>
    <w:p>
      <w:pPr>
        <w:spacing w:after="120"/>
        <w:jc w:val="both"/>
      </w:pPr>
      <w:r>
        <w:rPr>
          <w:rFonts w:ascii="Arial" w:cs="Arial" w:eastAsia="Arial" w:hAnsi="Arial"/>
          <w:sz w:val="24"/>
          <w:szCs w:val="24"/>
        </w:rPr>
        <w:t xml:space="preserve">- до 1 августа 2013 года принять меры по погашению задолженности перед угледобывающими предприятиями Кыргызской Республики за уголь, поставленный в период 2012/2013 года;</w:t>
      </w:r>
    </w:p>
    <w:p>
      <w:pPr>
        <w:spacing w:after="120"/>
        <w:jc w:val="both"/>
      </w:pPr>
      <w:r>
        <w:rPr>
          <w:rFonts w:ascii="Arial" w:cs="Arial" w:eastAsia="Arial" w:hAnsi="Arial"/>
          <w:sz w:val="24"/>
          <w:szCs w:val="24"/>
        </w:rPr>
        <w:t xml:space="preserve">- обеспечить своевременную заготовку топлива согласно </w:t>
      </w:r>
      <w:hyperlink w:history="1" r:id="rIdeajejqbvtm7k3xq8obzgp">
        <w:r>
          <w:rPr>
            <w:rFonts w:ascii="Arial" w:cs="Arial" w:eastAsia="Arial" w:hAnsi="Arial"/>
            <w:color w:val="1D4ED8"/>
            <w:sz w:val="24"/>
            <w:szCs w:val="24"/>
            <w:u w:val="single"/>
          </w:rPr>
          <w:t xml:space="preserve">приложениям 4</w:t>
        </w:r>
      </w:hyperlink>
      <w:r>
        <w:rPr>
          <w:rFonts w:ascii="Arial" w:cs="Arial" w:eastAsia="Arial" w:hAnsi="Arial"/>
          <w:sz w:val="24"/>
          <w:szCs w:val="24"/>
        </w:rPr>
        <w:t xml:space="preserve"> - 13.</w:t>
      </w:r>
    </w:p>
    <w:p>
      <w:pPr>
        <w:spacing w:after="120"/>
        <w:jc w:val="left"/>
      </w:pPr>
      <w:r>
        <w:rPr>
          <w:rFonts w:ascii="Arial" w:cs="Arial" w:eastAsia="Arial" w:hAnsi="Arial"/>
          <w:sz w:val="24"/>
          <w:szCs w:val="24"/>
        </w:rPr>
        <w:t xml:space="preserve">15. Рекомендовать открытым акционерным обществам "Национальная электрическая сеть Кыргызстана", "Северэлектро", "Востокэлектро", "Ошэлектро", "Жалалабатэлектро", "Бишкектеплосеть", "Кыргызгаз" и Государственной инспекции по экологической и технической безопасности при Правительстве Кыргызской Республики:</w:t>
      </w:r>
    </w:p>
    <w:p>
      <w:pPr>
        <w:spacing w:after="120"/>
        <w:jc w:val="left"/>
      </w:pPr>
      <w:r>
        <w:rPr>
          <w:rFonts w:ascii="Arial" w:cs="Arial" w:eastAsia="Arial" w:hAnsi="Arial"/>
          <w:sz w:val="24"/>
          <w:szCs w:val="24"/>
        </w:rPr>
        <w:t xml:space="preserve">- отключать потребителей, допустивших нарушения требований законодательства в области экологической и технической безопасности, имеющих дебиторскую задолженность за электрическую, тепловую энергию и природный газ, а также бюджетные организации, допускающие перерасход установленного лимита потребления тепловой и электрической энергии, за исключением объектов здравоохранения и пограничных застав Государственной пограничной службы Кыргызской Республики и учреждений и объектов Государственной службы исполнения наказаний при Правительстве Кыргызской Республики;</w:t>
      </w:r>
    </w:p>
    <w:p>
      <w:pPr>
        <w:spacing w:after="120"/>
        <w:jc w:val="left"/>
      </w:pPr>
      <w:r>
        <w:rPr>
          <w:rFonts w:ascii="Arial" w:cs="Arial" w:eastAsia="Arial" w:hAnsi="Arial"/>
          <w:sz w:val="24"/>
          <w:szCs w:val="24"/>
        </w:rPr>
        <w:t xml:space="preserve">- не допускать превышения установленной величины потребления электрической энергии и мощности;</w:t>
      </w:r>
    </w:p>
    <w:p>
      <w:pPr>
        <w:spacing w:after="120"/>
        <w:jc w:val="left"/>
      </w:pPr>
      <w:r>
        <w:rPr>
          <w:rFonts w:ascii="Arial" w:cs="Arial" w:eastAsia="Arial" w:hAnsi="Arial"/>
          <w:sz w:val="24"/>
          <w:szCs w:val="24"/>
        </w:rPr>
        <w:t xml:space="preserve">- не отключать электроснабжение технологических объектов государственного предприятия "Кыргызжилкоммунсоюз" при Министерстве энергетики и промышленности Кыргызской Республики в период ремонта котельного оборудования и прохождения осенне-зимнего периода 2013/2014 года.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t5fciswqxu0u7nyi5ivhh">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Рекомендовать открытым акционерным обществам «Северэлектро», «Востокэлектро», «Ошэлектро» и «Жалалабатэлектро» обеспечить ежесуточное представление открытому акционерному обществу «Национальная электрическая сеть Кыргызстана» часовых суточных графиков потребления электрической энергии и мощности на основании заданий, определенных настоящим постановлением, и заключенных контрактов.</w:t>
      </w:r>
    </w:p>
    <w:p>
      <w:pPr>
        <w:spacing w:after="120"/>
        <w:jc w:val="both"/>
      </w:pPr>
      <w:r>
        <w:rPr>
          <w:rFonts w:ascii="Arial" w:cs="Arial" w:eastAsia="Arial" w:hAnsi="Arial"/>
          <w:sz w:val="24"/>
          <w:szCs w:val="24"/>
        </w:rPr>
        <w:t xml:space="preserve">17. Рекомендовать мэрии города Бишкек обеспечивать в срок до 1 апреля 2014 года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на ТЭЦ города Бишкек и оплаты за поставленный кара-кечинский и таш-кумырский уголь на ТЭЦ города Бишкек, общий объем которых на весь отопительный период составляет 6,333 млн. (шесть миллионов триста тридцать три тысячи) сомов.</w:t>
      </w:r>
    </w:p>
    <w:p>
      <w:pPr>
        <w:spacing w:after="120"/>
        <w:jc w:val="both"/>
      </w:pPr>
      <w:r>
        <w:rPr>
          <w:rFonts w:ascii="Arial" w:cs="Arial" w:eastAsia="Arial" w:hAnsi="Arial"/>
          <w:sz w:val="24"/>
          <w:szCs w:val="24"/>
        </w:rPr>
        <w:t xml:space="preserve">18. Признать утратившими силу:</w:t>
      </w:r>
    </w:p>
    <w:p>
      <w:pPr>
        <w:spacing w:after="120"/>
        <w:jc w:val="both"/>
      </w:pPr>
      <w:r>
        <w:rPr>
          <w:rFonts w:ascii="Arial" w:cs="Arial" w:eastAsia="Arial" w:hAnsi="Arial"/>
          <w:sz w:val="24"/>
          <w:szCs w:val="24"/>
        </w:rPr>
        <w:t xml:space="preserve">- </w:t>
      </w:r>
      <w:hyperlink w:history="1" r:id="rIdhn2fmwz6jimva6ox5jp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отраслей экономики и населения Кыргызской Республики к осенне-зимнему периоду 2012/2013 года» от 24 апреля 2012 года № 257;</w:t>
      </w:r>
    </w:p>
    <w:p>
      <w:pPr>
        <w:spacing w:after="120"/>
        <w:jc w:val="both"/>
      </w:pPr>
      <w:r>
        <w:rPr>
          <w:rFonts w:ascii="Arial" w:cs="Arial" w:eastAsia="Arial" w:hAnsi="Arial"/>
          <w:sz w:val="24"/>
          <w:szCs w:val="24"/>
        </w:rPr>
        <w:t xml:space="preserve">- </w:t>
      </w:r>
      <w:hyperlink w:history="1" r:id="rIdckqt6kb4n1vzfw7guwl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отраслей экономики и населения Кыргызской Республики к осенне-зимнему периоду 2012/2013 года» от 18 октября 2012 года № 725.</w:t>
      </w:r>
    </w:p>
    <w:p>
      <w:pPr>
        <w:spacing w:after="120"/>
        <w:jc w:val="both"/>
      </w:pPr>
      <w:r>
        <w:rPr>
          <w:rFonts w:ascii="Arial" w:cs="Arial" w:eastAsia="Arial" w:hAnsi="Arial"/>
          <w:sz w:val="24"/>
          <w:szCs w:val="24"/>
        </w:rPr>
        <w:t xml:space="preserve">19.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20. Контроль за исполнением настоящего постановления возложить на отдел топливно-энергетического комплекса, промышленности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hpfnb2mgzyqejanbvs2g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Состав
 республиканского штаба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 председатель Штаба;</w:t>
      </w:r>
    </w:p>
    <w:p>
      <w:pPr>
        <w:spacing w:after="120"/>
        <w:jc w:val="both"/>
      </w:pPr>
      <w:r>
        <w:rPr>
          <w:rFonts w:ascii="Arial" w:cs="Arial" w:eastAsia="Arial" w:hAnsi="Arial"/>
          <w:sz w:val="24"/>
          <w:szCs w:val="24"/>
        </w:rPr>
        <w:t xml:space="preserve">вице-премьер-министр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энергетики и промышленности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экономики Кыргызской Республики;</w:t>
      </w:r>
    </w:p>
    <w:p>
      <w:pPr>
        <w:spacing w:after="120"/>
        <w:jc w:val="both"/>
      </w:pPr>
      <w:r>
        <w:rPr>
          <w:rFonts w:ascii="Arial" w:cs="Arial" w:eastAsia="Arial" w:hAnsi="Arial"/>
          <w:sz w:val="24"/>
          <w:szCs w:val="24"/>
        </w:rPr>
        <w:t xml:space="preserve">министр чрезвычайных ситуаций Кыргызской Республики;</w:t>
      </w:r>
    </w:p>
    <w:p>
      <w:pPr>
        <w:spacing w:after="120"/>
        <w:jc w:val="both"/>
      </w:pPr>
      <w:r>
        <w:rPr>
          <w:rFonts w:ascii="Arial" w:cs="Arial" w:eastAsia="Arial" w:hAnsi="Arial"/>
          <w:sz w:val="24"/>
          <w:szCs w:val="24"/>
        </w:rPr>
        <w:t xml:space="preserve">министр транспорта и коммуникаций Кыргызской Республики;</w:t>
      </w:r>
    </w:p>
    <w:p>
      <w:pPr>
        <w:spacing w:after="120"/>
        <w:jc w:val="both"/>
      </w:pP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заместитель министра обороны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заместитель министра энергетики и промышленности Кыргызской Республики;</w:t>
      </w:r>
    </w:p>
    <w:p>
      <w:pPr>
        <w:spacing w:after="120"/>
        <w:jc w:val="both"/>
      </w:pPr>
      <w:r>
        <w:rPr>
          <w:rFonts w:ascii="Arial" w:cs="Arial" w:eastAsia="Arial" w:hAnsi="Arial"/>
          <w:sz w:val="24"/>
          <w:szCs w:val="24"/>
        </w:rPr>
        <w:t xml:space="preserve">заместитель министра социального развития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 Кыргызской Республики;</w:t>
      </w:r>
    </w:p>
    <w:p>
      <w:pPr>
        <w:spacing w:after="120"/>
        <w:jc w:val="both"/>
      </w:pPr>
      <w:r>
        <w:rPr>
          <w:rFonts w:ascii="Arial" w:cs="Arial" w:eastAsia="Arial" w:hAnsi="Arial"/>
          <w:sz w:val="24"/>
          <w:szCs w:val="24"/>
        </w:rPr>
        <w:t xml:space="preserve">заместитель министра труда, миграции и молодежи Кыргызской Республики;</w:t>
      </w:r>
    </w:p>
    <w:p>
      <w:pPr>
        <w:spacing w:after="120"/>
        <w:jc w:val="both"/>
      </w:pPr>
      <w:r>
        <w:rPr>
          <w:rFonts w:ascii="Arial" w:cs="Arial" w:eastAsia="Arial" w:hAnsi="Arial"/>
          <w:sz w:val="24"/>
          <w:szCs w:val="24"/>
        </w:rPr>
        <w:t xml:space="preserve">директор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директор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заместитель председателя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Чуйской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Ошской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Нарынской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Таласской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Баткенской области Кыргызской Республики;</w:t>
      </w:r>
    </w:p>
    <w:p>
      <w:pPr>
        <w:spacing w:after="120"/>
        <w:jc w:val="both"/>
      </w:pPr>
      <w:r>
        <w:rPr>
          <w:rFonts w:ascii="Arial" w:cs="Arial" w:eastAsia="Arial" w:hAnsi="Arial"/>
          <w:sz w:val="24"/>
          <w:szCs w:val="24"/>
        </w:rPr>
        <w:t xml:space="preserve">вице-мэр города Бишкек (по согласованию);</w:t>
      </w:r>
    </w:p>
    <w:p>
      <w:pPr>
        <w:spacing w:after="120"/>
        <w:jc w:val="both"/>
      </w:pPr>
      <w:r>
        <w:rPr>
          <w:rFonts w:ascii="Arial" w:cs="Arial" w:eastAsia="Arial" w:hAnsi="Arial"/>
          <w:sz w:val="24"/>
          <w:szCs w:val="24"/>
        </w:rPr>
        <w:t xml:space="preserve">мэр города Ош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both"/>
      </w:pPr>
      <w:r>
        <w:rPr>
          <w:rFonts w:ascii="Arial" w:cs="Arial" w:eastAsia="Arial" w:hAnsi="Arial"/>
          <w:sz w:val="24"/>
          <w:szCs w:val="24"/>
        </w:rPr>
        <w:t xml:space="preserve">директор государственного предприятия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директор коммунального предприятия «Бишкектеплоэнерго» мэрии города Бишкек (по согласованию);</w:t>
      </w:r>
    </w:p>
    <w:p>
      <w:pPr>
        <w:spacing w:after="120"/>
        <w:jc w:val="both"/>
      </w:pPr>
      <w:r>
        <w:rPr>
          <w:rFonts w:ascii="Arial" w:cs="Arial" w:eastAsia="Arial" w:hAnsi="Arial"/>
          <w:sz w:val="24"/>
          <w:szCs w:val="24"/>
        </w:rPr>
        <w:t xml:space="preserve">генеральный директор государственного предприятия «Кыргызкомур»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both"/>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республиканском штабе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Республиканский штаб по подготовке отраслей экономики и населения Кыргызской Республики к осенне-зимнему периоду 2013/2014 года (далее - Штаб) является коллегиальным координационным органом, образованным для выработки единой позиции по вопросам водно-энергетических отношений с соседними странами, осуществления рационального использования водно-энергетических ресурсов, подготовки отраслей экономики и населения Кыргызской Республики к осенне-зимнему периоду 2013/2014 года, а также предотвращения нарушений в электро- и теплоснабжении.</w:t>
      </w:r>
    </w:p>
    <w:p>
      <w:pPr>
        <w:spacing w:after="120"/>
        <w:jc w:val="both"/>
      </w:pPr>
      <w:r>
        <w:rPr>
          <w:rFonts w:ascii="Arial" w:cs="Arial" w:eastAsia="Arial" w:hAnsi="Arial"/>
          <w:sz w:val="24"/>
          <w:szCs w:val="24"/>
        </w:rPr>
        <w:t xml:space="preserve">2. Штаб в своей деятельности руководствуется </w:t>
      </w:r>
      <w:hyperlink w:history="1" r:id="rIdhncmn5ezqgdet45tikiv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3. Руководство деятельностью Штаба осуществляет председатель, а в его отсутствие - 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и функции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Штаба являются:</w:t>
      </w:r>
    </w:p>
    <w:p>
      <w:pPr>
        <w:spacing w:after="120"/>
        <w:jc w:val="both"/>
      </w:pPr>
      <w:r>
        <w:rPr>
          <w:rFonts w:ascii="Arial" w:cs="Arial" w:eastAsia="Arial" w:hAnsi="Arial"/>
          <w:sz w:val="24"/>
          <w:szCs w:val="24"/>
        </w:rPr>
        <w:t xml:space="preserve">- обеспечение качественного и своевременного решения вопросов рационального использования водно-энергетических ресурсов Кыргызской Республики;</w:t>
      </w:r>
    </w:p>
    <w:p>
      <w:pPr>
        <w:spacing w:after="120"/>
        <w:jc w:val="both"/>
      </w:pPr>
      <w:r>
        <w:rPr>
          <w:rFonts w:ascii="Arial" w:cs="Arial" w:eastAsia="Arial" w:hAnsi="Arial"/>
          <w:sz w:val="24"/>
          <w:szCs w:val="24"/>
        </w:rPr>
        <w:t xml:space="preserve">- обеспечение своевременной и качественной подготовки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5. Штаб в соответствии с возложенными на него задачами выполняет следующие функции:</w:t>
      </w:r>
    </w:p>
    <w:p>
      <w:pPr>
        <w:spacing w:after="120"/>
        <w:jc w:val="both"/>
      </w:pPr>
      <w:r>
        <w:rPr>
          <w:rFonts w:ascii="Arial" w:cs="Arial" w:eastAsia="Arial" w:hAnsi="Arial"/>
          <w:sz w:val="24"/>
          <w:szCs w:val="24"/>
        </w:rPr>
        <w:t xml:space="preserve">- на своих заседаниях рассматривает ход выполнения Плана мероприятий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координирует деятельность государственных органов и предприятий топливно-энергетического комплекса по управлению водно-энергетическими ресурсами, своевременной и качественной подготовке к работе в осенне-зимних условиях, обеспечению топливом, предотвращению нарушений в электро-, теплоснабжении и (или) ликвидации их последствий;</w:t>
      </w:r>
    </w:p>
    <w:p>
      <w:pPr>
        <w:spacing w:after="120"/>
        <w:jc w:val="both"/>
      </w:pPr>
      <w:r>
        <w:rPr>
          <w:rFonts w:ascii="Arial" w:cs="Arial" w:eastAsia="Arial" w:hAnsi="Arial"/>
          <w:sz w:val="24"/>
          <w:szCs w:val="24"/>
        </w:rPr>
        <w:t xml:space="preserve">- при необходимости вносит на рассмотрение Правительства Кыргызской Республики предложения об установлении лимита потребления электро-, теплоэнергии и природного газа по регионам и контролирует их исполнение;</w:t>
      </w:r>
    </w:p>
    <w:p>
      <w:pPr>
        <w:spacing w:after="120"/>
        <w:jc w:val="both"/>
      </w:pPr>
      <w:r>
        <w:rPr>
          <w:rFonts w:ascii="Arial" w:cs="Arial" w:eastAsia="Arial" w:hAnsi="Arial"/>
          <w:sz w:val="24"/>
          <w:szCs w:val="24"/>
        </w:rPr>
        <w:t xml:space="preserve">- осуществляет мониторинг и прогнозирование объема накопления воды в  Токтогульском водохранилище и работы каскада Токтогульских ГЭС;</w:t>
      </w:r>
    </w:p>
    <w:p>
      <w:pPr>
        <w:spacing w:after="120"/>
        <w:jc w:val="both"/>
      </w:pPr>
      <w:r>
        <w:rPr>
          <w:rFonts w:ascii="Arial" w:cs="Arial" w:eastAsia="Arial" w:hAnsi="Arial"/>
          <w:sz w:val="24"/>
          <w:szCs w:val="24"/>
        </w:rPr>
        <w:t xml:space="preserve">- принимает необходимые меры по исключению нарушений водно-энергетического баланса;</w:t>
      </w:r>
    </w:p>
    <w:p>
      <w:pPr>
        <w:spacing w:after="120"/>
        <w:jc w:val="both"/>
      </w:pPr>
      <w:r>
        <w:rPr>
          <w:rFonts w:ascii="Arial" w:cs="Arial" w:eastAsia="Arial" w:hAnsi="Arial"/>
          <w:sz w:val="24"/>
          <w:szCs w:val="24"/>
        </w:rPr>
        <w:t xml:space="preserve">- контролирует проведение работ по переводу котельных, работающих на электроэнергии, на использование органического топлива и обеспечению необходимым запасом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Штаб имеет право:</w:t>
      </w:r>
    </w:p>
    <w:p>
      <w:pPr>
        <w:spacing w:after="120"/>
        <w:jc w:val="both"/>
      </w:pPr>
      <w:r>
        <w:rPr>
          <w:rFonts w:ascii="Arial" w:cs="Arial" w:eastAsia="Arial" w:hAnsi="Arial"/>
          <w:sz w:val="24"/>
          <w:szCs w:val="24"/>
        </w:rPr>
        <w:t xml:space="preserve">- заслушивать информацию руководителей государственных органов, органов местного самоуправления, других организаций и учреждений и давать оценку их работе в рамках целей и задач Штаба;</w:t>
      </w:r>
    </w:p>
    <w:p>
      <w:pPr>
        <w:spacing w:after="120"/>
        <w:jc w:val="both"/>
      </w:pPr>
      <w:r>
        <w:rPr>
          <w:rFonts w:ascii="Arial" w:cs="Arial" w:eastAsia="Arial" w:hAnsi="Arial"/>
          <w:sz w:val="24"/>
          <w:szCs w:val="24"/>
        </w:rPr>
        <w:t xml:space="preserve">- запрашивать от министерств, государственного комитета, административных ведомств, организаций, учреждений необходимые для осуществления своей деятельности материалы и информацию;</w:t>
      </w:r>
    </w:p>
    <w:p>
      <w:pPr>
        <w:spacing w:after="120"/>
        <w:jc w:val="both"/>
      </w:pPr>
      <w:r>
        <w:rPr>
          <w:rFonts w:ascii="Arial" w:cs="Arial" w:eastAsia="Arial" w:hAnsi="Arial"/>
          <w:sz w:val="24"/>
          <w:szCs w:val="24"/>
        </w:rPr>
        <w:t xml:space="preserve">- вносить предложения Правительству Кыргызской Республики об освобождении от занимаемой должности руководителей министерств, государственного комитета, административных ведомств, полномочных представителей Правительства Кыргызской Республики в областях, местных государственных администраций и органов местного самоуправления, допустивших невыполнение решений Правительства Кыргызской Республики, Штаба и срывы выполнения заданий по подготовке к работе в осенне-зимних условиях;</w:t>
      </w:r>
    </w:p>
    <w:p>
      <w:pPr>
        <w:spacing w:after="120"/>
        <w:jc w:val="both"/>
      </w:pPr>
      <w:r>
        <w:rPr>
          <w:rFonts w:ascii="Arial" w:cs="Arial" w:eastAsia="Arial" w:hAnsi="Arial"/>
          <w:sz w:val="24"/>
          <w:szCs w:val="24"/>
        </w:rPr>
        <w:t xml:space="preserve">- информировать Правительство Кыргызской Республики по вопросам накопления воды в  Токтогульском водохранилище и работы каскада Токтогульских ГЭС, а также о ходе подготовки отраслей экономики и населения к осенне-зимнему периоду 2013/2014 года;</w:t>
      </w:r>
    </w:p>
    <w:p>
      <w:pPr>
        <w:spacing w:after="120"/>
        <w:jc w:val="both"/>
      </w:pPr>
      <w:r>
        <w:rPr>
          <w:rFonts w:ascii="Arial" w:cs="Arial" w:eastAsia="Arial" w:hAnsi="Arial"/>
          <w:sz w:val="24"/>
          <w:szCs w:val="24"/>
        </w:rPr>
        <w:t xml:space="preserve">- принимать иные организационные и координационные меры по обеспечению энергетической безопасности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работы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Состав Штаба утверждается Правительством Кыргызской Республики. Председателем Штаба по должности является Премьер-министр Кыргызской Республики, который осуществляет руководство деятельностью Штаба. Члены Штаба вправе вносить на обсуждение Штаба обоснованные предложения по реализации целей и задач Штаба.</w:t>
      </w:r>
    </w:p>
    <w:p>
      <w:pPr>
        <w:spacing w:after="120"/>
        <w:jc w:val="both"/>
      </w:pPr>
      <w:r>
        <w:rPr>
          <w:rFonts w:ascii="Arial" w:cs="Arial" w:eastAsia="Arial" w:hAnsi="Arial"/>
          <w:sz w:val="24"/>
          <w:szCs w:val="24"/>
        </w:rPr>
        <w:t xml:space="preserve">8. Формой работы Штаба является заседание или селекторное совещание, которые проводятся по решению его председателя, по мере необходимости, но не реже одного раза в месяц. Члены Штаба участвуют в заседаниях или селекторных совещаниях лично. В случае отсутствия члена Штаба на заседании Штаба без уважительной причины, к нему в установленном порядке применяются меры дисциплинарного воздействия.</w:t>
      </w:r>
    </w:p>
    <w:p>
      <w:pPr>
        <w:spacing w:after="120"/>
        <w:jc w:val="both"/>
      </w:pPr>
      <w:r>
        <w:rPr>
          <w:rFonts w:ascii="Arial" w:cs="Arial" w:eastAsia="Arial" w:hAnsi="Arial"/>
          <w:sz w:val="24"/>
          <w:szCs w:val="24"/>
        </w:rPr>
        <w:t xml:space="preserve">9. Заседание считается состоявшимся в случае присутствия на нем более половины членов Штаба.</w:t>
      </w:r>
    </w:p>
    <w:p>
      <w:pPr>
        <w:spacing w:after="120"/>
        <w:jc w:val="both"/>
      </w:pPr>
      <w:r>
        <w:rPr>
          <w:rFonts w:ascii="Arial" w:cs="Arial" w:eastAsia="Arial" w:hAnsi="Arial"/>
          <w:sz w:val="24"/>
          <w:szCs w:val="24"/>
        </w:rPr>
        <w:t xml:space="preserve">10. По итогам заседания Штаба составляется протокол, который подписывает  председатель.</w:t>
      </w:r>
    </w:p>
    <w:p>
      <w:pPr>
        <w:spacing w:after="120"/>
        <w:jc w:val="both"/>
      </w:pPr>
      <w:r>
        <w:rPr>
          <w:rFonts w:ascii="Arial" w:cs="Arial" w:eastAsia="Arial" w:hAnsi="Arial"/>
          <w:sz w:val="24"/>
          <w:szCs w:val="24"/>
        </w:rPr>
        <w:t xml:space="preserve">11. Решения Штаба принимаются путем голосования, простым большинством голосов от общего числа членов Штаба и доводятся до сведения лиц, ответственных за их реализацию.</w:t>
      </w:r>
    </w:p>
    <w:p>
      <w:pPr>
        <w:spacing w:after="120"/>
        <w:jc w:val="both"/>
      </w:pPr>
      <w:r>
        <w:rPr>
          <w:rFonts w:ascii="Arial" w:cs="Arial" w:eastAsia="Arial" w:hAnsi="Arial"/>
          <w:sz w:val="24"/>
          <w:szCs w:val="24"/>
        </w:rPr>
        <w:t xml:space="preserve">12. Решения, принятые Штабом, при необходимости могут направляться на рассмотрение Правительства Кыргызской Республики и государственных органов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lre-xjzygyfm1amt4nv8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подготовке отраслей экономики и населения Кыргызской Республики к осенне-зимнему периоду 2013/2014 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evbfrf5ibgodxayiwm_m">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337"/>
        <w:gridCol w:w="1460"/>
        <w:gridCol w:w="4109"/>
      </w:tblGrid>
      <w:tr>
        <w:tc>
          <w:tcPr>
            <w:tcW w:type="dxa" w:w="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мероприятий</w:t>
            </w:r>
          </w:p>
        </w:tc>
        <w:tc>
          <w:tcPr>
            <w:tcW w:type="dxa" w:w="1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c>
          <w:tcPr>
            <w:tcW w:type="dxa" w:w="4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на заседаниях хода подготовки к отопительному сезону, в первую очередь, вопросов: 
 - о подготовке котельных теплоснабжающих предприятий, ведомственных и промышленных котельных, связанных с теплоснабжением населения; 
 - о качестве подготовки к отопительному периоду социальных объектов; 
 - о качестве подготовки к отопительному периоду жилого фонда; - об обеспеченности топливом социальных объектов, населения и своевременном выделении средств льготной категории граждан</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июня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совещание руководителей и экспертов водохозяйственных и водно-энергетических отраслей Кыргызской Республики, Республики Казахстан, Республики Таджикистан и Республики Узбекистан для подписания межправительственного соглашения о рациональном использовании водно-энергетических ресурсов бассейна рек Нарын и Сырдарья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июня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Департамент водного хозяйства и мелиорации при МСХМ, ОАО "Электрические станции" (по согласованию), ОАО "НЭС Кыргызстана"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водно-энергетические расчеты режимов использования воды Токтогульского водохранилища на период 2013 года и первый квартал 2014 года на основе прогноза и ожидаемого объема электропотребления при условии обеспечения экспорта электроэнергии в объеме не менее 500 млн. кВтч</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исполнения топливно-энергетических балансов в разрезе областей и городов Бишкек и Ош</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аппараты полномочных представителей ПКР, мэрии городов Бишкек и Ош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городов Бишкек и Ош и распределительных электрокомпаний</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постоянный контроль по недопущению потребления электрической энергии бюджетными организациями сверх установленного для них лимита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Минфин, ГИЭТБ, местные органы самоуправления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рабочие комиссии по контролю за ходом подготовки к отопительному периоду 2013/2014 года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ежесуточное своевременное представление распределительными электрокомпаниями и крупными промышленными предприятиями суточных графиков потребления электрической энергии и мощности системному оператору ОАО "НЭСК"</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по согласованию: ОАО "Электрические станции", "НЭСК", "Северэлектро", "Востокэлектро", "Ошэлектро",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МИД, ОАО "НЭСК"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мероприятий по капитальному ремонту, повышению надежности энергоснабжения и созданию аварийного запаса материально-технических ресурсов</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 ствии с графиком</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доукомплектование зданий, в которых находятся операционные блоки, автономными источниками электроснабжения в виде дизельных (бензиновых) генераторов или аккумуляторных батарей в целях недопущения перерывов в электроснабжении</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 утвердить перечень электрических промышленных котельных, а также электрических котлов бытовых потребителей, работа которых разрешается в отопительный период 2013/2014 года, с указанием разрешенной мощности электрических котлов, режима их работы и лимита потребления электроэнергии</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ГИЭТБ, по согласованию: ОАО "Электрические станции", "НЭСК", "Северэлектро", "Востокэлектро", "Ошэлектро",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графики работы электрокотлов, используемых для отопления и горячего водоснабжения, с обязательным их отключением в часы максимальных нагрузок энергосистемы, и довести их до структурных подразделений, а также обеспечить контроль за их соблюдением в отопительный период под личную ответственность руководителей подразделений</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сентября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местные государственные администрации, Госпогранслужба, по согласованию: органы местного самоуправления, распределительные компании</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аннулировать технические условия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по согласованию: ОАО "Северэлектро", "Востокэлектро", "Ошэлектро",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работу по поэтапному переводу источников теплоснабжения, использующих электроэнергию и природный газ для выработки тепловой энергии, на твердое топливо в регионах, разрабатывающих угольные месторождения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Госпогранслужба, ГП "Кыргызжилкоммунсоюз", местные государственные администрации, по согласованию: мэрии городов Бишкек и Ош, КП "Бишкектеплоэнерго"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промышленные, отопительные и ведомственные котельные к работе в осенне-зимний период 2013/2014 года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Госпогранслужба, ГП "Кыргызжилкоммунсоюз", местные госадминистрации, по согласованию: мэрии городов Бишкек и Ош, КП "Бишкектеплоэнерго"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Рекомендовать ОАО "Северэлектро", "Ошэлектро", "Востокэлектро", "Жалалабатэлектро" совместно с министерствами, аппаратами полномочных представителей ПКР и мэриями городов Бишкек и Ош обеспечить распределение электрической энергии и мощности организациям в пределах величины выделенных лимитов потребления электроэнергии и мощности, установленных приложениями № 4-13</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аппараты полномочных представителей ПКР, по согласованию: ОАО "Северэлектро", "Ошэлектро", "Востокэлектро", "Жалалабатэлектро", мэрии городов Бишкек и Ош</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полном объеме и в приоритетном порядке осуществлять оплату за потребленную бюджетными организациями электрическую, тепловую энергию и природный газ</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местные государственные администрации</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2012/2013 года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2013 года по 1 марта 2014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органы местного самоуправления (по согласованию), ГП "Кыргызкомур", угледобывающие предприятия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координацию и контроль за поставками кыргызских углей на топливные базы и пункты по реализации твердого топлива населению и бюджетным организациям. Представлять соответствующую информацию в Минэнергопром</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начиная с 1 августа 2013 года еженедельно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аппараты полномочных представителей ПКР, ГП "Кыргызкомур", по согласованию: мэрии городов Бишкек и Ош и угледобывающие предприятия</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недоступных для использования другой техники условиях</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"НЭСК", "Северэлектро", "Ошэлектро", "Востокэлектро",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бюджетных потребителей для осуществления ОАО "Кыргызгаз" предварительной оплаты за природный газ согласно условиям контракта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10 числа месяца, следующего за отчетным</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аппараты полномочных представителей ПКР, министерства, по согласованию: мэрии городов Бишкек и Ош, предприятия ТЭК</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постоянную разъяснительную работу среди населения с привлечением средств массовой информации о необходимости проводимых мероприятий по успешному прохождению предстоящего отопительного периода, рациональному и эффективному использованию топлива и энергии, а также энергосбережению и заготовке топлива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аппараты полномочных представителей ПКР, по согласованию: мэрии городов Бишкек и Ош, предприятия ТЭК</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16 </w:t>
      </w:r>
      <w:r>
        <w:rPr>
          <w:rFonts w:ascii="Arial" w:cs="Arial" w:eastAsia="Arial" w:hAnsi="Arial"/>
          <w:sz w:val="24"/>
          <w:szCs w:val="24"/>
        </w:rPr>
        <w:t xml:space="preserve">
 к </w:t>
      </w:r>
      <w:hyperlink w:history="1" r:id="rIdblovpxwzxzszxncl5igo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e_qkx5f5qnmcfhhjangj">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2"/>
        <w:gridCol w:w="576"/>
        <w:gridCol w:w="576"/>
        <w:gridCol w:w="576"/>
        <w:gridCol w:w="576"/>
        <w:gridCol w:w="576"/>
        <w:gridCol w:w="576"/>
        <w:gridCol w:w="711"/>
        <w:gridCol w:w="711"/>
      </w:tblGrid>
      <w:tr>
        <w:tc>
          <w:tcPr>
            <w:tcW w:type="dxa" w:w="530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vMerge w:val="continue"/>
            <w:tcBorders>
              <w:top w:val="single" w:color="CBBF9E" w:sz="4"/>
              <w:left w:val="single" w:color="CBBF9E" w:sz="4"/>
              <w:bottom w:val="single" w:color="CBBF9E" w:sz="4"/>
              <w:right w:val="single" w:color="CBBF9E" w:sz="4"/>
            </w:tcBorders>
          </w:tcP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(млрд. куб.м)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5389,3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2296,2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10120,3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4081,6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5404,9</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5009,3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9545,3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5024,9</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7434,9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13704,4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5235,1</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экспорт электроэнергии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передача электроэнергии КПП,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311,6</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4438,9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1641,3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10783,5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4442,5</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4509,8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6185,2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7693,8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10997,1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4512,9</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2294,6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3119,5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2246,8</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649,3</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961,8</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655,0</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17 </w:t>
      </w:r>
      <w:r>
        <w:rPr>
          <w:rFonts w:ascii="Arial" w:cs="Arial" w:eastAsia="Arial" w:hAnsi="Arial"/>
          <w:sz w:val="24"/>
          <w:szCs w:val="24"/>
        </w:rPr>
        <w:t xml:space="preserve">
 к </w:t>
      </w:r>
      <w:hyperlink w:history="1" r:id="rIdag2ox0e_arpf8xp9hqi2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ЗАДАНИЕ 
 ОАО "Электрические станции" по выработке электроэнергии и мощности на ТЭЦ города Бишкек на 2013 год и I квартал 2014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509"/>
        <w:gridCol w:w="509"/>
        <w:gridCol w:w="509"/>
        <w:gridCol w:w="509"/>
        <w:gridCol w:w="509"/>
        <w:gridCol w:w="509"/>
        <w:gridCol w:w="509"/>
        <w:gridCol w:w="509"/>
        <w:gridCol w:w="509"/>
        <w:gridCol w:w="509"/>
        <w:gridCol w:w="509"/>
        <w:gridCol w:w="509"/>
        <w:gridCol w:w="509"/>
        <w:gridCol w:w="509"/>
        <w:gridCol w:w="509"/>
        <w:gridCol w:w="509"/>
        <w:gridCol w:w="509"/>
        <w:gridCol w:w="508"/>
        <w:gridCol w:w="508"/>
      </w:tblGrid>
      <w:tr>
        <w:tc>
          <w:tcPr>
            <w:tcW w:type="dxa" w:w="5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5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7126"/>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203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18 </w:t>
      </w:r>
      <w:r>
        <w:rPr>
          <w:rFonts w:ascii="Arial" w:cs="Arial" w:eastAsia="Arial" w:hAnsi="Arial"/>
          <w:sz w:val="24"/>
          <w:szCs w:val="24"/>
        </w:rPr>
        <w:t xml:space="preserve">
 к </w:t>
      </w:r>
      <w:hyperlink w:history="1" r:id="rIddljt-mko1qmskkcqz_4w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ЗАДАНИЕ 
 ОАО "Электрические станции", ОАО "НЭС Кыргызстана", распределительным энергокомпаниям и ОАО "Бишкектеплосеть" по подготовке ТЭЦ и ГЭС, электро- и тепловых сетей к эксплуатации в осенне-зимний период 2013 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ktufgnmijkiyhmc5tung">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555"/>
        <w:gridCol w:w="963"/>
        <w:gridCol w:w="794"/>
        <w:gridCol w:w="794"/>
        <w:gridCol w:w="794"/>
        <w:gridCol w:w="794"/>
        <w:gridCol w:w="794"/>
        <w:gridCol w:w="2197"/>
      </w:tblGrid>
      <w:tr>
        <w:tc>
          <w:tcPr>
            <w:tcW w:type="dxa" w:w="4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оборудования</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9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21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3689,84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687,97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43,066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58,085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38/181,1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909/146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146/23,5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277/44,5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191/30,7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94,961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31,438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17,570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шт./MBA</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шт./MBA</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4146,24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1118,28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1050,13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844,13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17,94</w:t>
            </w:r>
          </w:p>
        </w:tc>
        <w:tc>
          <w:tcPr>
            <w:vMerge w:val="continue"/>
            <w:tcBorders>
              <w:top w:val="none" w:color="auto" w:sz="0"/>
              <w:left w:val="none" w:color="auto" w:sz="0"/>
              <w:bottom w:val="single" w:color="CBBF9E" w:sz="4"/>
              <w:right w:val="single" w:color="CBBF9E" w:sz="4"/>
            </w:tcBorders>
          </w:tcP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19 </w:t>
      </w:r>
      <w:r>
        <w:rPr>
          <w:rFonts w:ascii="Arial" w:cs="Arial" w:eastAsia="Arial" w:hAnsi="Arial"/>
          <w:sz w:val="24"/>
          <w:szCs w:val="24"/>
        </w:rPr>
        <w:t xml:space="preserve">
 к </w:t>
      </w:r>
      <w:hyperlink w:history="1" r:id="rIdvitpukt6ydto763psakg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ЗАДАНИЕ 
 ОАО "Северэлектро", ОАО "Востокэлектро", ОАО "Жалалабатэлектро", ОАО "Ошэлектро" по строительству и реконструкции BЛ 0,4-10 кВ, ТП 10/0,4 кВ в 2013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qc_cs8cakug2pnk896fd">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3619"/>
        <w:gridCol w:w="833"/>
        <w:gridCol w:w="645"/>
        <w:gridCol w:w="645"/>
        <w:gridCol w:w="645"/>
        <w:gridCol w:w="645"/>
        <w:gridCol w:w="645"/>
        <w:gridCol w:w="1983"/>
      </w:tblGrid>
      <w:tr>
        <w:tc>
          <w:tcPr>
            <w:tcW w:type="dxa" w:w="5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8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2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9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Бишкек</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Иссык-Кульская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200,692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59,798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Ош</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 МВА</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 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141,077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190,66</w:t>
            </w:r>
          </w:p>
        </w:tc>
        <w:tc>
          <w:tcPr>
            <w:vMerge w:val="continue"/>
            <w:tcBorders>
              <w:top w:val="none" w:color="auto" w:sz="0"/>
              <w:left w:val="none" w:color="auto" w:sz="0"/>
              <w:bottom w:val="single" w:color="CBBF9E" w:sz="4"/>
              <w:right w:val="single" w:color="CBBF9E" w:sz="4"/>
            </w:tcBorders>
          </w:tcP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20 </w:t>
      </w:r>
      <w:r>
        <w:rPr>
          <w:rFonts w:ascii="Arial" w:cs="Arial" w:eastAsia="Arial" w:hAnsi="Arial"/>
          <w:sz w:val="24"/>
          <w:szCs w:val="24"/>
        </w:rPr>
        <w:t xml:space="preserve">
 к </w:t>
      </w:r>
      <w:hyperlink w:history="1" r:id="rIdzn-efemkw1wqltgovfdt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 
 ОАО "Кыргызгаз" по поставке природного газа населению в осенне-зимний период 2013/2014 года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7"/>
        <w:gridCol w:w="2447"/>
        <w:gridCol w:w="688"/>
        <w:gridCol w:w="688"/>
        <w:gridCol w:w="688"/>
        <w:gridCol w:w="688"/>
        <w:gridCol w:w="688"/>
        <w:gridCol w:w="688"/>
        <w:gridCol w:w="688"/>
        <w:gridCol w:w="688"/>
        <w:gridCol w:w="688"/>
      </w:tblGrid>
      <w:tr>
        <w:tc>
          <w:tcPr>
            <w:tcW w:type="dxa" w:w="15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24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поставить во II-IV кв. 2013 года и I кв. 2014 года</w:t>
            </w:r>
          </w:p>
        </w:tc>
        <w:tc>
          <w:tcPr>
            <w:tcW w:type="dxa" w:w="619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поставки (природный газ, млн. куб.м)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сентябрь</w:t>
            </w:r>
          </w:p>
        </w:tc>
        <w:tc>
          <w:tcPr>
            <w:tcW w:type="dxa" w:w="206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206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 том числе: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21 </w:t>
      </w:r>
      <w:r>
        <w:rPr>
          <w:rFonts w:ascii="Arial" w:cs="Arial" w:eastAsia="Arial" w:hAnsi="Arial"/>
          <w:sz w:val="24"/>
          <w:szCs w:val="24"/>
        </w:rPr>
        <w:t xml:space="preserve">
 к </w:t>
      </w:r>
      <w:hyperlink w:history="1" r:id="rIdd_n4oq_vjwff_m5vy3n4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 
 ОАО "Кыргызгаз" по поставке природного газа ГП "Кыргызжилкоммунсоюз" в осенне-зимний период 2013/2014 года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0"/>
        <w:gridCol w:w="2168"/>
        <w:gridCol w:w="729"/>
        <w:gridCol w:w="729"/>
        <w:gridCol w:w="729"/>
        <w:gridCol w:w="729"/>
        <w:gridCol w:w="729"/>
        <w:gridCol w:w="729"/>
        <w:gridCol w:w="729"/>
        <w:gridCol w:w="729"/>
        <w:gridCol w:w="729"/>
      </w:tblGrid>
      <w:tr>
        <w:tc>
          <w:tcPr>
            <w:tcW w:type="dxa" w:w="1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поставить во II-IV кв. 2013 года и I кв. 2014 года</w:t>
            </w:r>
          </w:p>
        </w:tc>
        <w:tc>
          <w:tcPr>
            <w:tcW w:type="dxa" w:w="656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поставки (природный газ, млн. куб.м)</w:t>
            </w:r>
          </w:p>
        </w:tc>
      </w:tr>
      <w:tr>
        <w:tc>
          <w:tcPr>
            <w:vMerge w:val="continue"/>
            <w:tcBorders>
              <w:top w:val="single" w:color="CBBF9E" w:sz="4"/>
              <w:left w:val="single" w:color="CBBF9E" w:sz="4"/>
              <w:bottom w:val="single" w:color="CBBF9E" w:sz="4"/>
              <w:right w:val="single" w:color="CBBF9E" w:sz="4"/>
            </w:tcBorders>
          </w:tcPr>
          <w:p/>
        </w:tc>
        <w:tc>
          <w:tcPr>
            <w:tcW w:type="dxa" w:w="21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2013 года</w:t>
            </w:r>
          </w:p>
        </w:tc>
        <w:tc>
          <w:tcPr>
            <w:tcW w:type="dxa" w:w="7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7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сентябрь</w:t>
            </w:r>
          </w:p>
        </w:tc>
        <w:tc>
          <w:tcPr>
            <w:tcW w:type="dxa" w:w="21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21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севере;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для населения, всего:</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севере;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24 </w:t>
      </w:r>
      <w:r>
        <w:rPr>
          <w:rFonts w:ascii="Arial" w:cs="Arial" w:eastAsia="Arial" w:hAnsi="Arial"/>
          <w:sz w:val="24"/>
          <w:szCs w:val="24"/>
        </w:rPr>
        <w:t xml:space="preserve">
 к </w:t>
      </w:r>
      <w:hyperlink w:history="1" r:id="rId-ijvxig7usfva2wytkww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 
 ГП "Кыргызжилкоммунсоюз" и КП "Бишкектеплоэнерго" и Ошскому МП "Теплоснабжение" на подготовку отопительных котельных к осенне-зимнему периоду 2013/2014 года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81"/>
        <w:gridCol w:w="1673"/>
        <w:gridCol w:w="1081"/>
        <w:gridCol w:w="1081"/>
        <w:gridCol w:w="1081"/>
        <w:gridCol w:w="1081"/>
      </w:tblGrid>
      <w:tr>
        <w:tc>
          <w:tcPr>
            <w:tcW w:type="dxa" w:w="41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1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котельных</w:t>
            </w:r>
          </w:p>
        </w:tc>
        <w:tc>
          <w:tcPr>
            <w:tcW w:type="dxa" w:w="43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газе</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мазуте, солярке</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электроэнергии</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 Бишкек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 в том числе: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 Ош</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bl>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ПЕРЕЧЕНЬ 
 угледобывающих предприятий, закрепленных за областями и районами республики, и предлагаемая оптово-отпускная цена местных углей, без учета транспортных расходов по доставке, на топливные базы и пункты реализации угля для населения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ut4hsuu86rfsanxuff7j">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262"/>
        <w:gridCol w:w="2186"/>
        <w:gridCol w:w="956"/>
        <w:gridCol w:w="956"/>
        <w:gridCol w:w="4387"/>
      </w:tblGrid>
      <w:tr>
        <w:tc>
          <w:tcPr>
            <w:tcW w:type="dxa" w:w="4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 п</w:t>
            </w:r>
          </w:p>
        </w:tc>
        <w:tc>
          <w:tcPr>
            <w:tcW w:type="dxa" w:w="1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Области/районы</w:t>
            </w:r>
          </w:p>
        </w:tc>
        <w:tc>
          <w:tcPr>
            <w:tcW w:type="dxa" w:w="21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баз и пунктов реализации</w:t>
            </w:r>
          </w:p>
        </w:tc>
        <w:tc>
          <w:tcPr>
            <w:tcW w:type="dxa" w:w="19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стоимость угля, сомов</w:t>
            </w:r>
          </w:p>
        </w:tc>
        <w:tc>
          <w:tcPr>
            <w:tcW w:type="dxa" w:w="43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Угольные предприятия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 (сортовой)</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 (рядовой)</w:t>
            </w:r>
          </w:p>
        </w:tc>
        <w:tc>
          <w:tcPr>
            <w:vMerge w:val="continue"/>
            <w:tcBorders>
              <w:top w:val="single" w:color="CBBF9E" w:sz="4"/>
              <w:left w:val="none" w:color="auto" w:sz="0"/>
              <w:bottom w:val="single" w:color="CBBF9E" w:sz="4"/>
              <w:right w:val="single" w:color="CBBF9E" w:sz="4"/>
            </w:tcBorders>
          </w:tcP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"Нарынкомур"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Каракол</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Балыкчы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Тоо-Инвест",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"Ак-Жол 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Too-Инвест",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"Жумгалсуукурулуш"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Нарын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"Пандж Шер",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"Разрез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Бузурманкул-Т"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Тоо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Токмок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"Юнайтедголкомпани"</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Тогуз-Торуский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Джалал-Абад</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Таш-Кумыр</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Майлуу-Суу</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 ОсОО "Алты-Айгыр"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ЧП "Курманбек"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ОсОО "Кум-Бель"</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"Нур", АО "Сулюкташахтакурулуш", ОсОО "Марипов", ОсОО "Ак-Булак"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"Эркин-Кен", ОсОО "Ибрагимов"</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ОсОО "Эркин-Кен"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Кызыл-Кия</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Сулюкта</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"Сулюктакомур", ОсОО "Сулюкташахтакурулуш"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Баткен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"Сулюкташахтакурулуш"</w:t>
            </w:r>
          </w:p>
        </w:tc>
      </w:tr>
    </w:tbl>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r9f27qmgdcifmlefpba">
      <w:r>
        <w:rPr>
          <w:rFonts w:ascii="Arial" w:cs="Arial" w:eastAsia="Arial" w:hAnsi="Arial"/>
          <w:color w:val="132D3F"/>
          <w:sz w:val="16"/>
          <w:szCs w:val="16"/>
          <w:u w:val="single"/>
        </w:rPr>
        <w:t xml:space="preserve">dalil.kg/document/94458</w:t>
      </w:r>
    </w:hyperlink>
  </w:p>
  <w:p>
    <w:pPr>
      <w:spacing w:after="0" w:before="40"/>
      <w:jc w:val="center"/>
    </w:pPr>
    <w:hyperlink w:history="1" r:id="rIdhfn1rzawehq4dghxagu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8mkgvg807tb6ba0bxj8g" Type="http://schemas.openxmlformats.org/officeDocument/2006/relationships/hyperlink" Target="https://dalil.kg/document/96479" TargetMode="External"/><Relationship Id="rIdab9mltltvelfl-uu6riq1" Type="http://schemas.openxmlformats.org/officeDocument/2006/relationships/hyperlink" Target="https://dalil.kg/document/94974" TargetMode="External"/><Relationship Id="rIdl6ggruodwwslrsdio5egy" Type="http://schemas.openxmlformats.org/officeDocument/2006/relationships/hyperlink" Target="https://dalil.kg/document/94458#&#1088;1" TargetMode="External"/><Relationship Id="rId5uz8jkklrsryrvqbc8kvs" Type="http://schemas.openxmlformats.org/officeDocument/2006/relationships/hyperlink" Target="https://dalil.kg/document/94551" TargetMode="External"/><Relationship Id="rId9ppvvz5zn6nl3zyt1j7bj" Type="http://schemas.openxmlformats.org/officeDocument/2006/relationships/hyperlink" Target="https://dalil.kg/document/94458#&#1088;2" TargetMode="External"/><Relationship Id="rIdb2-4rndgd9ssaoykk3jz5" Type="http://schemas.openxmlformats.org/officeDocument/2006/relationships/hyperlink" Target="https://dalil.kg/document/94458#&#1088;3" TargetMode="External"/><Relationship Id="rIdq0gh16u0pwdr0kdmxftn3" Type="http://schemas.openxmlformats.org/officeDocument/2006/relationships/hyperlink" Target="https://dalil.kg/document/94458#&#1088;4" TargetMode="External"/><Relationship Id="rIdlyqzmovdwvy1pl_xb5ccf" Type="http://schemas.openxmlformats.org/officeDocument/2006/relationships/hyperlink" Target="https://dalil.kg/document/203817" TargetMode="External"/><Relationship Id="rIdp00neebwpwpemenlax-vo" Type="http://schemas.openxmlformats.org/officeDocument/2006/relationships/hyperlink" Target="https://dalil.kg/document/94974" TargetMode="External"/><Relationship Id="rId7cb6mihc8i3ww8jwewsj8" Type="http://schemas.openxmlformats.org/officeDocument/2006/relationships/hyperlink" Target="https://dalil.kg/document/94458#&#1088;4" TargetMode="External"/><Relationship Id="rIdtlpsggon_vwe7vd7xkqll" Type="http://schemas.openxmlformats.org/officeDocument/2006/relationships/hyperlink" Target="https://dalil.kg/document/94458#&#1088;14" TargetMode="External"/><Relationship Id="rIdeajejqbvtm7k3xq8obzgp" Type="http://schemas.openxmlformats.org/officeDocument/2006/relationships/hyperlink" Target="https://dalil.kg/document/94458#&#1088;4" TargetMode="External"/><Relationship Id="rIdt5fciswqxu0u7nyi5ivhh" Type="http://schemas.openxmlformats.org/officeDocument/2006/relationships/hyperlink" Target="https://dalil.kg/document/94974" TargetMode="External"/><Relationship Id="rIdhn2fmwz6jimva6ox5jpmp" Type="http://schemas.openxmlformats.org/officeDocument/2006/relationships/hyperlink" Target="https://dalil.kg/document/93899" TargetMode="External"/><Relationship Id="rIdckqt6kb4n1vzfw7guwlgc" Type="http://schemas.openxmlformats.org/officeDocument/2006/relationships/hyperlink" Target="https://dalil.kg/document/93973" TargetMode="External"/><Relationship Id="rIdhpfnb2mgzyqejanbvs2gw" Type="http://schemas.openxmlformats.org/officeDocument/2006/relationships/hyperlink" Target="https://dalil.kg/document/94458" TargetMode="External"/><Relationship Id="rIdhncmn5ezqgdet45tikivb" Type="http://schemas.openxmlformats.org/officeDocument/2006/relationships/hyperlink" Target="https://dalil.kg/document/202913" TargetMode="External"/><Relationship Id="rIdlre-xjzygyfm1amt4nv8r" Type="http://schemas.openxmlformats.org/officeDocument/2006/relationships/hyperlink" Target="https://dalil.kg/document/94458" TargetMode="External"/><Relationship Id="rIdoevbfrf5ibgodxayiwm_m" Type="http://schemas.openxmlformats.org/officeDocument/2006/relationships/hyperlink" Target="https://dalil.kg/document/94974" TargetMode="External"/><Relationship Id="rIdblovpxwzxzszxncl5igoz" Type="http://schemas.openxmlformats.org/officeDocument/2006/relationships/hyperlink" Target="https://dalil.kg/document/94458" TargetMode="External"/><Relationship Id="rId3e_qkx5f5qnmcfhhjangj" Type="http://schemas.openxmlformats.org/officeDocument/2006/relationships/hyperlink" Target="https://dalil.kg/document/94974" TargetMode="External"/><Relationship Id="rIdag2ox0e_arpf8xp9hqi21" Type="http://schemas.openxmlformats.org/officeDocument/2006/relationships/hyperlink" Target="https://dalil.kg/document/94458" TargetMode="External"/><Relationship Id="rIddljt-mko1qmskkcqz_4wp" Type="http://schemas.openxmlformats.org/officeDocument/2006/relationships/hyperlink" Target="https://dalil.kg/document/94458" TargetMode="External"/><Relationship Id="rIdgktufgnmijkiyhmc5tung" Type="http://schemas.openxmlformats.org/officeDocument/2006/relationships/hyperlink" Target="https://dalil.kg/document/94974" TargetMode="External"/><Relationship Id="rIdvitpukt6ydto763psakgf" Type="http://schemas.openxmlformats.org/officeDocument/2006/relationships/hyperlink" Target="https://dalil.kg/document/94458" TargetMode="External"/><Relationship Id="rIdeqc_cs8cakug2pnk896fd" Type="http://schemas.openxmlformats.org/officeDocument/2006/relationships/hyperlink" Target="https://dalil.kg/document/94974" TargetMode="External"/><Relationship Id="rIdzn-efemkw1wqltgovfdtw" Type="http://schemas.openxmlformats.org/officeDocument/2006/relationships/hyperlink" Target="https://dalil.kg/document/94458" TargetMode="External"/><Relationship Id="rIdd_n4oq_vjwff_m5vy3n4k" Type="http://schemas.openxmlformats.org/officeDocument/2006/relationships/hyperlink" Target="https://dalil.kg/document/94458" TargetMode="External"/><Relationship Id="rId-ijvxig7usfva2wytkwwo" Type="http://schemas.openxmlformats.org/officeDocument/2006/relationships/hyperlink" Target="https://dalil.kg/document/94458" TargetMode="External"/><Relationship Id="rIdaut4hsuu86rfsanxuff7j" Type="http://schemas.openxmlformats.org/officeDocument/2006/relationships/hyperlink" Target="https://dalil.kg/document/94974"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r9f27qmgdcifmlefpba" Type="http://schemas.openxmlformats.org/officeDocument/2006/relationships/hyperlink" Target="https://dalil.kg/document/94458" TargetMode="External"/><Relationship Id="rIdhfn1rzawehq4dghxagu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2026-09-23T17:28:35.153Z</dcterms:created>
  <dcterms:modified xsi:type="dcterms:W3CDTF">2026-09-23T17:28:35.153Z</dcterms:modified>
</cp:coreProperties>
</file>

<file path=docProps/custom.xml><?xml version="1.0" encoding="utf-8"?>
<Properties xmlns="http://schemas.openxmlformats.org/officeDocument/2006/custom-properties" xmlns:vt="http://schemas.openxmlformats.org/officeDocument/2006/docPropsVTypes"/>
</file>