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fcghiz2smkjk6hq1y2uf-">
        <w:r>
          <w:rPr>
            <w:rFonts w:ascii="Arial" w:cs="Arial" w:eastAsia="Arial" w:hAnsi="Arial"/>
            <w:color w:val="1D4ED8"/>
            <w:sz w:val="24"/>
            <w:szCs w:val="24"/>
            <w:u w:val="single"/>
          </w:rPr>
          <w:t xml:space="preserve">14 августа 2014 года № 469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июля 2013 года № 408</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2014 год и 2015-2016 годы» </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2014 год и 2015-2016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futn5alehqxy8bandlhio">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2014 год и прогнозе на 2015-2016 годы взять за основу макроэкономические показатели развития Кыргызской Республики на 2014 год и 2015-2016 годы.</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Правительства Кыргызской Республики в областях, мэриям городов Бишкек и Ош:</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2014 год;</w:t>
      </w:r>
    </w:p>
    <w:p>
      <w:pPr>
        <w:spacing w:after="120"/>
        <w:jc w:val="both"/>
      </w:pPr>
      <w:r>
        <w:rPr>
          <w:rFonts w:ascii="Arial" w:cs="Arial" w:eastAsia="Arial" w:hAnsi="Arial"/>
          <w:sz w:val="24"/>
          <w:szCs w:val="24"/>
        </w:rPr>
        <w:t xml:space="preserve">- ежемесячно, не позднее 15 числа месяца, следующего за отчетным месяцем,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2014 году.</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 комитетом, административными ведомствами, аппаратами полномочных представителей Правительства Кыргызской Республики в областях, мэриями городов Бишкек,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2014 году;</w:t>
      </w:r>
    </w:p>
    <w:p>
      <w:pPr>
        <w:spacing w:after="120"/>
        <w:jc w:val="both"/>
      </w:pPr>
      <w:r>
        <w:rPr>
          <w:rFonts w:ascii="Arial" w:cs="Arial" w:eastAsia="Arial" w:hAnsi="Arial"/>
          <w:sz w:val="24"/>
          <w:szCs w:val="24"/>
        </w:rPr>
        <w:t xml:space="preserve">- опубликовать Прогноз социально-экономического развития Кыргызской Республики на 2014 год и 2015-2016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Признать утратившими силу постановления Правительства Кыргызской Республики:</w:t>
      </w:r>
    </w:p>
    <w:p>
      <w:pPr>
        <w:spacing w:after="120"/>
        <w:jc w:val="both"/>
      </w:pPr>
      <w:r>
        <w:rPr>
          <w:rFonts w:ascii="Arial" w:cs="Arial" w:eastAsia="Arial" w:hAnsi="Arial"/>
          <w:sz w:val="24"/>
          <w:szCs w:val="24"/>
        </w:rPr>
        <w:t xml:space="preserve">-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 «О внесении изменений и дополнений в </w:t>
      </w:r>
      <w:hyperlink w:history="1" r:id="rId7ork-nrwerw9hqqxfwd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 от 25 октября 2011 года № 668;</w:t>
      </w:r>
    </w:p>
    <w:p>
      <w:pPr>
        <w:spacing w:after="120"/>
        <w:jc w:val="both"/>
      </w:pPr>
      <w:r>
        <w:rPr>
          <w:rFonts w:ascii="Arial" w:cs="Arial" w:eastAsia="Arial" w:hAnsi="Arial"/>
          <w:sz w:val="24"/>
          <w:szCs w:val="24"/>
        </w:rPr>
        <w:t xml:space="preserve">- «О внесении изменений в </w:t>
      </w:r>
      <w:hyperlink w:history="1" r:id="rIdsc9fe7spgrmjkph9x5r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 от 25 января 2012 года № 53;</w:t>
      </w:r>
    </w:p>
    <w:p>
      <w:pPr>
        <w:spacing w:after="120"/>
        <w:jc w:val="both"/>
      </w:pPr>
      <w:r>
        <w:rPr>
          <w:rFonts w:ascii="Arial" w:cs="Arial" w:eastAsia="Arial" w:hAnsi="Arial"/>
          <w:sz w:val="24"/>
          <w:szCs w:val="24"/>
        </w:rPr>
        <w:t xml:space="preserve">- «О внесении изменений в </w:t>
      </w:r>
      <w:hyperlink w:history="1" r:id="rIdjhoktfaannifmcvymuf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 от 15 июня 2012 года № 419.</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whnzt7cm8s1zxij3nse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2013 года № 408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прогноз рассчитан на основе анализа тенденций развития экономики по итогам 2012 года, текущей экономической ситуации по предварительным итогам социально-экономического развития Кыргызской Республики за I квартал 2013 года и оценки ожидаемых показателей социально-экономического развития страны в 2013 году. Скорректированы прогнозные параметры социально-экономического развития Кыргызской Республики на 2013 и 2014 годы на основе уточнения и конкретизации тенденций и предпосылок, выявления имеющихся ресурсов и возможных факторов риска.</w:t>
      </w:r>
    </w:p>
    <w:p>
      <w:pPr>
        <w:spacing w:after="120"/>
        <w:jc w:val="both"/>
      </w:pPr>
      <w:r>
        <w:rPr>
          <w:rFonts w:ascii="Arial" w:cs="Arial" w:eastAsia="Arial" w:hAnsi="Arial"/>
          <w:sz w:val="24"/>
          <w:szCs w:val="24"/>
        </w:rPr>
        <w:t xml:space="preserve">Определены основные направления развития ключевых секторов экономики на 2014 год, включая детализированное описание их прогнозных значений, описаны перспективы развития экономики страны в 2015-2016 годах,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2014 год разработан с учетом ориентиров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программ Правительства Кыргызской Республики и является основой для разработки проекта государственного бюджета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Обзор макроэкономической ситуации за 2012 год и итогов социально-экономического развития Кыргызской Республики за I квартал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развитие Кыргызской Республики в 2012 году происходило в условиях нарастающей неопределенности на мировых рынках, неустойчивости мировой экономики, которая характеризовалась замедлением экономического роста и долговым кризисом в ряде стран еврозоны, что создавало риски для всех участников рынка, в том числе и для основных торговых партнеров - России, Казахстана и Китая. При этом, негативное влияние внутренних факторов на экономику страны в 2012 году оказалось более значимым, чем воздействие внешних факторов.</w:t>
      </w:r>
    </w:p>
    <w:p>
      <w:pPr>
        <w:spacing w:after="120"/>
        <w:jc w:val="both"/>
      </w:pPr>
      <w:r>
        <w:rPr>
          <w:rFonts w:ascii="Arial" w:cs="Arial" w:eastAsia="Arial" w:hAnsi="Arial"/>
          <w:sz w:val="24"/>
          <w:szCs w:val="24"/>
        </w:rPr>
        <w:t xml:space="preserve">По итогам 2012 года объем валового внутреннего продукта (ВВП), по предварительной оценке Национального статистического комитета Кыргызской Республики, сложился в сумме 304,4 млрд. сомов и реальное сокращение производства в экономике составило-0,9%, против реального прироста 6,0% в 2011 году. Без учета предприятий по разработке месторождения Кумтор, реальный прирост ВВП составил 5,0%, за 2011 год аналогичный показатель составлял 6,3%. Дефлятор ВВП сложился на уровне 107,4%. В расчете на душу населения объем ВВП составил 56,9 тыс. сомов и по сравнению с 2011 годом сократился на 2,6%.</w:t>
      </w:r>
    </w:p>
    <w:p>
      <w:pPr>
        <w:spacing w:after="120"/>
        <w:jc w:val="both"/>
      </w:pPr>
      <w:r>
        <w:rPr>
          <w:rFonts w:ascii="Arial" w:cs="Arial" w:eastAsia="Arial" w:hAnsi="Arial"/>
          <w:sz w:val="24"/>
          <w:szCs w:val="24"/>
        </w:rPr>
        <w:t xml:space="preserve">Главной причиной экономического спада в Кыргызской Республике стало фактическое снижение производства золота на половину прогнозируемого уровня из-за влияния геологических факторов на руднике Кумтор, а также негативного воздействия природно-климатических условий на аграрный сектор. Отрицательный вклад в формирование ВВП со стороны промышленного производства оценивается на уровне (-) 4,6 процентного пункта.</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2,8 процентного пункта. Реальный прирост сферы услуг с начала года составил 6,1%, удельный вес ее в структуре производства ВВП составил 46,6%.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и темпы роста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4"/>
        <w:gridCol w:w="1079"/>
        <w:gridCol w:w="1079"/>
        <w:gridCol w:w="1079"/>
        <w:gridCol w:w="1082"/>
        <w:gridCol w:w="1082"/>
        <w:gridCol w:w="1082"/>
        <w:gridCol w:w="1082"/>
      </w:tblGrid>
      <w:tr>
        <w:tc>
          <w:tcPr>
            <w:tcW w:type="dxa" w:w="26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(факт.)</w:t>
            </w:r>
          </w:p>
        </w:tc>
        <w:tc>
          <w:tcPr>
            <w:tcW w:type="dxa" w:w="43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(предв. факт.)</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285989,1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47384,9</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53190,1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64308,2</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51180,4</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14078,3</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17234,2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128650,1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141887,2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31567,6</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40858,2</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Инфляционное давление в 2012 году сохранилось, его основными факторами были неустойчивость ситуации на мировых товарно-сырьевых рынках и рост бюджетного дефицита. Среднедневной уровень избыточных резервов банковской системы в 2012 году вырос до 2,1 млрд., сомов с уровня 1,6 млрд. сомов в 2011 году. В этой связи Национальный банк Кыргызской Республики (далее - НБКР) проводил жесткую денежно-кредитную политику. В течение года НБКР, в целях ограничения монетарной составляющей инфляции, увеличивал объемы операций по стерилизации избыточной ликвидности как посредством продажи нот НБКР, так и через продажу государственных ценных бумаг на условиях репо. Так, объем нот НБКР в обращении вырос с 1,4 млрд. сомов на конец 2011 года до 3,1 млрд. сомов на конец 2012 года, объем ГЦБ в обращении, проданных на условиях репо, вырос с 0,2 млрд. сомов на конец 2011 года до 0,8 млрд. сомов на конец 2012 года.</w:t>
      </w:r>
    </w:p>
    <w:p>
      <w:pPr>
        <w:spacing w:after="120"/>
        <w:jc w:val="both"/>
      </w:pPr>
      <w:r>
        <w:rPr>
          <w:rFonts w:ascii="Arial" w:cs="Arial" w:eastAsia="Arial" w:hAnsi="Arial"/>
          <w:sz w:val="24"/>
          <w:szCs w:val="24"/>
        </w:rPr>
        <w:t xml:space="preserve">Прирост индекса потребительских цен, характеризующий уровень'' инфляции, с начала -2012 года составил 7,5% (декабрь 2012 года к декабрю 2011 года), за аналогичный период 2011 года - 5,7%. Среднегодовая инфляция составила 2,8%, в то время как аналогичный показатель 2011 года составлял 16,6%.</w:t>
      </w:r>
    </w:p>
    <w:p>
      <w:pPr>
        <w:spacing w:after="120"/>
        <w:jc w:val="both"/>
      </w:pPr>
      <w:r>
        <w:rPr>
          <w:rFonts w:ascii="Arial" w:cs="Arial" w:eastAsia="Arial" w:hAnsi="Arial"/>
          <w:sz w:val="24"/>
          <w:szCs w:val="24"/>
        </w:rPr>
        <w:t xml:space="preserve">Учетная ставка за год снизилась с 13,61% до 2,64%. В 2012 году прирост кредита в экономику составил 26,2%, при этом кредитование в национальной валюте увеличилось на 27,9%, а в иностранной валюте - на 24,6% (в 2011 году - на 21,9% и 19,9%, соответственно).</w:t>
      </w:r>
    </w:p>
    <w:p>
      <w:pPr>
        <w:spacing w:after="120"/>
        <w:jc w:val="both"/>
      </w:pPr>
      <w:r>
        <w:rPr>
          <w:rFonts w:ascii="Arial" w:cs="Arial" w:eastAsia="Arial" w:hAnsi="Arial"/>
          <w:sz w:val="24"/>
          <w:szCs w:val="24"/>
        </w:rPr>
        <w:t xml:space="preserve">В рамках государственной программы поддержки сектора сельского хозяйства «Доступные кредиты фермерам (ДКФ)-2» в 2012 году было выдано 6,3 тыс. льготных кредитов на общую сумму 700,4 млн. сомов из 1 млрд. сомов, выделенных на данные цели средств, В долевом выражении кредиты по проекту ДКФ-2 заняли 1,8% в общем объеме выданных кредитов за рассматриваемый период.</w:t>
      </w:r>
    </w:p>
    <w:p>
      <w:pPr>
        <w:spacing w:after="120"/>
        <w:jc w:val="both"/>
      </w:pPr>
      <w:r>
        <w:rPr>
          <w:rFonts w:ascii="Arial" w:cs="Arial" w:eastAsia="Arial" w:hAnsi="Arial"/>
          <w:sz w:val="24"/>
          <w:szCs w:val="24"/>
        </w:rPr>
        <w:t xml:space="preserve">Денежная база по результатам года сложилась на уровне 64,5 млрд. сомов, увеличившись на 17,7% (в 2011 году прирост денежной базы составил 12,8%). Объем широкой денежной массы М2Х за 2012 год увеличился на 23,8%, составив 98,5 млрд. сомов (в 2011 году - на 14,9%).</w:t>
      </w:r>
    </w:p>
    <w:p>
      <w:pPr>
        <w:spacing w:after="120"/>
        <w:jc w:val="both"/>
      </w:pPr>
      <w:r>
        <w:rPr>
          <w:rFonts w:ascii="Arial" w:cs="Arial" w:eastAsia="Arial" w:hAnsi="Arial"/>
          <w:sz w:val="24"/>
          <w:szCs w:val="24"/>
        </w:rPr>
        <w:t xml:space="preserve">В 2012 году на межбанковском валютном рынке спрос и предложение иностранной валюты были во многом сбалансированы, что позволило НБКР снизить свое присутствие на валютном рынке. Так, валовой объем валютных интервенций за 2012 год составил 47,9 млн. долларов США, тогда как в 2011 году - 401,6 млн. долларов США. На конец 2012 года обменный курс доллара США по отношению к сому с начала года повысился на 1,97% (в 2011 году наблюдалось снижение обменного курса на 1,30%).</w:t>
      </w:r>
    </w:p>
    <w:p>
      <w:pPr>
        <w:spacing w:after="120"/>
        <w:jc w:val="both"/>
      </w:pPr>
      <w:r>
        <w:rPr>
          <w:rFonts w:ascii="Arial" w:cs="Arial" w:eastAsia="Arial" w:hAnsi="Arial"/>
          <w:sz w:val="24"/>
          <w:szCs w:val="24"/>
        </w:rPr>
        <w:t xml:space="preserve">Уровень капитализации экономики повысился с 16,6% в 2011 году до 20,6% в 2012 году, в основном, за счет увеличения объемов иностранных кредитов - в 1,5 раза, а также прямых иностранных инвестиций - в 2 раза.</w:t>
      </w:r>
    </w:p>
    <w:p>
      <w:pPr>
        <w:spacing w:after="120"/>
        <w:jc w:val="both"/>
      </w:pPr>
      <w:r>
        <w:rPr>
          <w:rFonts w:ascii="Arial" w:cs="Arial" w:eastAsia="Arial" w:hAnsi="Arial"/>
          <w:sz w:val="24"/>
          <w:szCs w:val="24"/>
        </w:rPr>
        <w:t xml:space="preserve">Особенностью 2012 года оставался высокий уровень потребления населения. Относительно уверенный рост потребительских расходов в 2012 году на 17,3% обеспечил снижение нормы сбережения домашних хозяйств и рост заработной платы. Доля частного потребления выросла и составила 97,5% (табл. 2) за счет роста среднемесячной номинальной заработной платы на 19,2%, или реального прироста на 16,0%, увеличения притока денежных переводов физических лиц на 17,5%, а также ускорения темпов потребительского кредитования на 26,0%, что привело к повышению его доли с 0,6% до 10,9%.</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19,8% против 18,2% в 2011 году, где рост доли, в основном, связан с повышением оплаты труда работников социальной сферы и силовых структур.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1"/>
        <w:gridCol w:w="2143"/>
        <w:gridCol w:w="2143"/>
      </w:tblGrid>
      <w:tr>
        <w:tc>
          <w:tcPr>
            <w:tcW w:type="dxa" w:w="58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внешнеторгового оборота, характеризующий показатель открытости экономики страны, за 2012 год составил 7267,7 млн. долларов США, что выше уровня 2011 года на 11,8%, в том числе экспорт - 1893,8 млн. долларов США (снижение на 15,5%), импорт - 5373,9 млн. долларов США (рост на 26,1%). Экспортные поставки за 2012 год по сравнению с 2011 годом уменьшились за счет сокращения экспорта золота в 1,8 раза из-за снижения объемов производства в металлургическом производстве. Без учета золота, объем экспорта за 2012 год увеличился на 7,7% и составил 1331,5 млн. долларов США.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3480,1 млн., долларов США, что выше по сравнению с 2011 годом на 72,4%. Это связано с тем, что в структуре импорта почти 40%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увеличилось с (-) 27,1% 2011 году до (-) 50,2% в 2012 году.</w:t>
      </w:r>
    </w:p>
    <w:p>
      <w:pPr>
        <w:spacing w:after="120"/>
        <w:jc w:val="both"/>
      </w:pPr>
      <w:r>
        <w:rPr>
          <w:rFonts w:ascii="Arial" w:cs="Arial" w:eastAsia="Arial" w:hAnsi="Arial"/>
          <w:sz w:val="24"/>
          <w:szCs w:val="24"/>
        </w:rPr>
        <w:t xml:space="preserve">Общие доходы бюджета возросли на 12,1% по сравнению с показателями 2011 года и составили 86,8 млрд. сомов, доля к ВВП - 28,5%. В соответствии с установленными параметрами на 2012 год обеспечено полное и своевременное финансирование социальных гарантий государства (законы Кыргызской Республики «О республиканском бюджете Кыргызской Республики на 2012 год и прогнозе на 2013-2014 годы» и «О бюджете Социального фонда Кыргызской Республики на 2012 год и прогнозе на 2013-2014 годы»).</w:t>
      </w:r>
    </w:p>
    <w:p>
      <w:pPr>
        <w:spacing w:after="120"/>
        <w:jc w:val="both"/>
      </w:pPr>
      <w:r>
        <w:rPr>
          <w:rFonts w:ascii="Arial" w:cs="Arial" w:eastAsia="Arial" w:hAnsi="Arial"/>
          <w:sz w:val="24"/>
          <w:szCs w:val="24"/>
        </w:rPr>
        <w:t xml:space="preserve">С 1 ноября 2012 года средний размер пенсии составил 4270 сомов, с учетом компенсационных выплат за электроэнергию. Двухэтапное повышение пенсии в 2012 году позволило увеличить ее по сравнению с прошлым годом на 13,5%, а рост составил 105,8%. По итогам 2012 года средний размер пенсии с учетом компенсаций за электроэнергию составил 4192 сома.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2012 году составила 11090 сомов и по сравнению с 2011 годом увеличилась на 19,2%.</w:t>
      </w:r>
    </w:p>
    <w:p>
      <w:pPr>
        <w:spacing w:after="120"/>
        <w:jc w:val="both"/>
      </w:pPr>
      <w:r>
        <w:rPr>
          <w:rFonts w:ascii="Arial" w:cs="Arial" w:eastAsia="Arial" w:hAnsi="Arial"/>
          <w:sz w:val="24"/>
          <w:szCs w:val="24"/>
        </w:rPr>
        <w:t xml:space="preserve">В среднем за 2012 год прожиточный минимум оказался на уровне 4341,2 сома. Средний размер заработной платы почти в 2,5 раза покрывает величину прожиточного минимума.</w:t>
      </w:r>
    </w:p>
    <w:p>
      <w:pPr>
        <w:spacing w:after="120"/>
        <w:jc w:val="both"/>
      </w:pPr>
      <w:r>
        <w:rPr>
          <w:rFonts w:ascii="Arial" w:cs="Arial" w:eastAsia="Arial" w:hAnsi="Arial"/>
          <w:sz w:val="24"/>
          <w:szCs w:val="24"/>
        </w:rPr>
        <w:t xml:space="preserve">За 2012 год удельный вес расходов из республиканского бюджета на социальную сферу составил 45,2% (удельный вес за 2011 год составил 40,1%).</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2012 год составил 20 232,1 млн. сомов (6,6% к ВВП).</w:t>
      </w:r>
    </w:p>
    <w:p>
      <w:pPr>
        <w:spacing w:after="120"/>
        <w:jc w:val="both"/>
      </w:pPr>
      <w:r>
        <w:rPr>
          <w:rFonts w:ascii="Arial" w:cs="Arial" w:eastAsia="Arial" w:hAnsi="Arial"/>
          <w:sz w:val="24"/>
          <w:szCs w:val="24"/>
        </w:rPr>
        <w:t xml:space="preserve">Общий уровень безработицы за 2012 год не изменился, составив 8,4%.</w:t>
      </w:r>
    </w:p>
    <w:p>
      <w:pPr>
        <w:spacing w:after="120"/>
        <w:jc w:val="both"/>
      </w:pPr>
      <w:r>
        <w:rPr>
          <w:rFonts w:ascii="Arial" w:cs="Arial" w:eastAsia="Arial" w:hAnsi="Arial"/>
          <w:sz w:val="24"/>
          <w:szCs w:val="24"/>
        </w:rPr>
        <w:t xml:space="preserve">Демографическая ситуация в 2012 году характеризовалась значительным снижением внешней миграционной активности населения. Так, в республику на постоянное место жительства прибыло 5532 чел., выбыло 13019 чел., миграционный отток составил (-) 7487 чел. По-прежнему, наиболее высокая интенсивность выбытия по внешней миграции отмечается в Чуйской (55,8 чел. на 10 тыс. жителей) и Таласской (23,3 чел. на 10 тыс. жителей) областях, а также в гор. Бишкек (37,6 чел. на 10 тыс., жителей).</w:t>
      </w:r>
    </w:p>
    <w:p>
      <w:pPr>
        <w:spacing w:after="120"/>
        <w:jc w:val="both"/>
      </w:pPr>
      <w:r>
        <w:rPr>
          <w:rFonts w:ascii="Arial" w:cs="Arial" w:eastAsia="Arial" w:hAnsi="Arial"/>
          <w:sz w:val="24"/>
          <w:szCs w:val="24"/>
        </w:rPr>
        <w:t xml:space="preserve">Объем трансфертов от деятельности трудовых мигрантов имеет тенденцию роста с 2010 года, и в 2012 году чистый приток денежных переводов составил 1768,5 млн. долларов США2, где основная доля поступивших переводов приходится на Российскую Федерацию (90,0%).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 российского миграционного законодательства.</w:t>
      </w:r>
    </w:p>
    <w:p>
      <w:pPr>
        <w:spacing w:after="120"/>
        <w:jc w:val="both"/>
      </w:pPr>
      <w:r>
        <w:rPr>
          <w:rFonts w:ascii="Arial" w:cs="Arial" w:eastAsia="Arial" w:hAnsi="Arial"/>
          <w:sz w:val="24"/>
          <w:szCs w:val="24"/>
        </w:rPr>
        <w:t xml:space="preserve">В 2012 году основные действия были сфокусированы на снятии барьеров и улучшении деловой среды для бизнеса, формировании и принятии новых нормативных правовых актов для беспрепятственного развития бизнеса и притока иностранного капитала в страну. Для этого сокращено свыше 113 видов лицензий и разрешений. Введена норма «молчание-знак согласия», регламентирующая действия государственных органов-лицензиаров. Значительные реформы проведены и в сфере проверок: количество контролирующих органов сокращено с 21 до 12, в два раза сократилось количество проведенных проверок (с 24,4 тыс. в 2011 году до 13,5 тыс. проверок в 2012 году), в два раза сокращены сроки проведения плановых проверок (с 30 до 15 - для юридических лиц) и 5 -для физических лиц), в сфере регулирования государственных услуг количество услуг уменьшено с 20 тысяч до 389.</w:t>
      </w:r>
    </w:p>
    <w:p>
      <w:pPr>
        <w:spacing w:after="120"/>
        <w:jc w:val="both"/>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Закон Кыргызской Республики «О введении безвизового режима для граждан некоторых государств, сроком до 60 дней», которым введен безвизовый режим для граждан 44 государств. Кроме того, открыты 14 новых авиарейсов в Кыргызстан.</w:t>
      </w:r>
    </w:p>
    <w:p>
      <w:pPr>
        <w:spacing w:after="120"/>
        <w:jc w:val="both"/>
      </w:pPr>
      <w:r>
        <w:rPr>
          <w:rFonts w:ascii="Arial" w:cs="Arial" w:eastAsia="Arial" w:hAnsi="Arial"/>
          <w:sz w:val="24"/>
          <w:szCs w:val="24"/>
        </w:rPr>
        <w:t xml:space="preserve">В целях совершенствования фискальной политики:</w:t>
      </w:r>
    </w:p>
    <w:p>
      <w:pPr>
        <w:spacing w:after="120"/>
        <w:jc w:val="both"/>
      </w:pPr>
      <w:r>
        <w:rPr>
          <w:rFonts w:ascii="Arial" w:cs="Arial" w:eastAsia="Arial" w:hAnsi="Arial"/>
          <w:sz w:val="24"/>
          <w:szCs w:val="24"/>
        </w:rPr>
        <w:t xml:space="preserve">- разработан проект Закона Кыргызской Республики, предусматривающий передачу органам местного самоуправления функций администрирования местных налогов и сборов, а также отдельных общегосударственных налогов;</w:t>
      </w:r>
    </w:p>
    <w:p>
      <w:pPr>
        <w:spacing w:after="120"/>
        <w:jc w:val="both"/>
      </w:pPr>
      <w:r>
        <w:rPr>
          <w:rFonts w:ascii="Arial" w:cs="Arial" w:eastAsia="Arial" w:hAnsi="Arial"/>
          <w:sz w:val="24"/>
          <w:szCs w:val="24"/>
        </w:rPr>
        <w:t xml:space="preserve">- продлен еще на три - года срок действующих налоговых послаблений по НДС предприятиям, занимающимся переработкой сельскохозяйственной продукции;</w:t>
      </w:r>
    </w:p>
    <w:p>
      <w:pPr>
        <w:spacing w:after="120"/>
        <w:jc w:val="both"/>
      </w:pPr>
      <w:r>
        <w:rPr>
          <w:rFonts w:ascii="Arial" w:cs="Arial" w:eastAsia="Arial" w:hAnsi="Arial"/>
          <w:sz w:val="24"/>
          <w:szCs w:val="24"/>
        </w:rPr>
        <w:t xml:space="preserve">- создана общая основа по администрированию страховых взносов и налогов;</w:t>
      </w:r>
    </w:p>
    <w:p>
      <w:pPr>
        <w:spacing w:after="120"/>
        <w:jc w:val="both"/>
      </w:pPr>
      <w:r>
        <w:rPr>
          <w:rFonts w:ascii="Arial" w:cs="Arial" w:eastAsia="Arial" w:hAnsi="Arial"/>
          <w:sz w:val="24"/>
          <w:szCs w:val="24"/>
        </w:rPr>
        <w:t xml:space="preserve">- упрощено ведение учета для субъектов малого и среднего предпринимательства;</w:t>
      </w:r>
    </w:p>
    <w:p>
      <w:pPr>
        <w:spacing w:after="120"/>
        <w:jc w:val="both"/>
      </w:pPr>
      <w:r>
        <w:rPr>
          <w:rFonts w:ascii="Arial" w:cs="Arial" w:eastAsia="Arial" w:hAnsi="Arial"/>
          <w:sz w:val="24"/>
          <w:szCs w:val="24"/>
        </w:rPr>
        <w:t xml:space="preserve">- созданы благоприятные условия для лизинговых компаний и операций, что позволит обновить основные фонды;</w:t>
      </w:r>
    </w:p>
    <w:p>
      <w:pPr>
        <w:spacing w:after="120"/>
        <w:jc w:val="both"/>
      </w:pPr>
      <w:r>
        <w:rPr>
          <w:rFonts w:ascii="Arial" w:cs="Arial" w:eastAsia="Arial" w:hAnsi="Arial"/>
          <w:sz w:val="24"/>
          <w:szCs w:val="24"/>
        </w:rPr>
        <w:t xml:space="preserve">- 59 предприятий освобождены от налога на прибыль, что оценивается как положительная мера для ведения бизнеса.</w:t>
      </w:r>
    </w:p>
    <w:p>
      <w:pPr>
        <w:spacing w:after="120"/>
        <w:jc w:val="both"/>
      </w:pPr>
      <w:r>
        <w:rPr>
          <w:rFonts w:ascii="Arial" w:cs="Arial" w:eastAsia="Arial" w:hAnsi="Arial"/>
          <w:sz w:val="24"/>
          <w:szCs w:val="24"/>
        </w:rPr>
        <w:t xml:space="preserve">В результате объем налоговых поступлений в государственный бюджет вырос на 20,5% по сравнению с 2011 годом и сложился в размере 63,9 млрд. сомов.</w:t>
      </w:r>
    </w:p>
    <w:p>
      <w:pPr>
        <w:spacing w:after="120"/>
        <w:jc w:val="both"/>
      </w:pPr>
      <w:r>
        <w:rPr>
          <w:rFonts w:ascii="Arial" w:cs="Arial" w:eastAsia="Arial" w:hAnsi="Arial"/>
          <w:sz w:val="24"/>
          <w:szCs w:val="24"/>
        </w:rPr>
        <w:t xml:space="preserve">Таким образом, 2012 год в целом характеризовался переходом к низкой траектории экономического роста на фоне сохранения высоких уровней потребления за счет роста доходов населения. Основным результатом 2012 года стало преодоление угрозы глубокого спада экономического роста в условиях замедления экономического роста и долгового кризиса в ряде стран, и оперативно принятые компенсационные меры по поддержке экономики позволили не допустить дальнейшего снижения экономики и удержать рост на уровне 99,1% в конце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январь-март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2013 года наблюдаются заметные позитивные сдвиги в социально-экономическом развитии республики, что было обусловлено восстановлением уровня производства в первые месяцы в отдельных отраслях промышленности.</w:t>
      </w:r>
    </w:p>
    <w:p>
      <w:pPr>
        <w:spacing w:after="120"/>
        <w:jc w:val="both"/>
      </w:pPr>
      <w:r>
        <w:rPr>
          <w:rFonts w:ascii="Arial" w:cs="Arial" w:eastAsia="Arial" w:hAnsi="Arial"/>
          <w:sz w:val="24"/>
          <w:szCs w:val="24"/>
        </w:rPr>
        <w:t xml:space="preserve">По итогам за январь-март 2013 года объем ВВП сложился в сумме 59,0 млрд. сомов и реально возрос на 7,6%, против реального снижения на 8,4% в январе-марте 2012 года. Без учета предприятий по разработке месторождения Кумтор, рост реального ВВП составил 104,9%, за соответствующий период 2012 года аналогичный показатель составлял 103,7%. Дефлятор ВВП сложился на уровне 103,6%.</w:t>
      </w:r>
    </w:p>
    <w:p>
      <w:pPr>
        <w:spacing w:after="120"/>
        <w:jc w:val="both"/>
      </w:pPr>
      <w:r>
        <w:rPr>
          <w:rFonts w:ascii="Arial" w:cs="Arial" w:eastAsia="Arial" w:hAnsi="Arial"/>
          <w:sz w:val="24"/>
          <w:szCs w:val="24"/>
        </w:rPr>
        <w:t xml:space="preserve">Как показывает структурный анализ по вкладам отраслей, экономический рост обеспечен всеми секторами экономики, положительный вклад которых оценивается в сельском хозяйстве 0,2 процентного пункта, промышленности - 3,7 процентного пункта, строительстве - 0,5 процентного пункта, сфере услуг - 2,2 процентного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3"/>
        <w:gridCol w:w="1081"/>
        <w:gridCol w:w="1081"/>
        <w:gridCol w:w="1081"/>
        <w:gridCol w:w="1093"/>
        <w:gridCol w:w="1093"/>
        <w:gridCol w:w="1093"/>
        <w:gridCol w:w="1093"/>
      </w:tblGrid>
      <w:tr>
        <w:tc>
          <w:tcPr>
            <w:tcW w:type="dxa" w:w="25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2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 2012 года</w:t>
            </w:r>
          </w:p>
        </w:tc>
        <w:tc>
          <w:tcPr>
            <w:tcW w:type="dxa" w:w="43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 2013 года</w:t>
            </w:r>
          </w:p>
        </w:tc>
      </w:tr>
      <w:tr>
        <w:tc>
          <w:tcPr>
            <w:vMerge w:val="continue"/>
            <w:tcBorders>
              <w:top w:val="single" w:color="CBBF9E" w:sz="4"/>
              <w:left w:val="single" w:color="CBBF9E" w:sz="4"/>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 предв. (млн. сомов)</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предв. (млн. сомов)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52970,6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59011,3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5531,0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5590,9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10745,0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12643,7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27377,8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29953,7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r>
      <w:tr>
        <w:tc>
          <w:tcPr>
            <w:tcW w:type="dxa" w:w="2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составил 101,1% (март 2013 года к декабрю 2012 года), а среднегодовое значение инфляции (январь-март 2013 года к январю-марту 2012 года) составили 107,8%. В целом за I квартал 2013 года, прирост потребительских цен по сравнению с декабрем 2012 года на пищевые продукты составил 1,0%, на непродовольственные товары - 0,7%, а наибольшее удорожание отмечалось на алкогольные напитки и табачные изделия - на 2,5% и на платные услуги - на 1,3%.</w:t>
      </w:r>
    </w:p>
    <w:p>
      <w:pPr>
        <w:spacing w:after="120"/>
        <w:jc w:val="both"/>
      </w:pPr>
      <w:r>
        <w:rPr>
          <w:rFonts w:ascii="Arial" w:cs="Arial" w:eastAsia="Arial" w:hAnsi="Arial"/>
          <w:sz w:val="24"/>
          <w:szCs w:val="24"/>
        </w:rPr>
        <w:t xml:space="preserve">Кредит в экономику в январе - марте 2013 года составил 44,1 млрд. сомов, при этом с начала текущего года вырос на 4,9%, а также возросли объемы потребительских кредитов на 25,9% по сравнению с аналогичным периодом 2012 года.</w:t>
      </w:r>
    </w:p>
    <w:p>
      <w:pPr>
        <w:spacing w:after="120"/>
        <w:jc w:val="both"/>
      </w:pPr>
      <w:r>
        <w:rPr>
          <w:rFonts w:ascii="Arial" w:cs="Arial" w:eastAsia="Arial" w:hAnsi="Arial"/>
          <w:sz w:val="24"/>
          <w:szCs w:val="24"/>
        </w:rPr>
        <w:t xml:space="preserve">За январь-март 2013 года, по программе «Финансирование сельского хозяйства» пятью банками4 выдано 6766 кредитов на общую сумму 1342,4 млн. сомов, из них на животноводство - 5739 кредитов на сумму 1 193,2 млн. сомов, в растениеводство - 1027,0 кредитов на сумму 149,2 млн. сомов.</w:t>
      </w:r>
    </w:p>
    <w:p>
      <w:pPr>
        <w:spacing w:after="120"/>
        <w:jc w:val="both"/>
      </w:pPr>
      <w:r>
        <w:rPr>
          <w:rFonts w:ascii="Arial" w:cs="Arial" w:eastAsia="Arial" w:hAnsi="Arial"/>
          <w:sz w:val="24"/>
          <w:szCs w:val="24"/>
        </w:rPr>
        <w:t xml:space="preserve">В январе - марте 2013 года объем притока денежных переводов физических лиц, осуществленных через системы переводов, составил 423,0 млн. долларов США, что на 16,3% выше за соответствующий период 2012 года.</w:t>
      </w:r>
    </w:p>
    <w:p>
      <w:pPr>
        <w:spacing w:after="120"/>
        <w:jc w:val="both"/>
      </w:pPr>
      <w:r>
        <w:rPr>
          <w:rFonts w:ascii="Arial" w:cs="Arial" w:eastAsia="Arial" w:hAnsi="Arial"/>
          <w:sz w:val="24"/>
          <w:szCs w:val="24"/>
        </w:rPr>
        <w:t xml:space="preserve">Суммарные активы банковской системы увеличились с начала года на 2,9% и составили 89,3 млрд. сомов.</w:t>
      </w:r>
    </w:p>
    <w:p>
      <w:pPr>
        <w:spacing w:after="120"/>
        <w:jc w:val="both"/>
      </w:pPr>
      <w:r>
        <w:rPr>
          <w:rFonts w:ascii="Arial" w:cs="Arial" w:eastAsia="Arial" w:hAnsi="Arial"/>
          <w:sz w:val="24"/>
          <w:szCs w:val="24"/>
        </w:rPr>
        <w:t xml:space="preserve">Внешнеторговый оборот за январь-март 2013 года составил 1477,9 млн. долларов США и по сравнению с аналогичным периодом 2012 года вырос на 1,7%. Экспорт составил 302,8 млн. долларов США и снизился по сравнению с соответствующим периодом 2012 года на 10,5% за счет сокращения экспортных поставок золота, а также текстиля и текстильных изделий. Импортные поступления увеличились на 10,4%, составив 1175,1 млн. долларов США, за счет ввоза машин, оборудования и механизмов, минеральных продуктов, а также готовых пищевых продуктов.</w:t>
      </w:r>
    </w:p>
    <w:p>
      <w:pPr>
        <w:spacing w:after="120"/>
        <w:jc w:val="both"/>
      </w:pPr>
      <w:r>
        <w:rPr>
          <w:rFonts w:ascii="Arial" w:cs="Arial" w:eastAsia="Arial" w:hAnsi="Arial"/>
          <w:sz w:val="24"/>
          <w:szCs w:val="24"/>
        </w:rPr>
        <w:t xml:space="preserve">В I квартале 2013 года, по данным Центрального казначейства Министерства финансов Кыргызской Республики, государственный бюджет исполнен с профицитом денежных средств 3057,6 млн. сомов, или 5,2% к ВВП. С начала года поступления в доход государственного бюджета (включая продажу нефинансовых активов) достигли 21514,1 млн. сомов (36,5% к ВВП) и по сравнению с I кварталом 2012 года увеличились на 23,6%. Расходы государственного бюджета (включая приобретение нефинансовых активов) составили 18456,5 млн. сомов, или 31,3% к ВВП, несколько увеличившись по сравнению с I кварталом 2012 года (на 0,6 процентных пункта).</w:t>
      </w:r>
    </w:p>
    <w:p>
      <w:pPr>
        <w:spacing w:after="120"/>
        <w:jc w:val="both"/>
      </w:pPr>
      <w:r>
        <w:rPr>
          <w:rFonts w:ascii="Arial" w:cs="Arial" w:eastAsia="Arial" w:hAnsi="Arial"/>
          <w:sz w:val="24"/>
          <w:szCs w:val="24"/>
        </w:rPr>
        <w:t xml:space="preserve">За январь-март 2013 года удельный вес расходов из республиканского бюджета на социальную сферу составил 50,5%, всего направлено на 593,7 млн. сомов больше, чем за аналогичный период 2012 года (удельный вес за январь-март 2012 года - 46,9%).,</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январь - март 2013 года из средств республиканского бюджета на выплату государственных пособий профинансированы денежные средства на общую сумму 1026,6 млн. сомов, что на 29,5% больше аналогичного периода 2012 года.</w:t>
      </w:r>
    </w:p>
    <w:p>
      <w:pPr>
        <w:spacing w:after="120"/>
        <w:jc w:val="both"/>
      </w:pPr>
      <w:r>
        <w:rPr>
          <w:rFonts w:ascii="Arial" w:cs="Arial" w:eastAsia="Arial" w:hAnsi="Arial"/>
          <w:sz w:val="24"/>
          <w:szCs w:val="24"/>
        </w:rPr>
        <w:t xml:space="preserve">За январь-март 2013 года вся потребная сумма, на выплату пенсий и пособий в объеме 7184,3 млн. сомов профинансирована в полном объеме. По предварительным данным, на 1 января 2013 года средний размер пенсии с учетом компенсационных выплат за электроэнергию составил 4192 сома.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январе-марте 2013 года (без учета малых предприятий) составила 10619,0 сомов и по сравнению с аналогичным периодом 2012 года увеличилась на 4,8%, а ее реальный размер, исчисленный с учетом индекса потребительских цен, снизился на 2,7%.</w:t>
      </w:r>
    </w:p>
    <w:p>
      <w:pPr>
        <w:spacing w:after="120"/>
        <w:jc w:val="both"/>
      </w:pPr>
      <w:r>
        <w:rPr>
          <w:rFonts w:ascii="Arial" w:cs="Arial" w:eastAsia="Arial" w:hAnsi="Arial"/>
          <w:sz w:val="24"/>
          <w:szCs w:val="24"/>
        </w:rPr>
        <w:t xml:space="preserve">Величина прожиточного минимума в I квартале 2013 года составила 4550,72 сома и по сравнению с соответствующим периодом 2011 года возросла на 7,6%.</w:t>
      </w:r>
    </w:p>
    <w:p>
      <w:pPr>
        <w:spacing w:after="120"/>
        <w:jc w:val="both"/>
      </w:pPr>
      <w:r>
        <w:rPr>
          <w:rFonts w:ascii="Arial" w:cs="Arial" w:eastAsia="Arial" w:hAnsi="Arial"/>
          <w:sz w:val="24"/>
          <w:szCs w:val="24"/>
        </w:rPr>
        <w:t xml:space="preserve">На 1 апреля 2013 года численность незанятого населения, состоящего на учете в органах государственной службы занятости в поисках работы, составила 97,3 тыс. человек и по сравнению с аналогичной датой 2012 года увеличилась на 1,1% а численность зарегистрированных безработных уменьшилась на 0,5%. В государственных органах службы занятости населения за три месяца т.г. в качестве безработных зарегистрировано 9458 человек. Уровень зарегистрированной безработицы составил 2,5% от экономически активного населения.</w:t>
      </w:r>
    </w:p>
    <w:p>
      <w:pPr>
        <w:spacing w:after="120"/>
        <w:jc w:val="both"/>
      </w:pPr>
      <w:r>
        <w:rPr>
          <w:rFonts w:ascii="Arial" w:cs="Arial" w:eastAsia="Arial" w:hAnsi="Arial"/>
          <w:sz w:val="24"/>
          <w:szCs w:val="24"/>
        </w:rPr>
        <w:t xml:space="preserve">Таким образом, итоги трех месяцев 2013 года показали положительные тенденции экономического роста во всех секторах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Тенденции развития мировой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темпы восстановления мировой экономики замедлились до минимальных значений со времени кризиса 2009 года. Основным фактором торможения стало негативное влияние кризиса в зоне евро, сжатие спроса на европейских рынках, которое продолжается с IV квартала 2011 года, а в отдельных странах с большими дефицитами бюджетов и уровнем суверенных долгов - до 2 лет и более. Снижению темпов роста и переходу в рецессию способствовала также проводимая фискальная консолидация, влияние которой в неустойчивых кризисных экономиках оказалось выше, чем ожидалось. Это привело к усилению дифференциации развития стран кризисного региона, нарастанию негативного воздействия на экономику развивающихся стран.</w:t>
      </w:r>
    </w:p>
    <w:p>
      <w:pPr>
        <w:spacing w:after="120"/>
        <w:jc w:val="both"/>
      </w:pPr>
      <w:r>
        <w:rPr>
          <w:rFonts w:ascii="Arial" w:cs="Arial" w:eastAsia="Arial" w:hAnsi="Arial"/>
          <w:sz w:val="24"/>
          <w:szCs w:val="24"/>
        </w:rPr>
        <w:t xml:space="preserve">Темпы восстановления мирового ВВП, достигнув в 2010 году 5,2%, в 2011 году замедлились до 4,0%, а в 2012 году - до 3,2%. Темпы промышленного производства замедлились сильнее - с 3,8% до 1,9%. Динамика физического объема мировой торговли товарами и услугами снизилась с 5,9% в 2011 году до 2,8% в 2012 году, то есть оказалась ниже темпов роста ВВП, что свидетельствует об ослаблении процессов глобализации в мировой экономике, инвестиционного и потребительского спроса, прежде всего в.развитых странах Европы и Японии.</w:t>
      </w:r>
    </w:p>
    <w:p>
      <w:pPr>
        <w:spacing w:after="120"/>
        <w:jc w:val="both"/>
      </w:pPr>
      <w:r>
        <w:rPr>
          <w:rFonts w:ascii="Arial" w:cs="Arial" w:eastAsia="Arial" w:hAnsi="Arial"/>
          <w:sz w:val="24"/>
          <w:szCs w:val="24"/>
        </w:rPr>
        <w:t xml:space="preserve">Темпы роста развитых стран снизились с 1,6% в 2011 году до 1,2% в 2012 году, развивающихся - с 6,4% до 5,1%, соответственно. Динамика экономики США ускорилась в 2012 году с 1,8% до 2,2%, однако в IV квартале 2012 году вновь замедлилась. Экономика зоны евро сократилась на 0,6% с 1,4% в 2011 году, из крупных стран роста удалось добиться лишь Германии - на 0,9%, при этом в IV квартале 2012 года в Германии также зафиксирован спад на 0,6%. В Японии общий рост за год на 2,0% объясняется лишь низкой базой, обусловленной спадом в 2011 году на 0,6%, вызванным последствиями землетрясения и цунами. Китаю в 2012 году благодаря мерам бюджетного и монетарного стимулирования удалось избежать «жесткой посадки» - рост экономики снизился с 9,3% до 7,8%. Торможение экономики Индии было более сильным - с 7,9% до 4,0%, что объясняется более сильной зависимостью от европейского рынка, куда поступает 30% индийского экспорта. Наиболее сильно снизились темпы в Бразилии: после мощного восстановления на 7,5% в 2010 году темпы упали до 2,7% в 2011 году и 0,9% - в 2012 году. Экономика стран Центральной и Восточной Европы замедлила рост с 5,3% в 2011 году до 1,8% в 2012 году.</w:t>
      </w:r>
    </w:p>
    <w:p>
      <w:pPr>
        <w:spacing w:after="120"/>
        <w:jc w:val="both"/>
      </w:pPr>
      <w:r>
        <w:rPr>
          <w:rFonts w:ascii="Arial" w:cs="Arial" w:eastAsia="Arial" w:hAnsi="Arial"/>
          <w:sz w:val="24"/>
          <w:szCs w:val="24"/>
        </w:rPr>
        <w:t xml:space="preserve">Показатели развития стран СНГ, за исключением Молдовы (99,2%) и Кыргызской Республики (99,1%), демонстрировали положительные тенденции развития (на 3,6%), но не снизились по сравнению с показателями 2011 года (4,9%). В частности, за 2012 год показатель уровня развития экономики России составил 3,4% против роста на 4,3% в 2011 году, а Казахстана - 5,0%, против роста на 7,5% в 2011 году.</w:t>
      </w:r>
    </w:p>
    <w:p>
      <w:pPr>
        <w:spacing w:after="120"/>
        <w:jc w:val="both"/>
      </w:pPr>
      <w:r>
        <w:rPr>
          <w:rFonts w:ascii="Arial" w:cs="Arial" w:eastAsia="Arial" w:hAnsi="Arial"/>
          <w:sz w:val="24"/>
          <w:szCs w:val="24"/>
        </w:rPr>
        <w:t xml:space="preserve">Наиболее глобальное замедление коснулось потребительского спроса: если в 2011 году стоимость глобальных продаж выросла на 11, 0%, то в 2012 году прирост, по оценке Global Insight, составил всего 2,5%. С учетом роста цен на 4,0%, это означает фактический спад физического объема глобального потребления на 1,4%, несмотря на сохранение нулевых реальных ставок краткосрочного кредитования. В итоге для среднестатистического мирового потребителя 2012 год был кризисным годом, сопоставимым по эффекту для потребителя с кризисным 2009 годом, для промышленности и торговли.</w:t>
      </w:r>
    </w:p>
    <w:p>
      <w:pPr>
        <w:spacing w:after="120"/>
        <w:jc w:val="both"/>
      </w:pPr>
      <w:r>
        <w:rPr>
          <w:rFonts w:ascii="Arial" w:cs="Arial" w:eastAsia="Arial" w:hAnsi="Arial"/>
          <w:sz w:val="24"/>
          <w:szCs w:val="24"/>
        </w:rPr>
        <w:t xml:space="preserve">Практически не изменился глобальный уровень безработицы -8,0%, что означает стагнацию доходов, при том что ситуация в отдельных странах с высокой задолженностью населения, банков и государств стремительно ухудшается.</w:t>
      </w:r>
    </w:p>
    <w:p>
      <w:pPr>
        <w:spacing w:after="120"/>
        <w:jc w:val="both"/>
      </w:pPr>
      <w:r>
        <w:rPr>
          <w:rFonts w:ascii="Arial" w:cs="Arial" w:eastAsia="Arial" w:hAnsi="Arial"/>
          <w:sz w:val="24"/>
          <w:szCs w:val="24"/>
        </w:rPr>
        <w:t xml:space="preserve">Замедление роста в странах во многом связано с необходимостью консолидации бюджетов. В Европейском союзе дефицит снизился с 4,4% до 3,8% ВВП. Германии в 2012 году удалось ликвидировать дефицит и свести бюджет с профицитом в 0,1% ВВП. В США дефицит бюджета уменьшился с 10,1% до 8,5% ВВП. Однако долговая нагрузка на экономику развитых стран продолжала увеличиваться. Долг стран еврозоны возрос с 88,1% до 93,1% ВВП в 2012 году, долг США вырос с 103,1% до 107,6% ВВП. Счет текущих операций США оставался отрицательным, но дефицит постепенно сокращался, с 4,8% ВВП в 2008 году до 3,1% в 2012 году, сглаживая дисбалансы факторов роста мировой экономики. Среди развитых стран устойчивое положительное сальдо текущего счета сохраняет Германия - 6,3% ВВП. В Китае последовательно сокращается профицит текущего счета, с 10,1% ВВП в 2007 году до 2,3% в 2012 году.</w:t>
      </w:r>
    </w:p>
    <w:p>
      <w:pPr>
        <w:spacing w:after="120"/>
        <w:jc w:val="both"/>
      </w:pPr>
      <w:r>
        <w:rPr>
          <w:rFonts w:ascii="Arial" w:cs="Arial" w:eastAsia="Arial" w:hAnsi="Arial"/>
          <w:sz w:val="24"/>
          <w:szCs w:val="24"/>
        </w:rPr>
        <w:t xml:space="preserve">В настоящее время эксперты считают, что замедления глобальной экономики пока не удалось избежать, на фоне чего рецессия, которая началась в Европе в 2012 году, продолжится и в 2013 году. Согласно пересмотренным оценкам МВФ, темпы роста мировой экономики в 2013 году составят 3,3%, а не 3,5%, как ожидалось ранее. Прогнозы на 2013 и 2014 годы были пересмотрены практически по всем странам, в большинстве случаев - в сторону более низких значений.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мировой экономики%5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4"/>
        <w:gridCol w:w="1034"/>
        <w:gridCol w:w="1034"/>
        <w:gridCol w:w="1034"/>
        <w:gridCol w:w="1877"/>
        <w:gridCol w:w="963"/>
        <w:gridCol w:w="1865"/>
        <w:gridCol w:w="725"/>
        <w:gridCol w:w="723"/>
      </w:tblGrid>
      <w:tr>
        <w:tc>
          <w:tcPr>
            <w:tcW w:type="dxa" w:w="9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Страны</w:t>
            </w:r>
          </w:p>
        </w:tc>
        <w:tc>
          <w:tcPr>
            <w:tcW w:type="dxa" w:w="1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отчет</w:t>
            </w:r>
          </w:p>
        </w:tc>
        <w:tc>
          <w:tcPr>
            <w:tcW w:type="dxa" w:w="1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отчет</w:t>
            </w:r>
          </w:p>
        </w:tc>
        <w:tc>
          <w:tcPr>
            <w:tcW w:type="dxa" w:w="1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оценка</w:t>
            </w:r>
          </w:p>
        </w:tc>
        <w:tc>
          <w:tcPr>
            <w:tcW w:type="dxa" w:w="18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 прежним прогнозом на 2013 г.</w:t>
            </w:r>
          </w:p>
        </w:tc>
        <w:tc>
          <w:tcPr>
            <w:tcW w:type="dxa" w:w="9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8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 прежним прогнозом на 2014 г.</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vMerge w:val="continue"/>
            <w:tcBorders>
              <w:top w:val="single" w:color="CBBF9E" w:sz="4"/>
              <w:left w:val="none" w:color="auto" w:sz="0"/>
              <w:bottom w:val="single" w:color="CBBF9E" w:sz="4"/>
              <w:right w:val="single" w:color="CBBF9E" w:sz="4"/>
            </w:tcBorders>
          </w:tcPr>
          <w:p/>
        </w:tc>
        <w:tc>
          <w:tcPr>
            <w:tcW w:type="dxa" w:w="1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r>
              <w:rPr>
                <w:rFonts w:ascii="Arial" w:cs="Arial" w:eastAsia="Arial" w:hAnsi="Arial"/>
                <w:sz w:val="24"/>
                <w:szCs w:val="24"/>
              </w:rPr>
              <w:t xml:space="preserve">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r>
              <w:rPr>
                <w:rFonts w:ascii="Arial" w:cs="Arial" w:eastAsia="Arial" w:hAnsi="Arial"/>
                <w:sz w:val="24"/>
                <w:szCs w:val="24"/>
              </w:rPr>
              <w:t xml:space="preserve">7</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варианты прогноза базируются на достаточно позитивном сценарии развития мировой экономики уже в 2014 году. В соответствии с этим сценарием уже во второй половине 2013 года возможно изменение негативных трендов и начало восстановления мирового роста. После снижения темпов прироста мирового выпуска в 2912-2013 годах до 3,2-3,3%, в 2014 году прирост мирового ВВП восстановится на уровне, близком к 4%, а в 2015-2016 годах- в среднем на 4,4%.</w:t>
      </w:r>
    </w:p>
    <w:p>
      <w:pPr>
        <w:spacing w:after="120"/>
        <w:jc w:val="both"/>
      </w:pPr>
      <w:r>
        <w:rPr>
          <w:rFonts w:ascii="Arial" w:cs="Arial" w:eastAsia="Arial" w:hAnsi="Arial"/>
          <w:sz w:val="24"/>
          <w:szCs w:val="24"/>
        </w:rPr>
        <w:t xml:space="preserve">В США темпы роста в 2013 году за счет мер бюджетной консолидации могут сократиться до 1,9% ВВП, но уже в 2014 году возможно ускорение динамики экономики до 3%. Экономика США будет наращивать конкурентные преимущества, в том числе за счет сохранения более низкой стоимости энергоносителей, Динамика роста США в 2014-2016 годах прогнозируется в диапазоне 3,6-3,4% ВВП.</w:t>
      </w:r>
    </w:p>
    <w:p>
      <w:pPr>
        <w:spacing w:after="120"/>
        <w:jc w:val="both"/>
      </w:pPr>
      <w:r>
        <w:rPr>
          <w:rFonts w:ascii="Arial" w:cs="Arial" w:eastAsia="Arial" w:hAnsi="Arial"/>
          <w:sz w:val="24"/>
          <w:szCs w:val="24"/>
        </w:rPr>
        <w:t xml:space="preserve">В Европе завершению рецессии, возвращению уверенности инвесторов и стабилизации финансовых рынков будут способствовать меры укрепления европейских интеграционных механизмов. Начнут сказываться первые результаты работы единого надзорного механизма банковского сектора. Укрепление европейской интеграции и финансовой дисциплины стран с общей валютой создаст возможность сохранить стоимость обслуживания государственного долга на приемлемом для возможностей бюджетов проблемных стран уровне, что создаст условия для мягкого разрешения европейского долгового кризиса. В соответствии с основным вариантом прогноза экономику еврозоны удастся стабилизировать во второй половине 2013 года, но в целом за год рост ВВП останется отрицательным (- 0,3%). Начиная с 2014 года, экономика стран общей валюты сможет постепенно увеличивать динамику восстановления, с 1,1% в 2014 году до 1,6% в 2016 году.</w:t>
      </w:r>
    </w:p>
    <w:p>
      <w:pPr>
        <w:spacing w:after="120"/>
        <w:jc w:val="both"/>
      </w:pPr>
      <w:r>
        <w:rPr>
          <w:rFonts w:ascii="Arial" w:cs="Arial" w:eastAsia="Arial" w:hAnsi="Arial"/>
          <w:sz w:val="24"/>
          <w:szCs w:val="24"/>
        </w:rPr>
        <w:t xml:space="preserve">Темпы роста экономики Китая, под воздействием факторов ограничения денежного предложения и сокращения потенциала внешнего спроса, в 2013 году ожидается на уровне 8,0%, прогнозируемый рост в 2014 году на (8,2%) будут поддерживаться большим потенциалом расширения внутреннего спроса и в 2015-2016 годах удержится в среднем на уровне 8,5%.</w:t>
      </w:r>
    </w:p>
    <w:p>
      <w:pPr>
        <w:spacing w:after="120"/>
        <w:jc w:val="both"/>
      </w:pPr>
      <w:r>
        <w:rPr>
          <w:rFonts w:ascii="Arial" w:cs="Arial" w:eastAsia="Arial" w:hAnsi="Arial"/>
          <w:sz w:val="24"/>
          <w:szCs w:val="24"/>
        </w:rPr>
        <w:t xml:space="preserve">Замедление темпов роста экономики Индии за счет мер по сокращению дефицита бюджета достигло 4,0% в 2012 году. Начиная с 2013 года экономический рост ускорится с 5,7 до 6,8% ВВП в 2016 году.</w:t>
      </w:r>
    </w:p>
    <w:p>
      <w:pPr>
        <w:spacing w:after="120"/>
        <w:jc w:val="both"/>
      </w:pPr>
      <w:r>
        <w:rPr>
          <w:rFonts w:ascii="Arial" w:cs="Arial" w:eastAsia="Arial" w:hAnsi="Arial"/>
          <w:sz w:val="24"/>
          <w:szCs w:val="24"/>
        </w:rPr>
        <w:t xml:space="preserve">Варианты прогноза развития экономик России и Казахстана базируются на умеренном восстановлении мировой экономики и снизили прогнозируемые показатели на 2013 год: России - с 3,7% до 2,4%, Казахстана - с 6,2% до 5,5%, на 2014 год России - с 4,3% до 3,7% и Казахстана - с 6,9% до 5,6%. В 2015-2016 годах экономический рост в этих странах прогнозируется в среднем 4,0% и 6,0%, соответственно.</w:t>
      </w:r>
    </w:p>
    <w:p>
      <w:pPr>
        <w:spacing w:after="120"/>
        <w:jc w:val="both"/>
      </w:pPr>
      <w:r>
        <w:rPr>
          <w:rFonts w:ascii="Arial" w:cs="Arial" w:eastAsia="Arial" w:hAnsi="Arial"/>
          <w:sz w:val="24"/>
          <w:szCs w:val="24"/>
        </w:rPr>
        <w:t xml:space="preserve">Основными рисками замедления глобальной экономической динамики в 2013-2014 годах и на период до 2016 года будут оставаться высокая долговая нагрузка на экономику развитых стран, углубление кризиса в зоне евро и ситуация в бюджетной сфере США. Эффективность европейских стабилизационных механизмов может оказаться меньшей, чем ожидается в позитивных сценариях, что потребует более сильного сжатия бюджетов. Спад европейской экономики может продолжиться в 2014 году, а после выхода из рецессии темпы восстановления еврозоны до 2016 года могут остаться ниже одного процента.</w:t>
      </w:r>
    </w:p>
    <w:p>
      <w:pPr>
        <w:spacing w:after="120"/>
        <w:jc w:val="both"/>
      </w:pPr>
      <w:r>
        <w:rPr>
          <w:rFonts w:ascii="Arial" w:cs="Arial" w:eastAsia="Arial" w:hAnsi="Arial"/>
          <w:sz w:val="24"/>
          <w:szCs w:val="24"/>
        </w:rPr>
        <w:t xml:space="preserve">На протяжении прогнозного периода могут сохраняться высокая неопределенность и риски значительного снижения темпов роста американской экономики. Давление на расширение внутреннего спроса, оказываемое факторами сокращения издержек, может сделать неустойчивым рост доходов домашних хозяйств. Необходимость реализации мер бюджетной консолидации сократит поддержку внутреннего спроса. В случае реализации этих рисков рост экономики США может замедлиться до 0,8% в 2013 году, с последующим оживлением динамики в 2016 году до 1,5% ВВП.</w:t>
      </w:r>
    </w:p>
    <w:p>
      <w:pPr>
        <w:spacing w:after="120"/>
        <w:jc w:val="both"/>
      </w:pPr>
      <w:r>
        <w:rPr>
          <w:rFonts w:ascii="Arial" w:cs="Arial" w:eastAsia="Arial" w:hAnsi="Arial"/>
          <w:sz w:val="24"/>
          <w:szCs w:val="24"/>
        </w:rPr>
        <w:t xml:space="preserve">По-прежнему сохраняются риски, связанные с ограничением расширения внутреннего спроса и снижением отдачи от инвестиций в Китае. Динамика развивающихся стран будет также сдерживаться ограниченностью расширения мировой торговли, в результате сжатия рынков в Европе и США. В целом рост мирового ВВП в этом сценарии в 2013-2014 годах снизится до 2,4-2,5%, а в 2015-2016 годах - не превысит 3,1-3,5%.</w:t>
      </w:r>
    </w:p>
    <w:p>
      <w:pPr>
        <w:spacing w:after="120"/>
        <w:jc w:val="both"/>
      </w:pPr>
      <w:r>
        <w:rPr>
          <w:rFonts w:ascii="Arial" w:cs="Arial" w:eastAsia="Arial" w:hAnsi="Arial"/>
          <w:sz w:val="24"/>
          <w:szCs w:val="24"/>
        </w:rPr>
        <w:t xml:space="preserve">Экономический рост в странах СНГ в целом будет опережать рост мировой экономики. Однако по прежнему будет сохраняться сильная зависимость от экономической динамики России, степени и глубины интеграции экономик в общее экономическое пространство, способной смягчить возможное негативное влияние конъюнктуры мировых рынков.</w:t>
      </w:r>
    </w:p>
    <w:p>
      <w:pPr>
        <w:spacing w:after="120"/>
        <w:jc w:val="both"/>
      </w:pPr>
      <w:r>
        <w:rPr>
          <w:rFonts w:ascii="Arial" w:cs="Arial" w:eastAsia="Arial" w:hAnsi="Arial"/>
          <w:sz w:val="24"/>
          <w:szCs w:val="24"/>
        </w:rPr>
        <w:t xml:space="preserve">Кыргызская Республика часть глобальной экономики. Открытость экономики страны в 2011 году составила 104,5%, в 2012 году - 112,3%, экономические отношения все глубже проникают в международные и региональные рынки капитала, товаров и услуг, труда. Соответственно, зависимость от них становится выше. Успехи экономического развития, равно как и неудачи, в значительной степени будут зависеть от способности страны использовать конкурентные преимущества, занимать выгодные ниши в международном разделении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Ситуация на мировом рынке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Самым обсуждаемым вопросом с апреля 2013 года стало снижение стоимости золота, хотя аналитики ведущих банков, мировых фондов прогнозировали рекордную отметку - 1800-1900 долларов США за тройскую унцию до конца 2013 года.</w:t>
      </w:r>
    </w:p>
    <w:p>
      <w:pPr>
        <w:spacing w:after="120"/>
        <w:jc w:val="both"/>
      </w:pPr>
      <w:r>
        <w:rPr>
          <w:rFonts w:ascii="Arial" w:cs="Arial" w:eastAsia="Arial" w:hAnsi="Arial"/>
          <w:sz w:val="24"/>
          <w:szCs w:val="24"/>
        </w:rPr>
        <w:t xml:space="preserve">Золото, как правило, рассматривается инвесторами как более надежная альтернатива нестабильным валютам. Однако рынок золота, как и любой другой финансовый рынок подвержен спекулятивному давлению, в частности из-за торговли на нем фьючерсами и другими производными инструментами.</w:t>
      </w:r>
    </w:p>
    <w:p>
      <w:pPr>
        <w:spacing w:after="120"/>
        <w:jc w:val="both"/>
      </w:pPr>
      <w:r>
        <w:rPr>
          <w:rFonts w:ascii="Arial" w:cs="Arial" w:eastAsia="Arial" w:hAnsi="Arial"/>
          <w:sz w:val="24"/>
          <w:szCs w:val="24"/>
        </w:rPr>
        <w:t xml:space="preserve">Если посмотреть на всю историю цен на золото, которая началась в 1973 году после отмены Америкой «золотого стандарта», золото вело себя стабильно. Единственным исключением был период высокой инфляции при Картере, когда золото подскочило за 800 долларов, но быстро вернулось к зоне 400. С 1996 года до 2003 год металл находился в долговременном спаде, он вышел из моды, центробанки многих стран продавали на рынке золото десятками тонн. Горнорудные компании сворачивали инвестиции в золото.</w:t>
      </w:r>
    </w:p>
    <w:p>
      <w:pPr>
        <w:spacing w:after="120"/>
        <w:jc w:val="both"/>
      </w:pPr>
      <w:r>
        <w:rPr>
          <w:rFonts w:ascii="Arial" w:cs="Arial" w:eastAsia="Arial" w:hAnsi="Arial"/>
          <w:sz w:val="24"/>
          <w:szCs w:val="24"/>
        </w:rPr>
        <w:t xml:space="preserve">После 2003 года сработали многие факторы, и цена на золото поднимается вверх уже 10 лет подряд. Аналитики приводят разные аргументы, можно просто перечислить самые главные: накопленный дефицит из-за недоинвестирования в сектор; рост спроса на ювелирные изделия в Китае и Индии; пополнение центробанками золотовалютных резервов; валютные колебания, вызванные введением евро.</w:t>
      </w:r>
    </w:p>
    <w:p>
      <w:pPr>
        <w:spacing w:after="120"/>
        <w:jc w:val="both"/>
      </w:pPr>
      <w:r>
        <w:rPr>
          <w:rFonts w:ascii="Arial" w:cs="Arial" w:eastAsia="Arial" w:hAnsi="Arial"/>
          <w:sz w:val="24"/>
          <w:szCs w:val="24"/>
        </w:rPr>
        <w:t xml:space="preserve">Вместе с тем в 2012 году рост оказался минимальным за последние четыре года - 7%. За весь первый квартал 2013 года по сравнению с декабрем 2012 года драгметалл подешевел на 2,1%.</w:t>
      </w:r>
    </w:p>
    <w:p>
      <w:pPr>
        <w:spacing w:after="120"/>
        <w:jc w:val="both"/>
      </w:pPr>
      <w:r>
        <w:rPr>
          <w:rFonts w:ascii="Arial" w:cs="Arial" w:eastAsia="Arial" w:hAnsi="Arial"/>
          <w:sz w:val="24"/>
          <w:szCs w:val="24"/>
        </w:rPr>
        <w:t xml:space="preserve">До 12 апреля 2013 года золото 18 месяцев держалось в пределах широкого диапазона, между 1525 и 1800 долларов США за тройскую унцию, что стало последней волной роста в рамках длящегося более десятилетия восходящего тренда на рынке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цены золота (в долларах США за тройскую унцию7)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Резкое падение цены на золото, до 1380,00 долларов США за тройскую унцию, началось с апреля 2013 года, с 1700 долларов США с начала года, стоимость которой снизилась на 18,8%.</w:t>
      </w:r>
    </w:p>
    <w:p>
      <w:pPr>
        <w:spacing w:after="120"/>
        <w:jc w:val="both"/>
      </w:pPr>
      <w:r>
        <w:rPr>
          <w:rFonts w:ascii="Arial" w:cs="Arial" w:eastAsia="Arial" w:hAnsi="Arial"/>
          <w:sz w:val="24"/>
          <w:szCs w:val="24"/>
        </w:rPr>
        <w:t xml:space="preserve">Существует несколько мнений о том, почему падают цены на золото:</w:t>
      </w:r>
    </w:p>
    <w:p>
      <w:pPr>
        <w:spacing w:after="120"/>
        <w:jc w:val="both"/>
      </w:pPr>
      <w:r>
        <w:rPr>
          <w:rFonts w:ascii="Arial" w:cs="Arial" w:eastAsia="Arial" w:hAnsi="Arial"/>
          <w:sz w:val="24"/>
          <w:szCs w:val="24"/>
        </w:rPr>
        <w:t xml:space="preserve">1. Замедление темпов экономического роста в Китае. За первые три месяца 2013 года наблюдается замедление экономического роста. При ожидании роста на 8,0%, рост в первом квартале составил 7,7%. Китай - это крупный потребитель буквально всех полезных ископаемых, и золото стало одним из многих сырьевых товаров, резко упавших в цене после сообщений из Пекина. Цены на нефть, медь и многие другие металлы, также существенно снизились.</w:t>
      </w:r>
    </w:p>
    <w:p>
      <w:pPr>
        <w:spacing w:after="120"/>
        <w:jc w:val="both"/>
      </w:pPr>
      <w:r>
        <w:rPr>
          <w:rFonts w:ascii="Arial" w:cs="Arial" w:eastAsia="Arial" w:hAnsi="Arial"/>
          <w:sz w:val="24"/>
          <w:szCs w:val="24"/>
        </w:rPr>
        <w:t xml:space="preserve">2. Резкое падение импорта золота в Индию за первые три месяца 2013 года. Индия является крупнейшим потребителем золота в мире, по данным Ассоциации по торговле золотом в Бомбее, импорт золота в Индию упал в первом квартале 2013 года почти на 24%, до 200 тонн золота, и, судя по всему, падение импорта продолжится в последующие месяцы. Также на продажах золота в Индии негативно сказалось падение курса индийской рупии, что привело к удорожанию золота на внутреннем рынке по сравнению с мировой ценой, которая рассчитывается в долларах США.</w:t>
      </w:r>
    </w:p>
    <w:p>
      <w:pPr>
        <w:spacing w:after="120"/>
        <w:jc w:val="both"/>
      </w:pPr>
      <w:r>
        <w:rPr>
          <w:rFonts w:ascii="Arial" w:cs="Arial" w:eastAsia="Arial" w:hAnsi="Arial"/>
          <w:sz w:val="24"/>
          <w:szCs w:val="24"/>
        </w:rPr>
        <w:t xml:space="preserve">3. Влияние банковского кризиса на Кипре. Многие инвесторы по всему миру покидают рынок золота, чтобы перевести свои капиталы в другие активы. В связи с массовым оттоком капиталов с рынка золота, цена на этот драгметалл упала до рекордных минимальных отметок. Катализатором резкого падения золота стали слухи о возможной продаже части золотого запаса Кипром, чтобы заработать 400 млн. евро для покрытия убытков. Это вызвало опасения того, что это может стать прецедентом для центральных банков других периферийных стран еврозоны. Подобное действие оказало бы гораздо более сильное влияние на рынки золота, учитывая текущие запасы таких стран, как Испания и Италия.</w:t>
      </w:r>
    </w:p>
    <w:p>
      <w:pPr>
        <w:spacing w:after="120"/>
        <w:jc w:val="both"/>
      </w:pPr>
      <w:r>
        <w:rPr>
          <w:rFonts w:ascii="Arial" w:cs="Arial" w:eastAsia="Arial" w:hAnsi="Arial"/>
          <w:sz w:val="24"/>
          <w:szCs w:val="24"/>
        </w:rPr>
        <w:t xml:space="preserve">4. Золото теряет свою ценность, как один из немногих активов в качестве страхового полиса от инфляции и валютных колебаний. Большинство центральных банков всего мира печатают деньги, чтобы возродить свои экономики, однако инфляция со временем резко усилится, уничтожив ценность многих активов, таких как деньги на банковских счетах и неиндексируемые облигации.</w:t>
      </w:r>
    </w:p>
    <w:p>
      <w:pPr>
        <w:spacing w:after="120"/>
        <w:jc w:val="both"/>
      </w:pPr>
      <w:r>
        <w:rPr>
          <w:rFonts w:ascii="Arial" w:cs="Arial" w:eastAsia="Arial" w:hAnsi="Arial"/>
          <w:sz w:val="24"/>
          <w:szCs w:val="24"/>
        </w:rPr>
        <w:t xml:space="preserve">На 1 июня 2013 года рынок золота сумел немного восстановиться и поднялся до 1394,5 долларов США.</w:t>
      </w:r>
    </w:p>
    <w:p>
      <w:pPr>
        <w:spacing w:after="120"/>
        <w:jc w:val="both"/>
      </w:pPr>
      <w:r>
        <w:rPr>
          <w:rFonts w:ascii="Arial" w:cs="Arial" w:eastAsia="Arial" w:hAnsi="Arial"/>
          <w:sz w:val="24"/>
          <w:szCs w:val="24"/>
        </w:rPr>
        <w:t xml:space="preserve">Исходя из реальной ситуации на рынке, ведущие мировые банки понижают прогноз цен на золото на 2013 и последующие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цен на золото (в долларах США за унцию)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026"/>
        <w:gridCol w:w="1148"/>
        <w:gridCol w:w="1148"/>
        <w:gridCol w:w="1148"/>
        <w:gridCol w:w="1148"/>
        <w:gridCol w:w="1148"/>
      </w:tblGrid>
      <w:tr>
        <w:tc>
          <w:tcPr>
            <w:tcW w:type="dxa" w:w="4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учреждения</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p>
            <w:pPr>
              <w:jc w:val="left"/>
            </w:pPr>
            <w:r>
              <w:rPr>
                <w:rFonts w:ascii="Arial" w:cs="Arial" w:eastAsia="Arial" w:hAnsi="Arial"/>
                <w:sz w:val="24"/>
                <w:szCs w:val="24"/>
              </w:rPr>
              <w:t xml:space="preserve">полугодие 2013 г.</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Morgan Stanley</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BNP Paribas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Deutsche Bank</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HSBC</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UBS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Barclays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Goldman Sachs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Credit Suisse</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SaxoBank</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Commerzbank</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JPMorgan</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Лондонский GFMS</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1800-1900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Financial Forecast Center8</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цены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1429,4</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1394,2</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Консенсус - прогноз для расчета объемов9</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31.05.13.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1558, 110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известно, при прогнозировании макроэкономических показателей на 2013 финансовый год (утвержден постановлением Правительства Кыргызской Республики от 12 сентября 2012 года № 613), для расчета объемов металлургического производства, несмотря на оптимистические прогнозы ведущих аналитиков крупных банков мира, цены на золото на уровне 1800-2000 долларов США за унцию, в расчет была принята цена ниже, на уровне 1700,0 долларов США за унцию.</w:t>
      </w:r>
    </w:p>
    <w:p>
      <w:pPr>
        <w:spacing w:after="120"/>
        <w:jc w:val="both"/>
      </w:pPr>
      <w:r>
        <w:rPr>
          <w:rFonts w:ascii="Arial" w:cs="Arial" w:eastAsia="Arial" w:hAnsi="Arial"/>
          <w:sz w:val="24"/>
          <w:szCs w:val="24"/>
        </w:rPr>
        <w:t xml:space="preserve">Учитывая фактически сложившуюся ситуацию на рынке золота, с учетом спада цены на золото, произведен перерасчет объемов производства, где на 2013 год принята расчетная цена 1450 долларов США, которая ведет к уменьшению номинального объема, а на 2014 год -1270 долларов США за унцию.</w:t>
      </w:r>
    </w:p>
    <w:p>
      <w:pPr>
        <w:spacing w:after="120"/>
        <w:jc w:val="both"/>
      </w:pPr>
      <w:r>
        <w:rPr>
          <w:rFonts w:ascii="Arial" w:cs="Arial" w:eastAsia="Arial" w:hAnsi="Arial"/>
          <w:sz w:val="24"/>
          <w:szCs w:val="24"/>
        </w:rPr>
        <w:t xml:space="preserve">Соответственно номинальный объем внутреннего валового продукта на 2014 год спрогнозирован на уровне 401,0 млрд. сомов с реальным ростом объема на 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номинального объема ВВП при снижении стоимости золота, замедлении темпов роста ИПЦ</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9"/>
        <w:gridCol w:w="1975"/>
        <w:gridCol w:w="1903"/>
        <w:gridCol w:w="794"/>
        <w:gridCol w:w="1358"/>
      </w:tblGrid>
      <w:tr>
        <w:tc>
          <w:tcPr>
            <w:tcW w:type="dxa" w:w="41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утв.</w:t>
            </w:r>
          </w:p>
        </w:tc>
        <w:tc>
          <w:tcPr>
            <w:tcW w:type="dxa" w:w="19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переем.</w:t>
            </w:r>
          </w:p>
        </w:tc>
        <w:tc>
          <w:tcPr>
            <w:tcW w:type="dxa" w:w="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r>
      <w:tr>
        <w:tc>
          <w:tcPr>
            <w:vMerge w:val="continue"/>
            <w:tcBorders>
              <w:top w:val="single" w:color="CBBF9E" w:sz="4"/>
              <w:left w:val="single" w:color="CBBF9E" w:sz="4"/>
              <w:bottom w:val="single" w:color="CBBF9E" w:sz="4"/>
              <w:right w:val="single" w:color="CBBF9E" w:sz="4"/>
            </w:tcBorders>
          </w:tcP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Цена золота = 1.700 $/тр.унц.</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золота = 1450 $/тр.унц </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золота = 1270</w:t>
            </w:r>
          </w:p>
          <w:p>
            <w:pPr>
              <w:jc w:val="left"/>
            </w:pPr>
            <w:r>
              <w:rPr>
                <w:rFonts w:ascii="Arial" w:cs="Arial" w:eastAsia="Arial" w:hAnsi="Arial"/>
                <w:sz w:val="24"/>
                <w:szCs w:val="24"/>
              </w:rPr>
              <w:t xml:space="preserve">$/гр.унц.</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354419,5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-3278,7</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по разработке месторождения Кумтор,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89063,0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60733,6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-28329,4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67025,6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32884,2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23580,6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25822,4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189033,7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157277,6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-31756,1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176265,4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65242,3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-5872,0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66537,9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184990,3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61991,0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-3518,5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64473,0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63741,1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2198,1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80820,2</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20327,0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301877,4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физического роста (по валовой продукции), %</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166062,2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189495,6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 млн. сомов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40797,0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7024,9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55024,8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Резюмируя, необходимо отметить, что некоторые аналитики сохраняют оптимистичный прогноз по золоту уже во второй половине 2013 года, но в то же время процесс восстановления доверия инвесторов будет затяжным (поскольку ситуация превратилась в психологическую войну) и полагаем, что еще рано будет говорить о полноценной смене тренда цены.</w:t>
      </w:r>
    </w:p>
    <w:p>
      <w:pPr>
        <w:spacing w:after="120"/>
        <w:jc w:val="both"/>
      </w:pPr>
      <w:r>
        <w:rPr>
          <w:rFonts w:ascii="Arial" w:cs="Arial" w:eastAsia="Arial" w:hAnsi="Arial"/>
          <w:sz w:val="24"/>
          <w:szCs w:val="24"/>
        </w:rPr>
        <w:t xml:space="preserve">В случае продолжения снижения цен на золото основными рисками являются сокращение в горнодобывающих компаниях объемов производства (спад ИФО), а также капитальных вложений, направляемых на развитие, соответственно выпадением доходной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Макроэкономические показатели, ожидаемые в 2013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2013 год является восстановление макроэкономической стабильности и обеспечение положительной динамики экономического роста во всех секторах экономики.</w:t>
      </w:r>
    </w:p>
    <w:p>
      <w:pPr>
        <w:spacing w:after="120"/>
        <w:jc w:val="both"/>
      </w:pPr>
      <w:r>
        <w:rPr>
          <w:rFonts w:ascii="Arial" w:cs="Arial" w:eastAsia="Arial" w:hAnsi="Arial"/>
          <w:sz w:val="24"/>
          <w:szCs w:val="24"/>
        </w:rPr>
        <w:t xml:space="preserve">Для этого Правительство Кыргызской Республики будет выполнять свою основную регулятивную функцию, которая заключается в создании эффективной деловой среды в экономике. Это, с одной стороны, - поддержание здоровой и устойчивой макроэкономической ситуации средствами монетарной, фискальной и других видов экономической политики. С другой стороны, установление единых правил хозяйственной деятельности для всех участников, обеспечение конкурентной среды, выработка и контроль над соблюдением нормативов и стандартов, лицензирование, а также переориентация части отечественного бизнеса в связи с перспективами вступления в Таможенный союз и интеграция в будущий Евразийский экономический союз.</w:t>
      </w:r>
    </w:p>
    <w:p>
      <w:pPr>
        <w:spacing w:after="120"/>
        <w:jc w:val="both"/>
      </w:pPr>
      <w:r>
        <w:rPr>
          <w:rFonts w:ascii="Arial" w:cs="Arial" w:eastAsia="Arial" w:hAnsi="Arial"/>
          <w:sz w:val="24"/>
          <w:szCs w:val="24"/>
        </w:rPr>
        <w:t xml:space="preserve">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постепенного уменьшения отрицательного сальдо торгового баланса.</w:t>
      </w:r>
    </w:p>
    <w:p>
      <w:pPr>
        <w:spacing w:after="120"/>
        <w:jc w:val="both"/>
      </w:pPr>
      <w:r>
        <w:rPr>
          <w:rFonts w:ascii="Arial" w:cs="Arial" w:eastAsia="Arial" w:hAnsi="Arial"/>
          <w:sz w:val="24"/>
          <w:szCs w:val="24"/>
        </w:rPr>
        <w:t xml:space="preserve">Работа по этим направлениям активно продвигается в рамках </w:t>
      </w:r>
      <w:hyperlink w:history="1" r:id="rIdean6xzb6tucounxvgfnwu">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на 2013 год по реализации Программы Правительства Кыргызской Республики (</w:t>
      </w:r>
      <w:hyperlink w:history="1" r:id="rIdv2mmz2zgqyz8v75lyf5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марта 2013 года № 111). Большая часть Плана действий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Результатом действий будет обеспечение ожидаемого экономического роста на уровне 7,8%, в основу которого закладывались такие основные факторы как:</w:t>
      </w:r>
    </w:p>
    <w:p>
      <w:pPr>
        <w:spacing w:after="120"/>
        <w:jc w:val="both"/>
      </w:pPr>
      <w:r>
        <w:rPr>
          <w:rFonts w:ascii="Arial" w:cs="Arial" w:eastAsia="Arial" w:hAnsi="Arial"/>
          <w:sz w:val="24"/>
          <w:szCs w:val="24"/>
        </w:rPr>
        <w:t xml:space="preserve">- фактически сложившиеся тенденции - эффект низкой базы 2012 года;</w:t>
      </w:r>
    </w:p>
    <w:p>
      <w:pPr>
        <w:spacing w:after="120"/>
        <w:jc w:val="both"/>
      </w:pPr>
      <w:r>
        <w:rPr>
          <w:rFonts w:ascii="Arial" w:cs="Arial" w:eastAsia="Arial" w:hAnsi="Arial"/>
          <w:sz w:val="24"/>
          <w:szCs w:val="24"/>
        </w:rPr>
        <w:t xml:space="preserve">- восстановление работы на предприятиях по разработке месторождения Кумтор после ремонтно-восстановительных работ и ожидаемое увеличение объемов добычи, а также полный запуск производства листового стекла;</w:t>
      </w:r>
    </w:p>
    <w:p>
      <w:pPr>
        <w:spacing w:after="120"/>
        <w:jc w:val="both"/>
      </w:pPr>
      <w:r>
        <w:rPr>
          <w:rFonts w:ascii="Arial" w:cs="Arial" w:eastAsia="Arial" w:hAnsi="Arial"/>
          <w:sz w:val="24"/>
          <w:szCs w:val="24"/>
        </w:rPr>
        <w:t xml:space="preserve">- ожидаемая стабильная работа в сфере услуг и благоприятные погодные условия для сельского хозяйства;</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 - торговыми партнерами страны;</w:t>
      </w:r>
    </w:p>
    <w:p>
      <w:pPr>
        <w:spacing w:after="120"/>
        <w:jc w:val="both"/>
      </w:pPr>
      <w:r>
        <w:rPr>
          <w:rFonts w:ascii="Arial" w:cs="Arial" w:eastAsia="Arial" w:hAnsi="Arial"/>
          <w:sz w:val="24"/>
          <w:szCs w:val="24"/>
        </w:rPr>
        <w:t xml:space="preserve">- осторожный подход при формировании прогнозных значений объемов металлургического производства и сферы услуг из-за неспокойной внутриполитической обстановки в стране, которая негативно влияет на достижение целевых макроэкономических параметров (остановка горных работ и сокращение объемов добычи руды на месторождение Кумтор (майские события в Джеты-Огузском районе) и движение отвалов на руднике; незавершенность вопросов по Соглашению с ЗАО «Кумтор Оперейтинг Компани»; снижение объемов сферы услуг из-за перекрытия дорог местным населением (майские события в Джалал-Абадской области); отсрочка запуска новых месторождений из-за конфликтов с местным населением, а также приостановление действия лицензий до устранения ряда нарушений и т.д).</w:t>
      </w:r>
    </w:p>
    <w:p>
      <w:pPr>
        <w:spacing w:after="120"/>
        <w:jc w:val="both"/>
      </w:pPr>
      <w:r>
        <w:rPr>
          <w:rFonts w:ascii="Arial" w:cs="Arial" w:eastAsia="Arial" w:hAnsi="Arial"/>
          <w:sz w:val="24"/>
          <w:szCs w:val="24"/>
        </w:rPr>
        <w:t xml:space="preserve">Согласно расчету, в 2013 году номинальный объем ВВП ожидается в сумме 351,1 млрд. сомов, против ранее прогнозируемого номинального объема 354,4 млрд. сомов. Такое ожидаемое снижение сформировано исходя из следующих предпосылок:</w:t>
      </w:r>
    </w:p>
    <w:p>
      <w:pPr>
        <w:spacing w:after="120"/>
        <w:jc w:val="both"/>
      </w:pPr>
      <w:r>
        <w:rPr>
          <w:rFonts w:ascii="Arial" w:cs="Arial" w:eastAsia="Arial" w:hAnsi="Arial"/>
          <w:sz w:val="24"/>
          <w:szCs w:val="24"/>
        </w:rPr>
        <w:t xml:space="preserve">- резкое падение цены на золото (на 18,8% с начала года), в результате чего произведен перерасчет, где на 2013 год принята расчетная цена - 1450 долларов США, вместо ранее принятой цены - 1700 долларов США, которая ведет к уменьшению номинального объема (см. раздел 4);</w:t>
      </w:r>
    </w:p>
    <w:p>
      <w:pPr>
        <w:spacing w:after="120"/>
        <w:jc w:val="both"/>
      </w:pPr>
      <w:r>
        <w:rPr>
          <w:rFonts w:ascii="Arial" w:cs="Arial" w:eastAsia="Arial" w:hAnsi="Arial"/>
          <w:sz w:val="24"/>
          <w:szCs w:val="24"/>
        </w:rPr>
        <w:t xml:space="preserve">- замедление темпов роста индекса потребительских цен (ИПЦ) и соответственно показателя дефлятора ВВП, без учета предприятий по разработке месторождения Кумтор;</w:t>
      </w:r>
    </w:p>
    <w:p>
      <w:pPr>
        <w:spacing w:after="120"/>
        <w:jc w:val="both"/>
      </w:pPr>
      <w:r>
        <w:rPr>
          <w:rFonts w:ascii="Arial" w:cs="Arial" w:eastAsia="Arial" w:hAnsi="Arial"/>
          <w:sz w:val="24"/>
          <w:szCs w:val="24"/>
        </w:rPr>
        <w:t xml:space="preserve">- сдержанные темпы роста в сфере услуг из-за пересмотра роста мирового ВВП и стран-основных торговых партнеров в сторону снижения.</w:t>
      </w:r>
    </w:p>
    <w:p>
      <w:pPr>
        <w:spacing w:after="120"/>
        <w:jc w:val="both"/>
      </w:pPr>
      <w:r>
        <w:rPr>
          <w:rFonts w:ascii="Arial" w:cs="Arial" w:eastAsia="Arial" w:hAnsi="Arial"/>
          <w:sz w:val="24"/>
          <w:szCs w:val="24"/>
        </w:rPr>
        <w:t xml:space="preserve">Основные ожидаемые социально-экономические показатели в 2013 году сложатся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4"/>
        <w:gridCol w:w="988"/>
        <w:gridCol w:w="988"/>
        <w:gridCol w:w="988"/>
        <w:gridCol w:w="862"/>
        <w:gridCol w:w="862"/>
        <w:gridCol w:w="862"/>
        <w:gridCol w:w="862"/>
        <w:gridCol w:w="938"/>
        <w:gridCol w:w="1203"/>
      </w:tblGrid>
      <w:tr>
        <w:tc>
          <w:tcPr>
            <w:tcW w:type="dxa" w:w="16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6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утвержденный</w:t>
            </w:r>
          </w:p>
        </w:tc>
        <w:tc>
          <w:tcPr>
            <w:tcW w:type="dxa" w:w="34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пересмотренный</w:t>
            </w:r>
          </w:p>
        </w:tc>
        <w:tc>
          <w:tcPr>
            <w:tcW w:type="dxa" w:w="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r>
      <w:tr>
        <w:tc>
          <w:tcPr>
            <w:vMerge w:val="continue"/>
            <w:tcBorders>
              <w:top w:val="single" w:color="CBBF9E" w:sz="4"/>
              <w:left w:val="single" w:color="CBBF9E" w:sz="4"/>
              <w:bottom w:val="single" w:color="CBBF9E" w:sz="4"/>
              <w:right w:val="single" w:color="CBBF9E" w:sz="4"/>
            </w:tcBorders>
          </w:tcP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п.п.</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п.п.</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p>
            <w:pPr>
              <w:jc w:val="left"/>
            </w:pPr>
            <w:r>
              <w:rPr>
                <w:rFonts w:ascii="Arial" w:cs="Arial" w:eastAsia="Arial" w:hAnsi="Arial"/>
                <w:sz w:val="24"/>
                <w:szCs w:val="24"/>
              </w:rPr>
              <w:t xml:space="preserve">п.п.</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354419,5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61991,0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65242,3</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166062,2</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1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40797,0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экономический рост на уровне 7,8% будет обеспечиваться вкладом в ВВП всех секторов экономики. При этом наибольший вклад будет обеспечен со стороны сектора услуг (2,6 процентного пункта) и промышленности (3,2 процентного пункта), а вклады строительства (0,7 процентного пункта) и сельского хозяйства (0,3 процентного пункта) будут минимальными.</w:t>
      </w:r>
    </w:p>
    <w:p>
      <w:pPr>
        <w:spacing w:after="120"/>
        <w:jc w:val="both"/>
      </w:pPr>
      <w:r>
        <w:rPr>
          <w:rFonts w:ascii="Arial" w:cs="Arial" w:eastAsia="Arial" w:hAnsi="Arial"/>
          <w:sz w:val="24"/>
          <w:szCs w:val="24"/>
        </w:rPr>
        <w:t xml:space="preserve">Ожидаемый высокий уровень экономического роста обусловлен низкой базой объемов промышленного производства в 2012 году (отрицательный вклад 4,64 процентного пункта), тем самым обеспечив в ожидаемом 2013 году наибольший положительный вклад в структуре ВВП (3,2 процентного пункта).</w:t>
      </w:r>
    </w:p>
    <w:p>
      <w:pPr>
        <w:spacing w:after="120"/>
        <w:jc w:val="both"/>
      </w:pPr>
      <w:r>
        <w:rPr>
          <w:rFonts w:ascii="Arial" w:cs="Arial" w:eastAsia="Arial" w:hAnsi="Arial"/>
          <w:sz w:val="24"/>
          <w:szCs w:val="24"/>
        </w:rPr>
        <w:t xml:space="preserve">В региональном разрезе основная доля производства ВВП в 2013 году будет обеспечиваться за счет функционирования экономик гор. Бишкек, Чуйской, Иссык-Кульской, Джалал-Абадской областей, с удельным весом 76,5%, суммарный вклад которых в ВВП республики составит 6,7%. Значительная доля в общем объеме производства ВВП Джалал-Абадской (11,6%) и Иссык-Кульской (11,4%) областей связана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1,1%) Ошской, Баткенской, Нарынской и Таласской областей и гор. Ош.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7"/>
        <w:gridCol w:w="1410"/>
        <w:gridCol w:w="1410"/>
        <w:gridCol w:w="1275"/>
        <w:gridCol w:w="1275"/>
        <w:gridCol w:w="1275"/>
        <w:gridCol w:w="1275"/>
      </w:tblGrid>
      <w:tr>
        <w:tc>
          <w:tcPr>
            <w:tcW w:type="dxa" w:w="22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предварительный факт</w:t>
            </w:r>
          </w:p>
        </w:tc>
        <w:tc>
          <w:tcPr>
            <w:tcW w:type="dxa" w:w="51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ожидаемый</w:t>
            </w:r>
          </w:p>
        </w:tc>
      </w:tr>
      <w:tr>
        <w:tc>
          <w:tcPr>
            <w:vMerge w:val="continue"/>
            <w:tcBorders>
              <w:top w:val="single" w:color="CBBF9E" w:sz="4"/>
              <w:left w:val="single" w:color="CBBF9E" w:sz="4"/>
              <w:bottom w:val="single" w:color="CBBF9E" w:sz="4"/>
              <w:right w:val="single" w:color="CBBF9E" w:sz="4"/>
            </w:tcBorders>
          </w:tcP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14990,7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35336,0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39975,2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34847,7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41700,4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8716,3</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10076,3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30820,3</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35357,1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7352,5</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8180,8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43313,7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119254,4</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137748,4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9718,6</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11173,2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более низкой, чем ожидалось, инфляции в конце 2012 года и за 5 месяцев 2013 года (101,4%), оценка ожидаемого роста индекса потребительских цен в 2013 году уменьшилась с 8,5% до 6,5%-7,0% к предыдущему году.</w:t>
      </w:r>
    </w:p>
    <w:p>
      <w:pPr>
        <w:spacing w:after="120"/>
        <w:jc w:val="both"/>
      </w:pPr>
      <w:r>
        <w:rPr>
          <w:rFonts w:ascii="Arial" w:cs="Arial" w:eastAsia="Arial" w:hAnsi="Arial"/>
          <w:sz w:val="24"/>
          <w:szCs w:val="24"/>
        </w:rPr>
        <w:t xml:space="preserve">Климатические условия не только в Кыргызской Республике, но и в соседних странах значительно смягчились по сравнению с предыдущим периодом. Завершение ярового сева и хорошее состояние озимых, благоприятные климатические факторы во многих регионах дают повод надеяться на высокий урожай зерновых, который позитивно повлияет на цены. Хороший урожай и высокое предложение предполагают снижение цены на зерно будущего урожая.</w:t>
      </w:r>
    </w:p>
    <w:p>
      <w:pPr>
        <w:spacing w:after="120"/>
        <w:jc w:val="both"/>
      </w:pPr>
      <w:r>
        <w:rPr>
          <w:rFonts w:ascii="Arial" w:cs="Arial" w:eastAsia="Arial" w:hAnsi="Arial"/>
          <w:sz w:val="24"/>
          <w:szCs w:val="24"/>
        </w:rPr>
        <w:t xml:space="preserve">Прогнозируемая умеренная динамика мировых цен на зерно и импортируемое продовольствие будет обеспечивать умеренный рост внутренних цен на продукты, который существенно влияет на потребительские цены. Согласно подготовленному Продовольственной и сельскохозяйственной организацией ООН текущему прогнозу относительно производства пшеницы в мире, его объем в 2013 году составит 695 млн. тонн, что на 5,4% выше урожая прошлого года и всего на 6 млн. т ниже рекордного урожая 2011 года. Ожидается, что основная доля этого прироста придется на страны ЕС и СНГ, где в силу высоких цен произошло расширение посевных площадей, а также в связи с ожидаемым восстановлением обычных объемов урожая в Российской Федерации и Украине, где в прошлом году случилась засуха. По Азии прогнозы также благоприятны, поскольку в основных странах-производителях ожидаются высокие или рекордные урожаи.</w:t>
      </w:r>
    </w:p>
    <w:p>
      <w:pPr>
        <w:spacing w:after="120"/>
        <w:jc w:val="both"/>
      </w:pPr>
      <w:r>
        <w:rPr>
          <w:rFonts w:ascii="Arial" w:cs="Arial" w:eastAsia="Arial" w:hAnsi="Arial"/>
          <w:sz w:val="24"/>
          <w:szCs w:val="24"/>
        </w:rPr>
        <w:t xml:space="preserve">В основу ожидаемого уровня инфляции заложены следующие предпосылки и условия: а) снижение монетарной составляющей инфляции путем ограничения роста денежной массы и стимулирования сбережений населения и регулирования спроса; б) прогнозируемые умеренные показатели инфляции в странах-основных торговых партнерах (Россия - 5,8%, Казахстан - 6,0 - 8,0%, Китай - 3,1%, Еврозона - 1,6%, Мир - 3,8%); в) уменьшение рисков стабильных поставок из стран - поставщиков ГСМ (РФ); г) сезонные колебания цен на сельхозпродукцию; д) успешное применение механизмов таможенно-тарифного регулирования; е) умеренный рост цен на нефтепродукты (Urals до 100-105 долларов США за баррель)12.</w:t>
      </w:r>
    </w:p>
    <w:p>
      <w:pPr>
        <w:spacing w:after="120"/>
        <w:jc w:val="both"/>
      </w:pPr>
      <w:r>
        <w:rPr>
          <w:rFonts w:ascii="Arial" w:cs="Arial" w:eastAsia="Arial" w:hAnsi="Arial"/>
          <w:sz w:val="24"/>
          <w:szCs w:val="24"/>
        </w:rPr>
        <w:t xml:space="preserve">При этом необходимо учитывать возможные риски роста индекса потребительских цен, которые повлияют на повышение целевых ориентиров в 2013 году, такие как: рост мировых цен на продовольствие (цены в 2013 году могут укрепиться на фоне снижения производства и завершения запасов); традиционная зависимость внутреннего рынка хлебопродуктов от импорта муки и зерна, ГСМ (Россия, Казахстан).</w:t>
      </w:r>
    </w:p>
    <w:p>
      <w:pPr>
        <w:spacing w:after="120"/>
        <w:jc w:val="both"/>
      </w:pPr>
      <w:r>
        <w:rPr>
          <w:rFonts w:ascii="Arial" w:cs="Arial" w:eastAsia="Arial" w:hAnsi="Arial"/>
          <w:sz w:val="24"/>
          <w:szCs w:val="24"/>
        </w:rPr>
        <w:t xml:space="preserve">Для недопущения роста инфляции и удержания ее в запланированном коридоре будет продолжена реализация комплекса мер по обеспечению стабильности цен на внутреннем рынке. На постоянной основе будет проводиться мониторинг ситуации на рынке розничных цен на нефтепродукты, продовольственные товары. В случае выявления фактов нарушения антимонопольного законодательства будут приниматься меры антимонопольного регулирования. Будет усилена работа по защите конкуренции, выявлению и пресечению недобросовестной конкуренции, ценового сговора, злоупотреблений субъектами рынка своим доминирующим положением, спекулятивного роста цен, сокращению посреднических звеньев между производителями продукции и конечными потребителями.</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w:t>
      </w:r>
    </w:p>
    <w:p>
      <w:pPr>
        <w:spacing w:after="120"/>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проводиться в соответствии с принятым Совместным заявлением Правительства Кыргызской Республики и Национального банка Кыргызской Республики об экономической политике на 2013 год (постановление Правительства Кыргызской Республики и Национального банка Кыргызской Республики от 31 января 2013 года № 42/52/1).</w:t>
      </w:r>
    </w:p>
    <w:p>
      <w:pPr>
        <w:spacing w:after="120"/>
        <w:jc w:val="both"/>
      </w:pPr>
      <w:r>
        <w:rPr>
          <w:rFonts w:ascii="Arial" w:cs="Arial" w:eastAsia="Arial" w:hAnsi="Arial"/>
          <w:sz w:val="24"/>
          <w:szCs w:val="24"/>
        </w:rPr>
        <w:t xml:space="preserve">В основных секторах экономики ожидаемые показатели на 2013 год выглядят следующем образом:</w:t>
      </w:r>
    </w:p>
    <w:p>
      <w:pPr>
        <w:spacing w:after="120"/>
        <w:jc w:val="both"/>
      </w:pPr>
      <w:r>
        <w:rPr>
          <w:rFonts w:ascii="Arial" w:cs="Arial" w:eastAsia="Arial" w:hAnsi="Arial"/>
          <w:sz w:val="24"/>
          <w:szCs w:val="24"/>
        </w:rPr>
        <w:t xml:space="preserve">(1) В сельском хозяйстве в 2013 году темп реального прироста ожидается на уровне 1,6%, вместо ранее прогнозируемого -1,0%, за счет прироста в растениеводстве - на 2,3% (против 1,5%) и животноводстве - на 1,0% (против 0,5%). Удельный вес в общем объеме ВВП составит 16,7%, а вклад в рост ВВП - 0,3 процентного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сельском хозяйстве,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3"/>
        <w:gridCol w:w="798"/>
        <w:gridCol w:w="1543"/>
        <w:gridCol w:w="1522"/>
        <w:gridCol w:w="832"/>
        <w:gridCol w:w="1140"/>
      </w:tblGrid>
      <w:tr>
        <w:tc>
          <w:tcPr>
            <w:tcW w:type="dxa" w:w="4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7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p>
            <w:pPr>
              <w:jc w:val="left"/>
            </w:pPr>
            <w:r>
              <w:rPr>
                <w:rFonts w:ascii="Arial" w:cs="Arial" w:eastAsia="Arial" w:hAnsi="Arial"/>
                <w:sz w:val="24"/>
                <w:szCs w:val="24"/>
              </w:rPr>
              <w:t xml:space="preserve"/>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1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прогноз</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w:t>
            </w:r>
          </w:p>
        </w:tc>
        <w:tc>
          <w:tcPr>
            <w:vMerge w:val="continue"/>
            <w:tcBorders>
              <w:top w:val="single" w:color="CBBF9E" w:sz="4"/>
              <w:left w:val="none" w:color="auto" w:sz="0"/>
              <w:bottom w:val="single" w:color="CBBF9E" w:sz="4"/>
              <w:right w:val="single" w:color="CBBF9E" w:sz="4"/>
            </w:tcBorders>
          </w:tcP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(включая рыбное хозяйство)</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184990,3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-789,5</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84526,2</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101057,0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94244,1</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-6812,9</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80138,8</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81316,7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87061,7</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5745</w:t>
            </w:r>
          </w:p>
        </w:tc>
      </w:tr>
      <w:tr>
        <w:tc>
          <w:tcPr>
            <w:tcW w:type="dxa" w:w="4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основу ожидаемого роста показателей в сельском хозяйстве заложены следующие предпосылки:</w:t>
      </w:r>
    </w:p>
    <w:p>
      <w:pPr>
        <w:spacing w:after="120"/>
        <w:jc w:val="both"/>
      </w:pPr>
      <w:r>
        <w:rPr>
          <w:rFonts w:ascii="Arial" w:cs="Arial" w:eastAsia="Arial" w:hAnsi="Arial"/>
          <w:sz w:val="24"/>
          <w:szCs w:val="24"/>
        </w:rPr>
        <w:t xml:space="preserve">- увеличение поголовья крупного рогатого скота по итогам 2012 года;</w:t>
      </w:r>
    </w:p>
    <w:p>
      <w:pPr>
        <w:spacing w:after="120"/>
        <w:jc w:val="both"/>
      </w:pPr>
      <w:r>
        <w:rPr>
          <w:rFonts w:ascii="Arial" w:cs="Arial" w:eastAsia="Arial" w:hAnsi="Arial"/>
          <w:sz w:val="24"/>
          <w:szCs w:val="24"/>
        </w:rPr>
        <w:t xml:space="preserve">- увеличение структуры посевных площадей на 2013 год (посевные площади сельскохозяйственных культур намечено довести до 1171,3 тыс. га, или на 4,0 тыс. га больше прошлогоднего);</w:t>
      </w:r>
    </w:p>
    <w:p>
      <w:pPr>
        <w:spacing w:after="120"/>
        <w:jc w:val="both"/>
      </w:pPr>
      <w:r>
        <w:rPr>
          <w:rFonts w:ascii="Arial" w:cs="Arial" w:eastAsia="Arial" w:hAnsi="Arial"/>
          <w:sz w:val="24"/>
          <w:szCs w:val="24"/>
        </w:rPr>
        <w:t xml:space="preserve">- увеличение площади озимого сева под урожай 2013 года на 26,1 тыс. га;</w:t>
      </w:r>
    </w:p>
    <w:p>
      <w:pPr>
        <w:spacing w:after="120"/>
        <w:jc w:val="both"/>
      </w:pPr>
      <w:r>
        <w:rPr>
          <w:rFonts w:ascii="Arial" w:cs="Arial" w:eastAsia="Arial" w:hAnsi="Arial"/>
          <w:sz w:val="24"/>
          <w:szCs w:val="24"/>
        </w:rPr>
        <w:t xml:space="preserve">- эффект от ранее предоставленных льготных кредитов по программе «Доступные кредиты фермерам - 2»;</w:t>
      </w:r>
    </w:p>
    <w:p>
      <w:pPr>
        <w:spacing w:after="120"/>
        <w:jc w:val="both"/>
      </w:pPr>
      <w:r>
        <w:rPr>
          <w:rFonts w:ascii="Arial" w:cs="Arial" w:eastAsia="Arial" w:hAnsi="Arial"/>
          <w:sz w:val="24"/>
          <w:szCs w:val="24"/>
        </w:rPr>
        <w:t xml:space="preserve">- оказание существенной государственной и спонсорской поддержки крестьянским и фермерским хозяйствам: предоставление в лизинг сельхозтехники (за счет кредита Правительства Турецкой Республики закуплено 225 единиц тракторов, 180 единиц из которых выдано сельхозпроизводителям); семенного материала сельскохозяйственных культур; отпуск ГСМ из госматрезерва по ценам ниже рыночных (для проведения весенних работ необходимо 41,2 тыс. тонн дизельного топлива, по данным на 24 мая текущего года, завезено 37,6 тыс. тонн, что составляет 91,3% от полной потребности), продолжение предоставления льготных кредитов.</w:t>
      </w:r>
    </w:p>
    <w:p>
      <w:pPr>
        <w:spacing w:after="120"/>
        <w:jc w:val="both"/>
      </w:pPr>
      <w:r>
        <w:rPr>
          <w:rFonts w:ascii="Arial" w:cs="Arial" w:eastAsia="Arial" w:hAnsi="Arial"/>
          <w:sz w:val="24"/>
          <w:szCs w:val="24"/>
        </w:rPr>
        <w:t xml:space="preserve">Весенняя посевная кампания 2013 года прошла своевременно. По данным на 24 мая текущего года в республике посевная кампания завершена на 96%. Все крестьяне успели уложиться с посевной в установленные сроки. В течение нескольких дней осталось посеять рис, поздние овощи, картофель и табак. Погодные условия по всем регионам республики для зерновых колосовых установились благоприятные, поэтому и урожай ожидается больше, чем в 2012 году, когда в хлебных зонах наблюдалась засуха. Предполагается собрать в пределах 750 тыс. тонн пшеницы.</w:t>
      </w:r>
    </w:p>
    <w:p>
      <w:pPr>
        <w:spacing w:after="120"/>
        <w:jc w:val="both"/>
      </w:pPr>
      <w:r>
        <w:rPr>
          <w:rFonts w:ascii="Arial" w:cs="Arial" w:eastAsia="Arial" w:hAnsi="Arial"/>
          <w:sz w:val="24"/>
          <w:szCs w:val="24"/>
        </w:rPr>
        <w:t xml:space="preserve">Вклад растениеводства в рост общего объема сельского хозяйства ожидается на 1,2 процентного пункта.</w:t>
      </w:r>
    </w:p>
    <w:p>
      <w:pPr>
        <w:spacing w:after="120"/>
        <w:jc w:val="both"/>
      </w:pPr>
      <w:r>
        <w:rPr>
          <w:rFonts w:ascii="Arial" w:cs="Arial" w:eastAsia="Arial" w:hAnsi="Arial"/>
          <w:sz w:val="24"/>
          <w:szCs w:val="24"/>
        </w:rPr>
        <w:t xml:space="preserve">В животноводстве ожидается реальный рост объемов на 1,0% (вместо прогнозируемого ранее на 0,5%), за счет увеличения производства скота и птицы на убой в живом весе во всех категориях хозяйств на 1,1%, где мясо в живом весе составит 356,3 тыс. тонн. Увеличение производства мяса ожидается в основном за счет увеличения поголовья крупного рогатого скота на 28,9 тыс. голов, овец и коз - на 135,8 тыс. голов, лошадей - на 9,8 тыс. голов и домашней птицы - на 261,2 тыс. голов. Производство молока в республике ожидается в объеме 1395,8 тыс. тонн или реально вырастет на 1,0%. Объем производства яиц увеличится на 1,8 млн. шт., при этом реальный темп роста составит 0,4%, темп роста шерсти составит 1,2%.</w:t>
      </w:r>
    </w:p>
    <w:p>
      <w:pPr>
        <w:spacing w:after="120"/>
        <w:jc w:val="both"/>
      </w:pPr>
      <w:r>
        <w:rPr>
          <w:rFonts w:ascii="Arial" w:cs="Arial" w:eastAsia="Arial" w:hAnsi="Arial"/>
          <w:sz w:val="24"/>
          <w:szCs w:val="24"/>
        </w:rPr>
        <w:t xml:space="preserve">Вклад животноводства в рост общего объема сельского хозяйства ожидается на 0,5 процентного пункта.</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(18,6%), Ошская (19,8%), Иссык-Кульская (12,7%) и Чуйская (23,0%) области, суммарный удельный вес которых составляет 74,1%.</w:t>
      </w:r>
    </w:p>
    <w:p>
      <w:pPr>
        <w:spacing w:after="120"/>
        <w:jc w:val="both"/>
      </w:pPr>
      <w:r>
        <w:rPr>
          <w:rFonts w:ascii="Arial" w:cs="Arial" w:eastAsia="Arial" w:hAnsi="Arial"/>
          <w:sz w:val="24"/>
          <w:szCs w:val="24"/>
        </w:rPr>
        <w:t xml:space="preserve">(2) В промышленном секторе13 в 2013 году ожидается увеличение физических объемов производства на 1,8 процентного пункта от ранее прогнозируемого уровня роста в 116,2%. Положительный вклад в рост ВВП составит 3,2 процентного пункта, с удельным весом в общем объеме ВВП 16,9%, сократившись на 1,5 процентного пункта от прогноза (18,4%). Без учета предприятий по разработке месторождения Кумтор, прирост промышленного производства ожидается на уровне 4,6% за счет устойчивой работы производств обрабатывающей и горнодобывающей отраслей.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4726"/>
        <w:gridCol w:w="1583"/>
        <w:gridCol w:w="1036"/>
        <w:gridCol w:w="859"/>
        <w:gridCol w:w="1640"/>
      </w:tblGrid>
      <w:tr>
        <w:tc>
          <w:tcPr>
            <w:tcW w:type="dxa" w:w="3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6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w:t>
            </w:r>
          </w:p>
          <w:p>
            <w:pPr>
              <w:jc w:val="left"/>
            </w:pPr>
            <w:r>
              <w:rPr>
                <w:rFonts w:ascii="Arial" w:cs="Arial" w:eastAsia="Arial" w:hAnsi="Arial"/>
                <w:sz w:val="24"/>
                <w:szCs w:val="24"/>
              </w:rPr>
              <w:t xml:space="preserve">прогноз</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w:t>
            </w:r>
          </w:p>
        </w:tc>
        <w:tc>
          <w:tcPr>
            <w:vMerge w:val="continue"/>
            <w:tcBorders>
              <w:top w:val="single" w:color="CBBF9E" w:sz="4"/>
              <w:left w:val="none" w:color="auto" w:sz="0"/>
              <w:bottom w:val="single" w:color="CBBF9E" w:sz="4"/>
              <w:right w:val="single" w:color="CBBF9E" w:sz="4"/>
            </w:tcBorders>
          </w:tcP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характеризовала ситуация 2012 года.</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(52,8%), производство пищевых продуктов, включая напитки и табак (17,6%), текстильное и швейное производство (9%), производство прочих неметаллических минеральных продуктов (10,7%), суммарный удельный вес которых составляет 90,1%.</w:t>
      </w:r>
    </w:p>
    <w:p>
      <w:pPr>
        <w:spacing w:after="120"/>
        <w:jc w:val="both"/>
      </w:pPr>
      <w:r>
        <w:rPr>
          <w:rFonts w:ascii="Arial" w:cs="Arial" w:eastAsia="Arial" w:hAnsi="Arial"/>
          <w:sz w:val="24"/>
          <w:szCs w:val="24"/>
        </w:rPr>
        <w:t xml:space="preserve">В обрабатывающей промышленности ожидается увеличение производства за счет роста объемов в металлургическом производстве на 7,8 процентного пункта от ранее прогнозируемого уровня роста на 30,9%. Пересмотрены рост прогнозных значений производства пищевых продуктов, включая напитки и табак на 4,6%, вместо 3,9%, химическое производство - на 89,2%, вместо 1,2%, производство прочих неметаллических минеральных продуктов - до 12,0%, вместо прогноза на 8,3%, производство нефтепродуктов - до 5,8%, вместо прогноза на 1,6%.</w:t>
      </w:r>
    </w:p>
    <w:p>
      <w:pPr>
        <w:spacing w:after="120"/>
        <w:jc w:val="both"/>
      </w:pPr>
      <w:r>
        <w:rPr>
          <w:rFonts w:ascii="Arial" w:cs="Arial" w:eastAsia="Arial" w:hAnsi="Arial"/>
          <w:sz w:val="24"/>
          <w:szCs w:val="24"/>
        </w:rPr>
        <w:t xml:space="preserve">Основными предпосылками ожидаемого увеличения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объемы увеличатся за счет постепенного восстановления добычи золота на руднике Кумтор после ремонтных работ в 2012 году, где реальный объем возрастет более чем на 40,0%. Влияние Кумтора на развитие промышленного производства остается доминирующим, удельный вес которого в промышленности продолжает оставаться высоким, составив 39,1%;</w:t>
      </w:r>
    </w:p>
    <w:p>
      <w:pPr>
        <w:spacing w:after="120"/>
        <w:jc w:val="both"/>
      </w:pPr>
      <w:r>
        <w:rPr>
          <w:rFonts w:ascii="Arial" w:cs="Arial" w:eastAsia="Arial" w:hAnsi="Arial"/>
          <w:sz w:val="24"/>
          <w:szCs w:val="24"/>
        </w:rPr>
        <w:t xml:space="preserve">- ожидаемый рост производства пищевых продуктов, включая напитки и табак, за счет пересмотра показателей в сельском хозяйстве в сторону увеличения из-за наступления благоприятных природных условий и ожидаемых эффектов, ранее выданных кредитов по программе «Доступные кредиты фермерам»;</w:t>
      </w:r>
    </w:p>
    <w:p>
      <w:pPr>
        <w:spacing w:after="120"/>
        <w:jc w:val="both"/>
      </w:pPr>
      <w:r>
        <w:rPr>
          <w:rFonts w:ascii="Arial" w:cs="Arial" w:eastAsia="Arial" w:hAnsi="Arial"/>
          <w:sz w:val="24"/>
          <w:szCs w:val="24"/>
        </w:rPr>
        <w:t xml:space="preserve">- в химическом производстве объемы увеличены за счет роста объемов производства фармацевтической, резино-технической, лакокрасочной продукции. Кроме того предприятия ОАО «Кыргызский химико-металлургический завод», в связи с вводом дополнительных мощностей, и Хайдарканское ртутное АО в ожидаемом периоде предусматривают рост объемов производства;</w:t>
      </w:r>
    </w:p>
    <w:p>
      <w:pPr>
        <w:spacing w:after="120"/>
        <w:jc w:val="both"/>
      </w:pPr>
      <w:r>
        <w:rPr>
          <w:rFonts w:ascii="Arial" w:cs="Arial" w:eastAsia="Arial" w:hAnsi="Arial"/>
          <w:sz w:val="24"/>
          <w:szCs w:val="24"/>
        </w:rPr>
        <w:t xml:space="preserve">- в производстве строительных материалов ожидаемый рост производства на 12%, в большей степени, будет обусловлен наращиванием производства для освоения производственной мощности стекольного завода ОсОО «Интергласс», удельный вес которого в общем объеме производства строительных материалов составляет порядка 20%, а также стабильной работой цементного производства (наибольший удельный вес в данной отрасли - свыше 50%). Прирост производства строительных материалов будет поддерживаться спросом на продукцию строительных материалов, связанный, прежде всего, с продолжением работ по восстановлению и строительству жилья, социальной и инженерной инфраструктуры,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 объем производства нефтепродуктов увеличится за счет ввода первых очередей нефтеперерабатывающих заводов в гг.Кара-Балта и Токмок, где первые пробные партии производства ожидаются во II втором полугодии 2013 года.</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1,7%, за счет увеличения добычи угля, лигнита и торфа на 3,9%; сырой нефти и природного газа; предоставление услуг в этих областях на 3,0%. Добыча природного песка и гранулы, каменной крошки, гравия, щебня ожидается в тех объемах, что в 2012 году.</w:t>
      </w:r>
    </w:p>
    <w:p>
      <w:pPr>
        <w:spacing w:after="120"/>
        <w:jc w:val="both"/>
      </w:pPr>
      <w:r>
        <w:rPr>
          <w:rFonts w:ascii="Arial" w:cs="Arial" w:eastAsia="Arial" w:hAnsi="Arial"/>
          <w:sz w:val="24"/>
          <w:szCs w:val="24"/>
        </w:rPr>
        <w:t xml:space="preserve">В энергетической отрасли ожидаемое реальное сокращение объемов производства на 2,4 процентного пункта от ранее прогнозируемого показателя обусловлено, в основном, за счет снижения выработки электроэнергии из-за наступления маловодного периода. Прогнозные показатели выработки электроэнергии на 2013 и последующие годы рассчитаны с учетом среднемноголетней приточности в створе Токтогульского гидроузла и предусматривают рост внутреннего потребления электроэнергии и постепенное снижение объемов экспорта электроэнергии в целях недопущения глубокой сработки Токтогульского водохранилища. Объем покупного газа увеличится в среднем за год на 10,0%, поскольку резервы для роста в электроэнергетической отрасли исчерпаны в 2012 году, и новые мощности для выработки дополнительных объемов электроэнергии ещё не будут введены.</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во всех регионах республики. В разрезе регионов основной вклад в объем промышленного производства традиционно вносит Иссык-Кульская (24,1%), Чуйская (42,0%) области и гор. Бишкек (21,1%), суммарная доля которых составляет 87,2%.</w:t>
      </w:r>
    </w:p>
    <w:p>
      <w:pPr>
        <w:spacing w:after="120"/>
        <w:jc w:val="both"/>
      </w:pPr>
      <w:r>
        <w:rPr>
          <w:rFonts w:ascii="Arial" w:cs="Arial" w:eastAsia="Arial" w:hAnsi="Arial"/>
          <w:sz w:val="24"/>
          <w:szCs w:val="24"/>
        </w:rPr>
        <w:t xml:space="preserve">При этом следует отметить, что номинальные объемы промышленного производства сокращены до 155,2 млрд. сомов, против ранее прогнозируемого 184,5 млрд. сомов, из-за уменьшения номинального объема в металлургическом производстве за счет пересчета из-за резкого падения мировой цены на золото, что в свою очередь, негативно отразилось на уменьшение номинального объема ВВП (см. раздел 4).</w:t>
      </w:r>
    </w:p>
    <w:p>
      <w:pPr>
        <w:spacing w:after="120"/>
        <w:jc w:val="both"/>
      </w:pPr>
      <w:r>
        <w:rPr>
          <w:rFonts w:ascii="Arial" w:cs="Arial" w:eastAsia="Arial" w:hAnsi="Arial"/>
          <w:sz w:val="24"/>
          <w:szCs w:val="24"/>
        </w:rPr>
        <w:t xml:space="preserve">(3) В секторе строительства в 2013 году ожидается увеличение общего объема капитальных вложений с реальным ростом на 12,8% и составит 73,3 млрд. сомов. Исходя из планируемых объемов капитализации экономики, ожидается реальное увеличение общего объема валовой продукции строительства в 2013 году на 12,5% и составит 65,9 млрд. сомов. Положительный вклад строительного сектора в темпы экономического роста составит 0,7 процентного пункта, а удельный вес в структуре производства ВВП - 5,9%.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строительной отрасли,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0"/>
        <w:gridCol w:w="1008"/>
        <w:gridCol w:w="1950"/>
        <w:gridCol w:w="1924"/>
        <w:gridCol w:w="1087"/>
        <w:gridCol w:w="1439"/>
      </w:tblGrid>
      <w:tr>
        <w:tc>
          <w:tcPr>
            <w:tcW w:type="dxa" w:w="27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прогноз</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w:t>
            </w:r>
          </w:p>
        </w:tc>
        <w:tc>
          <w:tcPr>
            <w:vMerge w:val="continue"/>
            <w:tcBorders>
              <w:top w:val="single" w:color="CBBF9E" w:sz="4"/>
              <w:left w:val="none" w:color="auto" w:sz="0"/>
              <w:bottom w:val="single" w:color="CBBF9E" w:sz="4"/>
              <w:right w:val="single" w:color="CBBF9E" w:sz="4"/>
            </w:tcBorders>
          </w:tcP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63741,1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2198,1</w:t>
            </w: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72846,9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73256,7</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w:t>
            </w:r>
          </w:p>
        </w:tc>
      </w:tr>
      <w:tr>
        <w:tc>
          <w:tcPr>
            <w:tcW w:type="dxa" w:w="2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основу ожидаемого роста показателей строительства на 2013 год заложены следующие основные предпосылки:</w:t>
      </w:r>
    </w:p>
    <w:p>
      <w:pPr>
        <w:spacing w:after="120"/>
        <w:jc w:val="both"/>
      </w:pPr>
      <w:r>
        <w:rPr>
          <w:rFonts w:ascii="Arial" w:cs="Arial" w:eastAsia="Arial" w:hAnsi="Arial"/>
          <w:sz w:val="24"/>
          <w:szCs w:val="24"/>
        </w:rPr>
        <w:t xml:space="preserve">- скрытые резервы ввода дополнительных объемов строительных мощностей, многоэтажные строения частных предпринимателей и зарубежных компаний, начало строительства Верхне-Нарынского каскада ГЭС (4 станции) и расширение строительных работ в горнодобывающей и обрабатывающей промышленности;</w:t>
      </w:r>
    </w:p>
    <w:p>
      <w:pPr>
        <w:spacing w:after="120"/>
        <w:jc w:val="both"/>
      </w:pPr>
      <w:r>
        <w:rPr>
          <w:rFonts w:ascii="Arial" w:cs="Arial" w:eastAsia="Arial" w:hAnsi="Arial"/>
          <w:sz w:val="24"/>
          <w:szCs w:val="24"/>
        </w:rPr>
        <w:t xml:space="preserve">- увеличение суммы финансирования за счет средств республиканского бюджета на 2013 год (по сравнению с 2012 годом больше на 751,6 млн. сомов), Программа капитального строительства объектов утверждена в размере 2,4 млрд. сомов;</w:t>
      </w:r>
    </w:p>
    <w:p>
      <w:pPr>
        <w:spacing w:after="120"/>
        <w:jc w:val="both"/>
      </w:pPr>
      <w:r>
        <w:rPr>
          <w:rFonts w:ascii="Arial" w:cs="Arial" w:eastAsia="Arial" w:hAnsi="Arial"/>
          <w:sz w:val="24"/>
          <w:szCs w:val="24"/>
        </w:rPr>
        <w:t xml:space="preserve">- мероприятия, направленные на устранение фактов долгостроев и скорейшего завершения строительства приоритетных объектов;</w:t>
      </w:r>
    </w:p>
    <w:p>
      <w:pPr>
        <w:spacing w:after="120"/>
        <w:jc w:val="both"/>
      </w:pPr>
      <w:r>
        <w:rPr>
          <w:rFonts w:ascii="Arial" w:cs="Arial" w:eastAsia="Arial" w:hAnsi="Arial"/>
          <w:sz w:val="24"/>
          <w:szCs w:val="24"/>
        </w:rPr>
        <w:t xml:space="preserve">- планирование значительных капитальных вложений для улучшения социально-экономической инфраструктуры приграничных сел Баткенской области за счет республиканского бюджета (распоряжение Правительства Кыргызской Республики от 28 января 2013 года № 19-р).</w:t>
      </w:r>
    </w:p>
    <w:p>
      <w:pPr>
        <w:spacing w:after="120"/>
        <w:jc w:val="both"/>
      </w:pPr>
      <w:r>
        <w:rPr>
          <w:rFonts w:ascii="Arial" w:cs="Arial" w:eastAsia="Arial" w:hAnsi="Arial"/>
          <w:sz w:val="24"/>
          <w:szCs w:val="24"/>
        </w:rPr>
        <w:t xml:space="preserve">В 2013 году из республиканского бюджета Кыргызской Республики планируется направить финансирование в приоритетном порядке на завершение объектов образования, где обучение проходит в палатках, аварийные объекты, а также на завершение в текущем году объектов высокой строительной готовности. При этом раскладе запланировано финансирование на завершение 87 объектов, из них 40 объектов образования, 15 объектов здравоохранения, 6 мостов, 4 дорог, 4 объектов пограничной службы, 7 переходящих объектов Государственной дирекции по восстановлению и развитию городов Ош и Джалал-Абад и 9 прочих объектов.</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70,1% и 29,9%, соответственно.</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составит 116,9 млрд. сомов или 33,3% к ВВП.</w:t>
      </w:r>
    </w:p>
    <w:p>
      <w:pPr>
        <w:spacing w:after="120"/>
        <w:jc w:val="both"/>
      </w:pPr>
      <w:r>
        <w:rPr>
          <w:rFonts w:ascii="Arial" w:cs="Arial" w:eastAsia="Arial" w:hAnsi="Arial"/>
          <w:sz w:val="24"/>
          <w:szCs w:val="24"/>
        </w:rPr>
        <w:t xml:space="preserve">Государственные инвестиции ожидаются в сумме 18,7 млрд. сомов или удельный вес в ВВП - 5,3% в том числе, доля прямых государственных инвестиций (далее - ПГИ) - 4,2%.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которые превысят объем государственных инвестиций в 5,2 раза и составят 98,3 млрд. сомов или 28% к ВВП. При этом ожидается приток прямых иностранных инвестиций в сумме 40,9 млрд. сомов или 845,9 млн. долларов США, где рост составит 43,2% по сравнению с 2012 годом.</w:t>
      </w:r>
    </w:p>
    <w:p>
      <w:pPr>
        <w:spacing w:after="120"/>
        <w:jc w:val="both"/>
      </w:pPr>
      <w:r>
        <w:rPr>
          <w:rFonts w:ascii="Arial" w:cs="Arial" w:eastAsia="Arial" w:hAnsi="Arial"/>
          <w:sz w:val="24"/>
          <w:szCs w:val="24"/>
        </w:rPr>
        <w:t xml:space="preserve">В региональном разрезе основной вклад в рост валовой продукции строительства внесут гор. Бишкек (3,97 процентного пункта), Иссык-Кульская (3,11 процентного пункта), Чуйская (1,98 процентного пункта) и Джалал-Абадская (1,95 процентного пункта) области. Основной вклад в капитализацию экономики ожидается со стороны таких регионов, как Джалал-Абадская, Иссык-Кульская, Чуйская области и гор. Бишкек, суммарная доля которых в общем объеме капитальных вложений в 2013 году составит 80,6%, связанных со строительством автодорожной и энергетической инфраструктуры, жилья и объектов сферы услуг на этих территориях.</w:t>
      </w:r>
    </w:p>
    <w:p>
      <w:pPr>
        <w:spacing w:after="120"/>
        <w:jc w:val="both"/>
      </w:pPr>
      <w:r>
        <w:rPr>
          <w:rFonts w:ascii="Arial" w:cs="Arial" w:eastAsia="Arial" w:hAnsi="Arial"/>
          <w:sz w:val="24"/>
          <w:szCs w:val="24"/>
        </w:rPr>
        <w:t xml:space="preserve">(4) Сфера услуг занимает доминирующую долю в структуре ВВП (46,9%), где ожидается реальное увеличение на 5,7%, которое будет обеспечиваться за счет роста торговли на 7,5%, транспортных услуг - на 7,8%, услуг связи - на 12,5%, услуг финансовой деятельности - на 5,4% и услуг гостиниц и ресторанов - на 8,1%. Положительный вклад сферы услуг в формирование ВВП составит 2,56 процентного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9"/>
        <w:gridCol w:w="1325"/>
        <w:gridCol w:w="1085"/>
        <w:gridCol w:w="896"/>
        <w:gridCol w:w="1333"/>
      </w:tblGrid>
      <w:tr>
        <w:tc>
          <w:tcPr>
            <w:tcW w:type="dxa" w:w="55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3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 процентный пункт</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факт</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прогноз</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w:t>
            </w:r>
          </w:p>
        </w:tc>
        <w:tc>
          <w:tcPr>
            <w:vMerge w:val="continue"/>
            <w:tcBorders>
              <w:top w:val="single" w:color="CBBF9E" w:sz="4"/>
              <w:left w:val="none" w:color="auto" w:sz="0"/>
              <w:bottom w:val="single" w:color="CBBF9E" w:sz="4"/>
              <w:right w:val="single" w:color="CBBF9E" w:sz="4"/>
            </w:tcBorders>
          </w:tcP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в секторе услуг на 2013 год будет направлена на улучшение доступности жизненно необходимых услуг и расширение их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Основную долю в структуре услуг будут занимать торговля (32,3%), услуги транспорта и связи (21,8%), реальный рост которых будет поддерживаться увеличением денежных доходов населения на 15,2% в 2013 году.</w:t>
      </w:r>
    </w:p>
    <w:p>
      <w:pPr>
        <w:spacing w:after="120"/>
        <w:jc w:val="both"/>
      </w:pPr>
      <w:r>
        <w:rPr>
          <w:rFonts w:ascii="Arial" w:cs="Arial" w:eastAsia="Arial" w:hAnsi="Arial"/>
          <w:sz w:val="24"/>
          <w:szCs w:val="24"/>
        </w:rPr>
        <w:t xml:space="preserve">Увеличению торговли будет способствовать расширение покупательского спроса, увеличение крупных сетевых предприятий торговли, которые оказывают положительное влияние на качество предоставляемых услуг. В целях достижения баланса различных форм торговли, формирования взвешенной государственной политики, направленной на урегулирование взаимоотношений между субъектами торговли и поставщиками, принят Закон Кыргызской Республики «О внесении изменений и дополнений в </w:t>
      </w:r>
      <w:hyperlink w:history="1" r:id="rIdwuv_mvr9hgnrxhfdadrq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и внесены изменения в действующий Свод правил торговли на территории Кыргызской Республики (</w:t>
      </w:r>
      <w:hyperlink w:history="1" r:id="rIdoyov_vgicfu8ylk_l7v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сентября 2012 года № 633).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Основным приоритетом в развитии дорожной сети является создание международных транспортных коридоров. Для развития транзитного потенциала будет продолжена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Рост услуг связи будет обеспечиваться за счет построения современной сети передачи данных, которая станет базисом для повышения транзитного потенциала Кыргызской Республики. Продолжится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строительство ВОЛС, в частности, по направлениям Балыкчы-Каракол, Ош-Иркештам и Ош-Узген - Джалал-Абад-Таш-Кумыр. Увеличится количество пользователей за счет снижения тарифов сотовой связи и Интернета.</w:t>
      </w:r>
    </w:p>
    <w:p>
      <w:pPr>
        <w:spacing w:after="120"/>
        <w:jc w:val="both"/>
      </w:pPr>
      <w:r>
        <w:rPr>
          <w:rFonts w:ascii="Arial" w:cs="Arial" w:eastAsia="Arial" w:hAnsi="Arial"/>
          <w:sz w:val="24"/>
          <w:szCs w:val="24"/>
        </w:rPr>
        <w:t xml:space="preserve">Туризм рассматривается как один из главных экономических приоритетов страны. Для развития данного направления будет разработан и запущен единый информационный туристический портал, содержащий информацию о бронировании мест в средствах размещения, доступных турах, картах, планировании туров, отзывах туристов и форумах. Организовывается участие отечественных туристических компаний в специализированных туристических выставках и ярмарках (Берлин, Москва, Новосибирск, Екатеринбург, Алматы, Токио, Мадрид), разработаны и изданы печатные информационные материалы о туристических ресурсах Кыргызской Республики, ориентированные на конкретные целевые рынки.</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(55,9%), а также Чуйской (11,3%), Джалал-Абадской (8,4%), Ошской (6,7%) областей. Их суммарный удельный вес составит 82,3%,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Внешнеэкономическая деятельность в 2013 году будет складываться под влиянием таких факторов, как: (а) рост внутреннего производства на 7,8%;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прогнозируемое снижение мировых цен на золото.</w:t>
      </w:r>
    </w:p>
    <w:p>
      <w:pPr>
        <w:spacing w:after="120"/>
        <w:jc w:val="both"/>
      </w:pPr>
      <w:r>
        <w:rPr>
          <w:rFonts w:ascii="Arial" w:cs="Arial" w:eastAsia="Arial" w:hAnsi="Arial"/>
          <w:sz w:val="24"/>
          <w:szCs w:val="24"/>
        </w:rPr>
        <w:t xml:space="preserve">С учетом этих факторов объем внешнеторгового оборота ожидается на уровне 8300 млн. долларов США с номинальным превышением уровня 2012 года на 14,2%, в том числе экспорт составит 2100 млн. долларов США (рост - на 10,9%), импорт - 6200 млн. долларов США (рост на 15,4%).</w:t>
      </w:r>
    </w:p>
    <w:p>
      <w:pPr>
        <w:spacing w:after="120"/>
        <w:jc w:val="both"/>
      </w:pPr>
      <w:r>
        <w:rPr>
          <w:rFonts w:ascii="Arial" w:cs="Arial" w:eastAsia="Arial" w:hAnsi="Arial"/>
          <w:sz w:val="24"/>
          <w:szCs w:val="24"/>
        </w:rPr>
        <w:t xml:space="preserve">Рост объемов экспорта ожидается за счет увеличения экспорта золота почти на 16%, доля которого в структуре экспорта увеличится до 31,1% в 2013 году, против 29,7% в 2012 году. Объемы экспорта без учета золота увеличатся за счет увеличения экспорта одежды и ее принадлежностей - на 15,3%, овощей и фруктов - на 6,2%, хлопка-волокна - на 3,5%, ламп накаливания - на 6,0%, цемента - на 10,1%, ртути - на 35,8%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15,4%, газ природный - на 4,9%, а также некоторым основным видам товаров, которые не производятся в Кыргызской Республике. Таких как, машины и оборудования для промышленности - на 15,4%, электрические машины и аппараты - на 17,0%, удобрения - на 14,9%, транспортные средства - на 15,4%, фармацевтическая продукция - на 15,3%, продтовары - на 12%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в 2013 году (-50,0%) останется практически на уровне 2012 года, которое обусловлено сокращением экспорта золота из-за падения производства и постепенным его восстановлением.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1"/>
        <w:gridCol w:w="2143"/>
        <w:gridCol w:w="2143"/>
      </w:tblGrid>
      <w:tr>
        <w:tc>
          <w:tcPr>
            <w:tcW w:type="dxa" w:w="58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r>
      <w:tr>
        <w:tc>
          <w:tcPr>
            <w:vMerge w:val="continue"/>
            <w:tcBorders>
              <w:top w:val="single" w:color="CBBF9E" w:sz="4"/>
              <w:left w:val="single" w:color="CBBF9E" w:sz="4"/>
              <w:bottom w:val="single" w:color="CBBF9E" w:sz="4"/>
              <w:right w:val="single" w:color="CBBF9E" w:sz="4"/>
            </w:tcBorders>
          </w:tcP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5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19,0%, частного потребления - 97,7%. Рост доли частного потребления, в основном, связан с увеличением номинального размера денежных доходов населения на 15,3%, с повышением среднемесячной номинальной заработной платы на 11,3% и ростом среднемесячного размера пенсии на 9,6%, а также увеличением поступлений трансфертов от мигрантов предположительно до 1,5 млрд. долларов США.</w:t>
      </w:r>
    </w:p>
    <w:p>
      <w:pPr>
        <w:spacing w:after="120"/>
        <w:jc w:val="both"/>
      </w:pPr>
      <w:r>
        <w:rPr>
          <w:rFonts w:ascii="Arial" w:cs="Arial" w:eastAsia="Arial" w:hAnsi="Arial"/>
          <w:sz w:val="24"/>
          <w:szCs w:val="24"/>
        </w:rPr>
        <w:t xml:space="preserve">Исходя из ожидаемых параметров развития экономики в 2013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2013 году увеличится на 13,5% и ожидается в размере 64,6 тыс. сомов;</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15,3%, а реальный темп прироста денежных доходов с учетом ожидаемого роста потребительских цен - на 7,3%;</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11,3%, а реальный рост - на 3,6%. Номинальный размер средней пенсии с учетом компенсации за электроэнергию вырастет на 5,9%;</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1,6%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2012 году до 8,3% в 2013 году.</w:t>
      </w:r>
    </w:p>
    <w:p>
      <w:pPr>
        <w:spacing w:after="120"/>
        <w:jc w:val="both"/>
      </w:pPr>
      <w:r>
        <w:rPr>
          <w:rFonts w:ascii="Arial" w:cs="Arial" w:eastAsia="Arial" w:hAnsi="Arial"/>
          <w:sz w:val="24"/>
          <w:szCs w:val="24"/>
        </w:rPr>
        <w:t xml:space="preserve">Удельный вес расходов из республиканского бюджета на социальную сферу составит более 50% (включая текущие и инвестиционные).</w:t>
      </w:r>
    </w:p>
    <w:p>
      <w:pPr>
        <w:spacing w:after="120"/>
        <w:jc w:val="both"/>
      </w:pPr>
      <w:r>
        <w:rPr>
          <w:rFonts w:ascii="Arial" w:cs="Arial" w:eastAsia="Arial" w:hAnsi="Arial"/>
          <w:sz w:val="24"/>
          <w:szCs w:val="24"/>
        </w:rPr>
        <w:t xml:space="preserve">Таким образом, ожидаемые макроэкономические показатели на 2013 год претерпели изменения по сравнению с ранее утвержденными прогнозными значениями, в основном, за счет пересчета объемов производства из-за падения мировой цены на золото, сдержанного роста дефлятора ВВП из-за пересмотра показателей мирового экономического роста.</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изыскание резервов и принятие мер по обеспечению доходной части бюджета в 2013 году.</w:t>
      </w:r>
    </w:p>
    <w:p>
      <w:pPr>
        <w:spacing w:after="120"/>
        <w:jc w:val="both"/>
      </w:pPr>
      <w:r>
        <w:rPr>
          <w:rFonts w:ascii="Arial" w:cs="Arial" w:eastAsia="Arial" w:hAnsi="Arial"/>
          <w:sz w:val="24"/>
          <w:szCs w:val="24"/>
        </w:rPr>
        <w:t xml:space="preserve">Основными резервами увеличения объемов ВВП являются:</w:t>
      </w:r>
    </w:p>
    <w:p>
      <w:pPr>
        <w:spacing w:after="120"/>
        <w:jc w:val="both"/>
      </w:pPr>
      <w:r>
        <w:rPr>
          <w:rFonts w:ascii="Arial" w:cs="Arial" w:eastAsia="Arial" w:hAnsi="Arial"/>
          <w:sz w:val="24"/>
          <w:szCs w:val="24"/>
        </w:rPr>
        <w:t xml:space="preserve">- ожидаемый рост в металлургическом производстве за счет наращивания объемов добычи на предприятиях по разработке месторождений Кумтор на 42,6 процентного пункта, ОАО «Кыргызалтын» - на 14,8 процентного пункта (заявлены производителями);</w:t>
      </w:r>
    </w:p>
    <w:p>
      <w:pPr>
        <w:spacing w:after="120"/>
        <w:jc w:val="both"/>
      </w:pPr>
      <w:r>
        <w:rPr>
          <w:rFonts w:ascii="Arial" w:cs="Arial" w:eastAsia="Arial" w:hAnsi="Arial"/>
          <w:sz w:val="24"/>
          <w:szCs w:val="24"/>
        </w:rPr>
        <w:t xml:space="preserve">- ожидаемый рост производства нефтепродуктов за счет ввода и наращивания мощности нефтеперерабатывающих заводов;</w:t>
      </w:r>
    </w:p>
    <w:p>
      <w:pPr>
        <w:spacing w:after="120"/>
        <w:jc w:val="both"/>
      </w:pPr>
      <w:r>
        <w:rPr>
          <w:rFonts w:ascii="Arial" w:cs="Arial" w:eastAsia="Arial" w:hAnsi="Arial"/>
          <w:sz w:val="24"/>
          <w:szCs w:val="24"/>
        </w:rPr>
        <w:t xml:space="preserve">- ожидаемое увеличение темпов роста в сельском хозяйстве на 0,4 процентного пункта, за счет увеличения посевной площади путем вовлечения в оборот неиспользуемой пашни, которая не требует капитальных затрат для проведения мелиоративных работ, повышения урожайности культур из-за благоприятных природно-климатических условий и более точного статистического учета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Макроэкономический прогноз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2014 год будет сохранение макроэкономической стабильности и закрепление базовых условий для выхода на устойчивые темпы экономического роста.</w:t>
      </w:r>
    </w:p>
    <w:p>
      <w:pPr>
        <w:spacing w:after="120"/>
        <w:jc w:val="both"/>
      </w:pPr>
      <w:r>
        <w:rPr>
          <w:rFonts w:ascii="Arial" w:cs="Arial" w:eastAsia="Arial" w:hAnsi="Arial"/>
          <w:sz w:val="24"/>
          <w:szCs w:val="24"/>
        </w:rPr>
        <w:t xml:space="preserve">В основу разработки макроэкономической политики на 2014 год заложены следующие предпосылки и условия.</w:t>
      </w:r>
    </w:p>
    <w:p>
      <w:pPr>
        <w:spacing w:after="120"/>
        <w:jc w:val="both"/>
      </w:pPr>
      <w:r>
        <w:rPr>
          <w:rFonts w:ascii="Arial" w:cs="Arial" w:eastAsia="Arial" w:hAnsi="Arial"/>
          <w:sz w:val="24"/>
          <w:szCs w:val="24"/>
        </w:rPr>
        <w:t xml:space="preserve">Прогнозируемые благоприятные внешние факторы воздействия:</w:t>
      </w:r>
    </w:p>
    <w:p>
      <w:pPr>
        <w:spacing w:after="120"/>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120"/>
        <w:jc w:val="both"/>
      </w:pPr>
      <w:r>
        <w:rPr>
          <w:rFonts w:ascii="Arial" w:cs="Arial" w:eastAsia="Arial" w:hAnsi="Arial"/>
          <w:sz w:val="24"/>
          <w:szCs w:val="24"/>
        </w:rPr>
        <w:t xml:space="preserve">- постепенное оздоровление мировой экономики (прогнозируемый рост экономики до 4%);</w:t>
      </w:r>
    </w:p>
    <w:p>
      <w:pPr>
        <w:spacing w:after="120"/>
        <w:jc w:val="both"/>
      </w:pPr>
      <w:r>
        <w:rPr>
          <w:rFonts w:ascii="Arial" w:cs="Arial" w:eastAsia="Arial" w:hAnsi="Arial"/>
          <w:sz w:val="24"/>
          <w:szCs w:val="24"/>
        </w:rPr>
        <w:t xml:space="preserve">- прогнозируемый экономический рост в соседних государствах - России (3,7%), Казахстане (на уровне 5,6%), Китае (8,2%);</w:t>
      </w:r>
    </w:p>
    <w:p>
      <w:pPr>
        <w:spacing w:after="120"/>
        <w:jc w:val="both"/>
      </w:pPr>
      <w:r>
        <w:rPr>
          <w:rFonts w:ascii="Arial" w:cs="Arial" w:eastAsia="Arial" w:hAnsi="Arial"/>
          <w:sz w:val="24"/>
          <w:szCs w:val="24"/>
        </w:rPr>
        <w:t xml:space="preserve">- прогнозируемый умеренный рост инфляции в странах, основных торговых партнерах Кыргызской Республики в России (5,0%), Казахстане (6,0-8,0%), Китае (3,0%);</w:t>
      </w:r>
    </w:p>
    <w:p>
      <w:pPr>
        <w:spacing w:after="120"/>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(ШОС), ЕврАзЭС, СНГ;</w:t>
      </w:r>
    </w:p>
    <w:p>
      <w:pPr>
        <w:spacing w:after="120"/>
        <w:jc w:val="both"/>
      </w:pPr>
      <w:r>
        <w:rPr>
          <w:rFonts w:ascii="Arial" w:cs="Arial" w:eastAsia="Arial" w:hAnsi="Arial"/>
          <w:sz w:val="24"/>
          <w:szCs w:val="24"/>
        </w:rPr>
        <w:t xml:space="preserve">- активное использование членства Кыргызской Республики в ВТО;</w:t>
      </w:r>
    </w:p>
    <w:p>
      <w:pPr>
        <w:spacing w:after="120"/>
        <w:jc w:val="both"/>
      </w:pPr>
      <w:r>
        <w:rPr>
          <w:rFonts w:ascii="Arial" w:cs="Arial" w:eastAsia="Arial" w:hAnsi="Arial"/>
          <w:sz w:val="24"/>
          <w:szCs w:val="24"/>
        </w:rPr>
        <w:t xml:space="preserve">- политическое решение о вступлении Кыргызской Республики в Таможенный союз (далее - ТС);</w:t>
      </w:r>
    </w:p>
    <w:p>
      <w:pPr>
        <w:spacing w:after="120"/>
        <w:jc w:val="both"/>
      </w:pPr>
      <w:r>
        <w:rPr>
          <w:rFonts w:ascii="Arial" w:cs="Arial" w:eastAsia="Arial" w:hAnsi="Arial"/>
          <w:sz w:val="24"/>
          <w:szCs w:val="24"/>
        </w:rPr>
        <w:t xml:space="preserve">-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 прогнозируемая стабилизация мировых цен на нефть на уровне 100-110 долларов за баррель, за счет сокращения спроса на нефть из-за замедления темпов роста мировой экономики;</w:t>
      </w:r>
    </w:p>
    <w:p>
      <w:pPr>
        <w:spacing w:after="120"/>
        <w:jc w:val="both"/>
      </w:pPr>
      <w:r>
        <w:rPr>
          <w:rFonts w:ascii="Arial" w:cs="Arial" w:eastAsia="Arial" w:hAnsi="Arial"/>
          <w:sz w:val="24"/>
          <w:szCs w:val="24"/>
        </w:rPr>
        <w:t xml:space="preserve">- мировая тенденция роста инвестиций в инновации.</w:t>
      </w:r>
    </w:p>
    <w:p>
      <w:pPr>
        <w:spacing w:after="120"/>
        <w:jc w:val="both"/>
      </w:pPr>
      <w:r>
        <w:rPr>
          <w:rFonts w:ascii="Arial" w:cs="Arial" w:eastAsia="Arial" w:hAnsi="Arial"/>
          <w:sz w:val="24"/>
          <w:szCs w:val="24"/>
        </w:rPr>
        <w:t xml:space="preserve">Прогнозируемые неблагоприятные внешние факторы воздействия:</w:t>
      </w:r>
    </w:p>
    <w:p>
      <w:pPr>
        <w:spacing w:after="120"/>
        <w:jc w:val="both"/>
      </w:pPr>
      <w:r>
        <w:rPr>
          <w:rFonts w:ascii="Arial" w:cs="Arial" w:eastAsia="Arial" w:hAnsi="Arial"/>
          <w:sz w:val="24"/>
          <w:szCs w:val="24"/>
        </w:rPr>
        <w:t xml:space="preserve">- финансовая неустойчивость ряда стран Европы и США;</w:t>
      </w:r>
    </w:p>
    <w:p>
      <w:pPr>
        <w:spacing w:after="120"/>
        <w:jc w:val="both"/>
      </w:pPr>
      <w:r>
        <w:rPr>
          <w:rFonts w:ascii="Arial" w:cs="Arial" w:eastAsia="Arial" w:hAnsi="Arial"/>
          <w:sz w:val="24"/>
          <w:szCs w:val="24"/>
        </w:rPr>
        <w:t xml:space="preserve">- ухудшение условий торговли со странами-основными торговыми партнерами, членами ТС (вхождение в ТС может привести к уравниванию (или к подтягиванию) уровня цен Кыргызской Республики с российскими и казахскими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 высокая степень зависимости от внешних заимствований на покрытие дефицита государственного бюджета и риски невыполнения Правительством Кыргызской Республики социальных обязательств в случае непоступления внешнего финансирования на покрытие дефицита бюджета;</w:t>
      </w:r>
    </w:p>
    <w:p>
      <w:pPr>
        <w:spacing w:after="120"/>
        <w:jc w:val="both"/>
      </w:pPr>
      <w:r>
        <w:rPr>
          <w:rFonts w:ascii="Arial" w:cs="Arial" w:eastAsia="Arial" w:hAnsi="Arial"/>
          <w:sz w:val="24"/>
          <w:szCs w:val="24"/>
        </w:rPr>
        <w:t xml:space="preserve">- прогнозируемый рост мировых цен на продовольствие (по оценке ООН - FAO цены на продовольственное сырье в средне- и долгосрочный период будут оставаться относительно высокими в течение примерно следующего десятилетия);</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волотильность мировых цен на золото;</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(ГСМ, газ);</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Прогнозируемые благоприятные внутренние факторы воздействия:</w:t>
      </w:r>
    </w:p>
    <w:p>
      <w:pPr>
        <w:spacing w:after="120"/>
        <w:jc w:val="both"/>
      </w:pPr>
      <w:r>
        <w:rPr>
          <w:rFonts w:ascii="Arial" w:cs="Arial" w:eastAsia="Arial" w:hAnsi="Arial"/>
          <w:sz w:val="24"/>
          <w:szCs w:val="24"/>
        </w:rPr>
        <w:t xml:space="preserve">- восстановление работы на предприятиях по разработке месторождения Кумтор после ремонтно-восстановительных работ, ввод новых месторождений - Иштамберды, Бозымчак;</w:t>
      </w:r>
    </w:p>
    <w:p>
      <w:pPr>
        <w:spacing w:after="120"/>
        <w:jc w:val="both"/>
      </w:pPr>
      <w:r>
        <w:rPr>
          <w:rFonts w:ascii="Arial" w:cs="Arial" w:eastAsia="Arial" w:hAnsi="Arial"/>
          <w:sz w:val="24"/>
          <w:szCs w:val="24"/>
        </w:rPr>
        <w:t xml:space="preserve">- выход на проектную производственную мощность производства листового стекла;</w:t>
      </w:r>
    </w:p>
    <w:p>
      <w:pPr>
        <w:spacing w:after="120"/>
        <w:jc w:val="both"/>
      </w:pPr>
      <w:r>
        <w:rPr>
          <w:rFonts w:ascii="Arial" w:cs="Arial" w:eastAsia="Arial" w:hAnsi="Arial"/>
          <w:sz w:val="24"/>
          <w:szCs w:val="24"/>
        </w:rPr>
        <w:t xml:space="preserve">- запуск нефтеперерабатывающих заводов в гг. Кара-Балта и Токмок;</w:t>
      </w:r>
    </w:p>
    <w:p>
      <w:pPr>
        <w:spacing w:after="120"/>
        <w:jc w:val="both"/>
      </w:pPr>
      <w:r>
        <w:rPr>
          <w:rFonts w:ascii="Arial" w:cs="Arial" w:eastAsia="Arial" w:hAnsi="Arial"/>
          <w:sz w:val="24"/>
          <w:szCs w:val="24"/>
        </w:rPr>
        <w:t xml:space="preserve">- запуск крупных инвестиционных проектов и привлечение, продвижение прямых иностранных инвестиций в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 - торговыми партнерами страны;</w:t>
      </w:r>
    </w:p>
    <w:p>
      <w:pPr>
        <w:spacing w:after="120"/>
        <w:jc w:val="both"/>
      </w:pPr>
      <w:r>
        <w:rPr>
          <w:rFonts w:ascii="Arial" w:cs="Arial" w:eastAsia="Arial" w:hAnsi="Arial"/>
          <w:sz w:val="24"/>
          <w:szCs w:val="24"/>
        </w:rPr>
        <w:t xml:space="preserve">- продолжение политики выдачи льготных кредитов для развития сельского хозяйства и перерабатывающей промышленности;</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120"/>
        <w:jc w:val="both"/>
      </w:pPr>
      <w:r>
        <w:rPr>
          <w:rFonts w:ascii="Arial" w:cs="Arial" w:eastAsia="Arial" w:hAnsi="Arial"/>
          <w:sz w:val="24"/>
          <w:szCs w:val="24"/>
        </w:rPr>
        <w:t xml:space="preserve">- прогнозируемое развитие сельского хозяйства, сферы услуг;</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120"/>
        <w:jc w:val="both"/>
      </w:pPr>
      <w:r>
        <w:rPr>
          <w:rFonts w:ascii="Arial" w:cs="Arial" w:eastAsia="Arial" w:hAnsi="Arial"/>
          <w:sz w:val="24"/>
          <w:szCs w:val="24"/>
        </w:rPr>
        <w:t xml:space="preserve">Прогнозируемые неблагоприятные внутренние факторы воздействия:</w:t>
      </w:r>
    </w:p>
    <w:p>
      <w:pPr>
        <w:spacing w:after="120"/>
        <w:jc w:val="both"/>
      </w:pPr>
      <w:r>
        <w:rPr>
          <w:rFonts w:ascii="Arial" w:cs="Arial" w:eastAsia="Arial" w:hAnsi="Arial"/>
          <w:sz w:val="24"/>
          <w:szCs w:val="24"/>
        </w:rPr>
        <w:t xml:space="preserve">- возможные осложнения общественно-политической ситуации и риск оттока капитала и трудовых ресурсов из страны;</w:t>
      </w:r>
    </w:p>
    <w:p>
      <w:pPr>
        <w:spacing w:after="120"/>
        <w:jc w:val="both"/>
      </w:pPr>
      <w:r>
        <w:rPr>
          <w:rFonts w:ascii="Arial" w:cs="Arial" w:eastAsia="Arial" w:hAnsi="Arial"/>
          <w:sz w:val="24"/>
          <w:szCs w:val="24"/>
        </w:rPr>
        <w:t xml:space="preserve">- сохранение высокого уровня дефицита;</w:t>
      </w:r>
    </w:p>
    <w:p>
      <w:pPr>
        <w:spacing w:after="120"/>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120"/>
        <w:jc w:val="both"/>
      </w:pPr>
      <w:r>
        <w:rPr>
          <w:rFonts w:ascii="Arial" w:cs="Arial" w:eastAsia="Arial" w:hAnsi="Arial"/>
          <w:sz w:val="24"/>
          <w:szCs w:val="24"/>
        </w:rPr>
        <w:t xml:space="preserve">- прогнозируемые риски маловодья, которые могут существенно повлиять на выработку объемов электрической энергии и возможные суровые природно-климатические факторы, которые может оказать негативное воздействие на развитие аграрного сектора;</w:t>
      </w:r>
    </w:p>
    <w:p>
      <w:pPr>
        <w:spacing w:after="120"/>
        <w:jc w:val="both"/>
      </w:pPr>
      <w:r>
        <w:rPr>
          <w:rFonts w:ascii="Arial" w:cs="Arial" w:eastAsia="Arial" w:hAnsi="Arial"/>
          <w:sz w:val="24"/>
          <w:szCs w:val="24"/>
        </w:rPr>
        <w:t xml:space="preserve">- повышение закупочных цен на газ из Узбекистана;</w:t>
      </w:r>
    </w:p>
    <w:p>
      <w:pPr>
        <w:spacing w:after="120"/>
        <w:jc w:val="both"/>
      </w:pPr>
      <w:r>
        <w:rPr>
          <w:rFonts w:ascii="Arial" w:cs="Arial" w:eastAsia="Arial" w:hAnsi="Arial"/>
          <w:sz w:val="24"/>
          <w:szCs w:val="24"/>
        </w:rPr>
        <w:t xml:space="preserve">- присоединение к Таможенному Союзу (сокращение торговой активности оптовых рынков, челночной торговли за счет влияния условий ТС, которое, в свою очередь, в краткосрочном периоде окажет существенное влияние на занятость);</w:t>
      </w:r>
    </w:p>
    <w:p>
      <w:pPr>
        <w:spacing w:after="120"/>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сокращения объемов рээкспорта в Казахстан, Россию и Узбекистан;</w:t>
      </w:r>
    </w:p>
    <w:p>
      <w:pPr>
        <w:spacing w:after="120"/>
        <w:jc w:val="both"/>
      </w:pPr>
      <w:r>
        <w:rPr>
          <w:rFonts w:ascii="Arial" w:cs="Arial" w:eastAsia="Arial" w:hAnsi="Arial"/>
          <w:sz w:val="24"/>
          <w:szCs w:val="24"/>
        </w:rPr>
        <w:t xml:space="preserve">- риск роста теневой экономики.</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прогнозные социально-экономические показатели на 2014 год сложатся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0"/>
        <w:gridCol w:w="1254"/>
        <w:gridCol w:w="1254"/>
        <w:gridCol w:w="1254"/>
        <w:gridCol w:w="1089"/>
        <w:gridCol w:w="1089"/>
        <w:gridCol w:w="1089"/>
        <w:gridCol w:w="1089"/>
      </w:tblGrid>
      <w:tr>
        <w:tc>
          <w:tcPr>
            <w:tcW w:type="dxa" w:w="206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76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43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vMerge w:val="continue"/>
            <w:tcBorders>
              <w:top w:val="single" w:color="CBBF9E" w:sz="4"/>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64473,0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66537,9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189495,6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r>
      <w:tr>
        <w:tc>
          <w:tcPr>
            <w:tcW w:type="dxa" w:w="2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55024,8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2014 год номинальный объем ВВП прогнозируется в сумме 401,0 млрд. сомов, а реальный темп прироста - 6,9%, дефлятор - 106,8%.</w:t>
      </w:r>
    </w:p>
    <w:p>
      <w:pPr>
        <w:spacing w:after="120"/>
        <w:jc w:val="both"/>
      </w:pPr>
      <w:r>
        <w:rPr>
          <w:rFonts w:ascii="Arial" w:cs="Arial" w:eastAsia="Arial" w:hAnsi="Arial"/>
          <w:sz w:val="24"/>
          <w:szCs w:val="24"/>
        </w:rPr>
        <w:t xml:space="preserve">Прогнозируемый экономический рост на уровне 6,9% будет обеспечиваться вкладом в ВВП всех секторов экономики. При этом наибольший вклад будет обеспечен со стороны сектора услуг (2,5 процентного пункта) и промышленности (2,2 процентного пункта), суммарный вклад которых составит 4,7 процентного пункта, а вклады строительства (0,9 процентного пункта) и сельского хозяйства (0,3 процентного пункта) будут минимальными.</w:t>
      </w:r>
    </w:p>
    <w:p>
      <w:pPr>
        <w:spacing w:after="120"/>
        <w:jc w:val="both"/>
      </w:pPr>
      <w:r>
        <w:rPr>
          <w:rFonts w:ascii="Arial" w:cs="Arial" w:eastAsia="Arial" w:hAnsi="Arial"/>
          <w:sz w:val="24"/>
          <w:szCs w:val="24"/>
        </w:rPr>
        <w:t xml:space="preserve">В региональном разрезе основная доля производства ВВП в 2014 году будет обеспечиваться за счет функционирования экономик гор. Бишкек, Чуйской, Иссык-Кульской, Джалал-Абадской областей, с удельным весом 76,7%, суммарный вклад которых в ВВП республики составит 6,2%. Значительные доли в общем объеме производства ВВП Джалал-Абадской (11,1%) и Иссык-Кульской (12,0%)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0,7% - Ошской, Баткенской, Нарынской, Таласской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6"/>
        <w:gridCol w:w="1329"/>
        <w:gridCol w:w="1329"/>
        <w:gridCol w:w="1303"/>
        <w:gridCol w:w="1303"/>
        <w:gridCol w:w="1303"/>
        <w:gridCol w:w="1303"/>
      </w:tblGrid>
      <w:tr>
        <w:tc>
          <w:tcPr>
            <w:tcW w:type="dxa" w:w="23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6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 ожид.</w:t>
            </w:r>
          </w:p>
        </w:tc>
        <w:tc>
          <w:tcPr>
            <w:tcW w:type="dxa" w:w="52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прогноз</w:t>
            </w:r>
          </w:p>
        </w:tc>
      </w:tr>
      <w:tr>
        <w:tc>
          <w:tcPr>
            <w:vMerge w:val="continue"/>
            <w:tcBorders>
              <w:top w:val="single" w:color="CBBF9E" w:sz="4"/>
              <w:left w:val="single" w:color="CBBF9E" w:sz="4"/>
              <w:bottom w:val="single" w:color="CBBF9E" w:sz="4"/>
              <w:right w:val="single" w:color="CBBF9E" w:sz="4"/>
            </w:tcBorders>
          </w:tcP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 %</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17118,6</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18517,8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39975,2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43926,4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41700,4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47929,0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10076,3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11456,4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35357,1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39543,6</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8180,8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9215,8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57939,1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137748,4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159581,1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11173,2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12920,7</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Денежно-кредитная политика.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приоритетных целей развития экономики Национальный банк Кыргызской Республики (далее - НБКР) будет проводить денежно-кредитную политику в рамках Основных направлений денежно-кредитной политики на 2013-2015 годы (постановление Правления НБКР от 12 декабря 2012 года № 48/3).</w:t>
      </w:r>
    </w:p>
    <w:p>
      <w:pPr>
        <w:spacing w:after="120"/>
        <w:jc w:val="both"/>
      </w:pPr>
      <w:r>
        <w:rPr>
          <w:rFonts w:ascii="Arial" w:cs="Arial" w:eastAsia="Arial" w:hAnsi="Arial"/>
          <w:sz w:val="24"/>
          <w:szCs w:val="24"/>
        </w:rPr>
        <w:t xml:space="preserve">НБКР продолжит проведение политики плавающего обменного курса, в случае необходимости будет выступать и как продавец, и как покупатель валюты на межбанковском валютном рынке в целях сглаживания резких колебаний обменного курса сома к доллару США.</w:t>
      </w:r>
    </w:p>
    <w:p>
      <w:pPr>
        <w:spacing w:after="120"/>
        <w:jc w:val="both"/>
      </w:pPr>
      <w:r>
        <w:rPr>
          <w:rFonts w:ascii="Arial" w:cs="Arial" w:eastAsia="Arial" w:hAnsi="Arial"/>
          <w:sz w:val="24"/>
          <w:szCs w:val="24"/>
        </w:rPr>
        <w:t xml:space="preserve">Проведение денежно-кредитной политики НБКР в среднесрочном периоде будет исходить из ожидаемых тенденций развития реального, налогово-бюджетного и внешнего секторов экономики и будет ориентировано на значение инфляции на уровне 7-8% в среднем за период при условии отсутствия шоков.</w:t>
      </w:r>
    </w:p>
    <w:p>
      <w:pPr>
        <w:spacing w:after="120"/>
        <w:jc w:val="both"/>
      </w:pPr>
      <w:r>
        <w:rPr>
          <w:rFonts w:ascii="Arial" w:cs="Arial" w:eastAsia="Arial" w:hAnsi="Arial"/>
          <w:sz w:val="24"/>
          <w:szCs w:val="24"/>
        </w:rPr>
        <w:t xml:space="preserve">При этом темпы прироста денежной базы в 2014 году будут постепенно снижаться до 15,7%, против уровня прироста 16,4% в 2013 году. Темпы прироста М2Х в среднесрочном периоде составят в среднем 18,3%. Скорость обращения широких денег М2Х в течение прогнозируемого периода сохранится в среднем на уровне 3,2.</w:t>
      </w:r>
    </w:p>
    <w:p>
      <w:pPr>
        <w:spacing w:after="120"/>
        <w:jc w:val="both"/>
      </w:pPr>
      <w:r>
        <w:rPr>
          <w:rFonts w:ascii="Arial" w:cs="Arial" w:eastAsia="Arial" w:hAnsi="Arial"/>
          <w:sz w:val="24"/>
          <w:szCs w:val="24"/>
        </w:rPr>
        <w:t xml:space="preserve">На уровень индекса потребительских цен, как сдерживающее, так и возрастающее влияние будут оказывать такие основные факторы, как: (1) отсутствие существенных внешних и внутренних шоков спроса и предложения; (2) умеренный рост цен на продовольственные товары на внутреннем рынке на 5,0%, непродовольственные товары - на 8,0%, услуги - на 9,0%; (3) традиционная зависимость внутреннего рынка хлебопродуктов от импорта муки и зерна; (4) рост цен на сырую нефть (Urals) до 105 долларов США за баррель15 (5) изменение цен на коммунальные услуги; (6) сезонные колебания цен на сельхозпродукцию; (7) влияние условий вхождения в Таможенный союз; (8) сдерживание резких колебаний обменного курса инструментами денежно-кредитной политики; (9) прогнозируемые умеренные показатели инфляции в странах - основных торговых партнерах (Россия - 5,0%, Казахстан - 6,0-8,0%, Китай - 3,0%).</w:t>
      </w:r>
    </w:p>
    <w:p>
      <w:pPr>
        <w:spacing w:after="120"/>
        <w:jc w:val="both"/>
      </w:pPr>
      <w:r>
        <w:rPr>
          <w:rFonts w:ascii="Arial" w:cs="Arial" w:eastAsia="Arial" w:hAnsi="Arial"/>
          <w:sz w:val="24"/>
          <w:szCs w:val="24"/>
        </w:rPr>
        <w:t xml:space="preserve">Помимо фактора сохранения зависимости от внешней ценовой конъюнктуры, внутренняя ценовая ситуация будет предопределяться во многом такими факторами, как структурные реформы сельскохозяйственного сектора, повышение производственного потенциала и конкурентоспособности отечественных товаров, баланс между спросом и предложением товаров и услуг, административно устанавливаемые тарифы, обеспечение устойчивости и сбалансированности поступлений государственных доходов и равномерного распределения государственных расходов в течение финансового года в сочетании с мерами по бюджетной консолидации.</w:t>
      </w:r>
    </w:p>
    <w:p>
      <w:pPr>
        <w:spacing w:after="120"/>
        <w:jc w:val="both"/>
      </w:pPr>
      <w:r>
        <w:rPr>
          <w:rFonts w:ascii="Arial" w:cs="Arial" w:eastAsia="Arial" w:hAnsi="Arial"/>
          <w:sz w:val="24"/>
          <w:szCs w:val="24"/>
        </w:rPr>
        <w:t xml:space="preserve">Для недопущения роста инфляции и удержания ее в запланированном коридоре будет продолжена реализация комплекса мер по обеспечению стабильности цен на внутреннем рынке. На постоянной основе будет проводиться мониторинг ситуации на рынке розничных цен на нефтепродукты, продовольственные товары. Будет усилена работа по защите конкуренции, выявлению и пресечению недобросовестной конкуренции, ценового сговора, злоупотреблений субъектами рынка своим доминирующим положением, спекулятивного роста цен, сокращению посреднических звеньев между производителями продукции и конечными потребителями.</w:t>
      </w:r>
    </w:p>
    <w:p>
      <w:pPr>
        <w:spacing w:after="120"/>
        <w:jc w:val="both"/>
      </w:pPr>
      <w:r>
        <w:rPr>
          <w:rFonts w:ascii="Arial" w:cs="Arial" w:eastAsia="Arial" w:hAnsi="Arial"/>
          <w:sz w:val="24"/>
          <w:szCs w:val="24"/>
        </w:rPr>
        <w:t xml:space="preserve">В случае существенного изменения ситуации на мировых товарно-сырьевых рынках, в инвестиционной политике и секторе государственных финансов, пересмотра тарифной политики Правительством Кыргызской Республики, фактическое значение инфляции может оказаться выше обозначенного инфляционного ориентира.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Бюджетно-налоговая политика будет направлена на увеличение налоговых доходов, упорядочение льгот и освобождений и снижение дефицита бюджета.</w:t>
      </w:r>
    </w:p>
    <w:p>
      <w:pPr>
        <w:spacing w:after="120"/>
        <w:jc w:val="both"/>
      </w:pPr>
      <w:r>
        <w:rPr>
          <w:rFonts w:ascii="Arial" w:cs="Arial" w:eastAsia="Arial" w:hAnsi="Arial"/>
          <w:sz w:val="24"/>
          <w:szCs w:val="24"/>
        </w:rPr>
        <w:t xml:space="preserve">В целом налоговая политика на 2014-2016 годы останется стабильной. При этом основной целью налоговой политики будет стимулирование роста экономики посредством улучшения бизнес-среды и инвестиционного климата в части упрощения налогообложения и справедливого распределения налогового бремени между хозяйствующими субъектами, в рамках разрабатываемой среднесрочной Концепции фискальной политики на 2013-2017 годы, одним из которых является поэтапное снижение налога с продаж для плательщиков НДС.</w:t>
      </w:r>
    </w:p>
    <w:p>
      <w:pPr>
        <w:spacing w:after="120"/>
        <w:jc w:val="both"/>
      </w:pPr>
      <w:r>
        <w:rPr>
          <w:rFonts w:ascii="Arial" w:cs="Arial" w:eastAsia="Arial" w:hAnsi="Arial"/>
          <w:sz w:val="24"/>
          <w:szCs w:val="24"/>
        </w:rPr>
        <w:t xml:space="preserve">Определенные коррективы в параметры бюджета могут быть внесены при окончательном определении условий вступления Кыргызской Республики в Таможенный союз и Единое Экономическое Пространство ЕврАзЭС.</w:t>
      </w:r>
    </w:p>
    <w:p>
      <w:pPr>
        <w:spacing w:after="120"/>
        <w:jc w:val="both"/>
      </w:pPr>
      <w:r>
        <w:rPr>
          <w:rFonts w:ascii="Arial" w:cs="Arial" w:eastAsia="Arial" w:hAnsi="Arial"/>
          <w:sz w:val="24"/>
          <w:szCs w:val="24"/>
        </w:rPr>
        <w:t xml:space="preserve">Основными направлениями налоговой и таможенной политики на предстоящий трехлетний период будут:</w:t>
      </w:r>
    </w:p>
    <w:p>
      <w:pPr>
        <w:spacing w:after="120"/>
        <w:jc w:val="both"/>
      </w:pPr>
      <w:r>
        <w:rPr>
          <w:rFonts w:ascii="Arial" w:cs="Arial" w:eastAsia="Arial" w:hAnsi="Arial"/>
          <w:sz w:val="24"/>
          <w:szCs w:val="24"/>
        </w:rPr>
        <w:t xml:space="preserve">- завершение модернизации и автоматизации налоговой и таможенной служб, обеспечение их гармонизации и интегрированности с Министерством финансов Кыргызской Республики, включая Центральное казначейство;</w:t>
      </w:r>
    </w:p>
    <w:p>
      <w:pPr>
        <w:spacing w:after="120"/>
        <w:jc w:val="both"/>
      </w:pPr>
      <w:r>
        <w:rPr>
          <w:rFonts w:ascii="Arial" w:cs="Arial" w:eastAsia="Arial" w:hAnsi="Arial"/>
          <w:sz w:val="24"/>
          <w:szCs w:val="24"/>
        </w:rPr>
        <w:t xml:space="preserve">- определение стратегии государства по развитию и изменению подходов к специальным налоговым режимам для малого и среднего бизнеса, включая совершенствование упрощенной системы налогообложения, направленной на поддержку развития малого и среднего бизнеса, пересмотр перечня видов деятельности, осуществляемых на основе добровольного и обязательного патента, в том числе путем постепенного повышения стоимости патентов, а также оптимизации видов патентов;</w:t>
      </w:r>
    </w:p>
    <w:p>
      <w:pPr>
        <w:spacing w:after="120"/>
        <w:jc w:val="both"/>
      </w:pPr>
      <w:r>
        <w:rPr>
          <w:rFonts w:ascii="Arial" w:cs="Arial" w:eastAsia="Arial" w:hAnsi="Arial"/>
          <w:sz w:val="24"/>
          <w:szCs w:val="24"/>
        </w:rPr>
        <w:t xml:space="preserve">- оптимизация и исключение дублирования НДС и налога с продаж;</w:t>
      </w:r>
    </w:p>
    <w:p>
      <w:pPr>
        <w:spacing w:after="120"/>
        <w:jc w:val="both"/>
      </w:pPr>
      <w:r>
        <w:rPr>
          <w:rFonts w:ascii="Arial" w:cs="Arial" w:eastAsia="Arial" w:hAnsi="Arial"/>
          <w:sz w:val="24"/>
          <w:szCs w:val="24"/>
        </w:rPr>
        <w:t xml:space="preserve">- трансформация налогообложения движимого имущества в акцизный налог на ГСМ для финансирования дорожной инфраструктуры;</w:t>
      </w:r>
    </w:p>
    <w:p>
      <w:pPr>
        <w:spacing w:after="120"/>
        <w:jc w:val="both"/>
      </w:pPr>
      <w:r>
        <w:rPr>
          <w:rFonts w:ascii="Arial" w:cs="Arial" w:eastAsia="Arial" w:hAnsi="Arial"/>
          <w:sz w:val="24"/>
          <w:szCs w:val="24"/>
        </w:rPr>
        <w:t xml:space="preserve">-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 стимулирование инновационной деятельности и предоставление фискальных льгот предприятиям, работающим прозрачно, и стабильно увеличивающим уплату налогов;</w:t>
      </w:r>
    </w:p>
    <w:p>
      <w:pPr>
        <w:spacing w:after="120"/>
        <w:jc w:val="both"/>
      </w:pPr>
      <w:r>
        <w:rPr>
          <w:rFonts w:ascii="Arial" w:cs="Arial" w:eastAsia="Arial" w:hAnsi="Arial"/>
          <w:sz w:val="24"/>
          <w:szCs w:val="24"/>
        </w:rPr>
        <w:t xml:space="preserve">-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w:t>
      </w:r>
    </w:p>
    <w:p>
      <w:pPr>
        <w:spacing w:after="120"/>
        <w:jc w:val="both"/>
      </w:pPr>
      <w:r>
        <w:rPr>
          <w:rFonts w:ascii="Arial" w:cs="Arial" w:eastAsia="Arial" w:hAnsi="Arial"/>
          <w:sz w:val="24"/>
          <w:szCs w:val="24"/>
        </w:rPr>
        <w:t xml:space="preserve">- максимальное упрощение налогового учета, отчетности, всех налоговых процедур и рассмотрение их с точки зрения удобства для налогоплательщика;</w:t>
      </w:r>
    </w:p>
    <w:p>
      <w:pPr>
        <w:spacing w:after="120"/>
        <w:jc w:val="both"/>
      </w:pPr>
      <w:r>
        <w:rPr>
          <w:rFonts w:ascii="Arial" w:cs="Arial" w:eastAsia="Arial" w:hAnsi="Arial"/>
          <w:sz w:val="24"/>
          <w:szCs w:val="24"/>
        </w:rPr>
        <w:t xml:space="preserve">- создание налогового суда и условий для соответствующей подготовки судей;</w:t>
      </w:r>
    </w:p>
    <w:p>
      <w:pPr>
        <w:spacing w:after="120"/>
        <w:jc w:val="both"/>
      </w:pPr>
      <w:r>
        <w:rPr>
          <w:rFonts w:ascii="Arial" w:cs="Arial" w:eastAsia="Arial" w:hAnsi="Arial"/>
          <w:sz w:val="24"/>
          <w:szCs w:val="24"/>
        </w:rPr>
        <w:t xml:space="preserve">- предоставление возможностей к подаче налоговых отчетов и деклараций в электронной форме и по электронным каналам связи всеми налогоплательщиками;</w:t>
      </w:r>
    </w:p>
    <w:p>
      <w:pPr>
        <w:spacing w:after="120"/>
        <w:jc w:val="both"/>
      </w:pPr>
      <w:r>
        <w:rPr>
          <w:rFonts w:ascii="Arial" w:cs="Arial" w:eastAsia="Arial" w:hAnsi="Arial"/>
          <w:sz w:val="24"/>
          <w:szCs w:val="24"/>
        </w:rPr>
        <w:t xml:space="preserve">- жесткая регламентация процедур налоговых проверок и полное внедрение системы проверок на основе оценки рисков.</w:t>
      </w:r>
    </w:p>
    <w:p>
      <w:pPr>
        <w:spacing w:after="120"/>
        <w:jc w:val="both"/>
      </w:pPr>
      <w:r>
        <w:rPr>
          <w:rFonts w:ascii="Arial" w:cs="Arial" w:eastAsia="Arial" w:hAnsi="Arial"/>
          <w:sz w:val="24"/>
          <w:szCs w:val="24"/>
        </w:rPr>
        <w:t xml:space="preserve">Будет рассмотрено также предложение по увеличению роли акцизных налогов как инструмента регулирования частного потребления.</w:t>
      </w:r>
    </w:p>
    <w:p>
      <w:pPr>
        <w:spacing w:after="120"/>
        <w:jc w:val="both"/>
      </w:pPr>
      <w:r>
        <w:rPr>
          <w:rFonts w:ascii="Arial" w:cs="Arial" w:eastAsia="Arial" w:hAnsi="Arial"/>
          <w:sz w:val="24"/>
          <w:szCs w:val="24"/>
        </w:rPr>
        <w:t xml:space="preserve">Бюджетная политика будет направлена на решение следующих задач:</w:t>
      </w:r>
    </w:p>
    <w:p>
      <w:pPr>
        <w:spacing w:after="120"/>
        <w:jc w:val="both"/>
      </w:pPr>
      <w:r>
        <w:rPr>
          <w:rFonts w:ascii="Arial" w:cs="Arial" w:eastAsia="Arial" w:hAnsi="Arial"/>
          <w:sz w:val="24"/>
          <w:szCs w:val="24"/>
        </w:rPr>
        <w:t xml:space="preserve">- повышение эффективности управления ресурсами бюджета и оптимизация расходов, в частности, путем сокращения неприоритетных расходов бюджета;</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продолжение проведения тесной координации денежно-кредитной и бюджетно - налоговых политик.</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рамках действующей </w:t>
      </w:r>
      <w:r>
        <w:rPr>
          <w:rFonts w:ascii="Arial" w:cs="Arial" w:eastAsia="Arial" w:hAnsi="Arial"/>
          <w:sz w:val="24"/>
          <w:szCs w:val="24"/>
        </w:rPr>
        <w:t xml:space="preserve">Стратегии</w:t>
      </w:r>
      <w:r>
        <w:rPr>
          <w:rFonts w:ascii="Arial" w:cs="Arial" w:eastAsia="Arial" w:hAnsi="Arial"/>
          <w:sz w:val="24"/>
          <w:szCs w:val="24"/>
        </w:rPr>
        <w:t xml:space="preserve"> управления государственным долгом Кыргызской Республики на 2012-2014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22 марта 2012 года № 188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политика Правительства Кыргызской Республики будет направлена на: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привлечение внешних кредитов и грантов в соответствии с приоритетами государства;</w:t>
      </w:r>
    </w:p>
    <w:p>
      <w:pPr>
        <w:spacing w:after="120"/>
        <w:jc w:val="both"/>
      </w:pPr>
      <w:r>
        <w:rPr>
          <w:rFonts w:ascii="Arial" w:cs="Arial" w:eastAsia="Arial" w:hAnsi="Arial"/>
          <w:sz w:val="24"/>
          <w:szCs w:val="24"/>
        </w:rPr>
        <w:t xml:space="preserve">- обеспечение соблюдения степени минимальной льготности (грант-элемент) для всех новых внешних заимствований на уровне 35%;</w:t>
      </w:r>
    </w:p>
    <w:p>
      <w:pPr>
        <w:spacing w:after="120"/>
        <w:jc w:val="both"/>
      </w:pPr>
      <w:r>
        <w:rPr>
          <w:rFonts w:ascii="Arial" w:cs="Arial" w:eastAsia="Arial" w:hAnsi="Arial"/>
          <w:sz w:val="24"/>
          <w:szCs w:val="24"/>
        </w:rPr>
        <w:t xml:space="preserve">- проведение мероприятий по снижению уровня внешнего долга путем проведения переговоров со странами-кредиторами в двустороннем формате по рассмотрению вопроса о предоставлении реструктуризации долга, проведение своп-операций (обмен долга на активы, развитие и т.д.), а также его списание или преобразование в грант.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инвестиционной политики является повышение привлекательности инвестиционного климата Кыргызской Республики и реализация инвестиционных проектов.</w:t>
      </w:r>
    </w:p>
    <w:p>
      <w:pPr>
        <w:spacing w:after="120"/>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120"/>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 Постепенно будут внедряться механизмы государственно - частного партнерства и планируется реализация пилотных проектов, направленных на улучшение инфраструктуры экономики страны.</w:t>
      </w:r>
    </w:p>
    <w:p>
      <w:pPr>
        <w:spacing w:after="120"/>
        <w:jc w:val="both"/>
      </w:pPr>
      <w:r>
        <w:rPr>
          <w:rFonts w:ascii="Arial" w:cs="Arial" w:eastAsia="Arial" w:hAnsi="Arial"/>
          <w:sz w:val="24"/>
          <w:szCs w:val="24"/>
        </w:rPr>
        <w:t xml:space="preserve">Инвестиционная политика в 2014 году будет сфокусирована на следующих двух приоритетных направлениях:</w:t>
      </w:r>
    </w:p>
    <w:p>
      <w:pPr>
        <w:spacing w:after="120"/>
        <w:jc w:val="both"/>
      </w:pPr>
      <w:r>
        <w:rPr>
          <w:rFonts w:ascii="Arial" w:cs="Arial" w:eastAsia="Arial" w:hAnsi="Arial"/>
          <w:sz w:val="24"/>
          <w:szCs w:val="24"/>
        </w:rPr>
        <w:t xml:space="preserve">1) Повышение эффективности государственной инвестиционной политики через:</w:t>
      </w:r>
    </w:p>
    <w:p>
      <w:pPr>
        <w:spacing w:after="120"/>
        <w:jc w:val="both"/>
      </w:pPr>
      <w:r>
        <w:rPr>
          <w:rFonts w:ascii="Arial" w:cs="Arial" w:eastAsia="Arial" w:hAnsi="Arial"/>
          <w:sz w:val="24"/>
          <w:szCs w:val="24"/>
        </w:rPr>
        <w:t xml:space="preserve">- повышение институционального потенциала;</w:t>
      </w:r>
    </w:p>
    <w:p>
      <w:pPr>
        <w:spacing w:after="120"/>
        <w:jc w:val="both"/>
      </w:pPr>
      <w:r>
        <w:rPr>
          <w:rFonts w:ascii="Arial" w:cs="Arial" w:eastAsia="Arial" w:hAnsi="Arial"/>
          <w:sz w:val="24"/>
          <w:szCs w:val="24"/>
        </w:rPr>
        <w:t xml:space="preserve">- улучшение доступа к достоверной информации (это проведение ежегодных исследований инвестиционных преимуществ страны по региональному и отраслевому признакам; создание единой базы данных по действующим и планируемым инвестиционным проектам; обеспечение открытого широкополосного доступа потенциальных инвесторов к данной базе через Интернет; информирование местного населения о потенциальных выгодах планируемых и действующих проектов);</w:t>
      </w:r>
    </w:p>
    <w:p>
      <w:pPr>
        <w:spacing w:after="120"/>
        <w:jc w:val="both"/>
      </w:pPr>
      <w:r>
        <w:rPr>
          <w:rFonts w:ascii="Arial" w:cs="Arial" w:eastAsia="Arial" w:hAnsi="Arial"/>
          <w:sz w:val="24"/>
          <w:szCs w:val="24"/>
        </w:rPr>
        <w:t xml:space="preserve">- формирование стабильного законодательства через следующие инициативы: (а) внесение изменений и дополнений в законодательство в части уточнения формулировки права инвестора на выбор стабильного и благоприятного правового режима; (б) разработка порядка реализации прав инвестора на выбор наиболее благоприятного режима в случае изменения законодательства путем принятия подзаконных нормативных правовых актов; (в) внесение законодательных ограничений на принятие нормативных актов, ухудшающих положение инвесторов; (г)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jc w:val="both"/>
      </w:pPr>
      <w:r>
        <w:rPr>
          <w:rFonts w:ascii="Arial" w:cs="Arial" w:eastAsia="Arial" w:hAnsi="Arial"/>
          <w:sz w:val="24"/>
          <w:szCs w:val="24"/>
        </w:rPr>
        <w:t xml:space="preserve">- повышение кадрового потенциала обеспечения инвестиционного процесса будет решаться через: (а) организацию системы регулярного повышения кадрового потенциала сотрудников, участвующих в разработке инвестиционной политики и продвижении инвестиций; (б) организацию мероприятий по изучению опыта лучших зарубежных агентств по привлечению инвестиций; (в) разработку и внедрение механизма размещения государственных заказов в системе образования на переподготовку кадров.</w:t>
      </w:r>
    </w:p>
    <w:p>
      <w:pPr>
        <w:spacing w:after="120"/>
        <w:jc w:val="both"/>
      </w:pPr>
      <w:r>
        <w:rPr>
          <w:rFonts w:ascii="Arial" w:cs="Arial" w:eastAsia="Arial" w:hAnsi="Arial"/>
          <w:sz w:val="24"/>
          <w:szCs w:val="24"/>
        </w:rPr>
        <w:t xml:space="preserve">2) Формирование механизмов привлечения и поддержки инвестиций через такие меры как:</w:t>
      </w:r>
    </w:p>
    <w:p>
      <w:pPr>
        <w:spacing w:after="120"/>
        <w:jc w:val="both"/>
      </w:pPr>
      <w:r>
        <w:rPr>
          <w:rFonts w:ascii="Arial" w:cs="Arial" w:eastAsia="Arial" w:hAnsi="Arial"/>
          <w:sz w:val="24"/>
          <w:szCs w:val="24"/>
        </w:rPr>
        <w:t xml:space="preserve">- разработка критериев определения проектов для получения преференций и стимулов;</w:t>
      </w:r>
    </w:p>
    <w:p>
      <w:pPr>
        <w:spacing w:after="120"/>
        <w:jc w:val="both"/>
      </w:pPr>
      <w:r>
        <w:rPr>
          <w:rFonts w:ascii="Arial" w:cs="Arial" w:eastAsia="Arial" w:hAnsi="Arial"/>
          <w:sz w:val="24"/>
          <w:szCs w:val="24"/>
        </w:rPr>
        <w:t xml:space="preserve">- разработка карты инвестиционных стимулов (КИС) по следующим критериям: объем инвестиций, территория, сектор экономики;</w:t>
      </w:r>
    </w:p>
    <w:p>
      <w:pPr>
        <w:spacing w:after="120"/>
        <w:jc w:val="both"/>
      </w:pPr>
      <w:r>
        <w:rPr>
          <w:rFonts w:ascii="Arial" w:cs="Arial" w:eastAsia="Arial" w:hAnsi="Arial"/>
          <w:sz w:val="24"/>
          <w:szCs w:val="24"/>
        </w:rPr>
        <w:t xml:space="preserve">- разработка нормативных правовых актов, регулирующих порядок предоставления инвестиционных преференций на основе КИС;</w:t>
      </w:r>
    </w:p>
    <w:p>
      <w:pPr>
        <w:spacing w:after="120"/>
        <w:jc w:val="both"/>
      </w:pPr>
      <w:r>
        <w:rPr>
          <w:rFonts w:ascii="Arial" w:cs="Arial" w:eastAsia="Arial" w:hAnsi="Arial"/>
          <w:sz w:val="24"/>
          <w:szCs w:val="24"/>
        </w:rPr>
        <w:t xml:space="preserve">- разработка и распространение инвестиционных справочников по предоставляемым стимулам;</w:t>
      </w:r>
    </w:p>
    <w:p>
      <w:pPr>
        <w:spacing w:after="120"/>
        <w:jc w:val="both"/>
      </w:pPr>
      <w:r>
        <w:rPr>
          <w:rFonts w:ascii="Arial" w:cs="Arial" w:eastAsia="Arial" w:hAnsi="Arial"/>
          <w:sz w:val="24"/>
          <w:szCs w:val="24"/>
        </w:rPr>
        <w:t xml:space="preserve">- снижение пороговой суммы, требуемой для получения инвестиционной визы;</w:t>
      </w:r>
    </w:p>
    <w:p>
      <w:pPr>
        <w:spacing w:after="120"/>
        <w:jc w:val="both"/>
      </w:pPr>
      <w:r>
        <w:rPr>
          <w:rFonts w:ascii="Arial" w:cs="Arial" w:eastAsia="Arial" w:hAnsi="Arial"/>
          <w:sz w:val="24"/>
          <w:szCs w:val="24"/>
        </w:rPr>
        <w:t xml:space="preserve">- разработка и внедрение системы оценки деятельности инвесторов и их поощрения через присуждение ежегодных званий, например «Инвестор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Инновационная политика, экологическая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фактору применения инноваций в бизнесе Кыргызстан находится на 127 месте из 144 стран мира16, и этот показатель продолжает ухудшаться (в 2008 - 122 место).</w:t>
      </w:r>
    </w:p>
    <w:p>
      <w:pPr>
        <w:spacing w:after="120"/>
        <w:jc w:val="both"/>
      </w:pPr>
      <w:r>
        <w:rPr>
          <w:rFonts w:ascii="Arial" w:cs="Arial" w:eastAsia="Arial" w:hAnsi="Arial"/>
          <w:sz w:val="24"/>
          <w:szCs w:val="24"/>
        </w:rPr>
        <w:t xml:space="preserve">В 2011 году разработку и внедрение технологических инноваций в промышленности республики осуществляли всего 38 предприятий - 2% от имеющихся (48 в 2011 году - 2,4%). Наиболее активная инновационная деятельность отмечалась в 2011 году на предприятиях по производству пищевых продуктов - 14 предприятий, производству и распределению электроэнергии, газа и воды - 3, металлургического производства и производства готовых металлических изделий - 4, производству прочих неметаллических минеральных продуктов - 4, текстильно-швейного производства - 4. Наиболее активно внедряются инновационные процессы в промышленно развитых зонах гор. Бишкек и Чуйской области - на 29 предприятиях (76,3% от общего числа инновационно-активных предприятий). В то же время, ни одним предприятием Баткенской области и гор. Ош инновации в производственные процессы в 2011 году не внедрялись.</w:t>
      </w:r>
    </w:p>
    <w:p>
      <w:pPr>
        <w:spacing w:after="120"/>
        <w:jc w:val="both"/>
      </w:pPr>
      <w:r>
        <w:rPr>
          <w:rFonts w:ascii="Arial" w:cs="Arial" w:eastAsia="Arial" w:hAnsi="Arial"/>
          <w:sz w:val="24"/>
          <w:szCs w:val="24"/>
        </w:rPr>
        <w:t xml:space="preserve">Инновационно-активными предприятиями освоен и выпускается 71 новый вид продукции, 44 из которых приходится на производство пищевых продуктов, включая напитки, и табак. Среди них, сухие сливки, новые виды безалкогольных и алкогольных напитков, фруктовых и овощных соков, лапша быстрого приготовления. Также освоен выпуск новых видов центрифуг, плазмоэкстракторов, иглоотсекателей, фотореле, новые виды детской мебели, стенок для детских садов, меховых изделий.</w:t>
      </w:r>
    </w:p>
    <w:p>
      <w:pPr>
        <w:spacing w:after="120"/>
        <w:jc w:val="both"/>
      </w:pPr>
      <w:r>
        <w:rPr>
          <w:rFonts w:ascii="Arial" w:cs="Arial" w:eastAsia="Arial" w:hAnsi="Arial"/>
          <w:sz w:val="24"/>
          <w:szCs w:val="24"/>
        </w:rPr>
        <w:t xml:space="preserve">Затраты на технологические инновации в промышленности весьма незначительны и явно несоизмеримы с реальными потребностями отечественной экономики в обновлении основных производственных фондов и расширении производства принципиально новой конкурентоспособной продукции. В 2011 году затраты на технологические инновации составили 505,0 млн. сомов, на маркетинговые инновации - 0,2 млн. сомов. Исходя из вышеизложенного, следует отметить, что внедрение инноваций предприятиями республики остается крайне низким и не соответствует потребностям устойчивого экономического роста.</w:t>
      </w:r>
    </w:p>
    <w:p>
      <w:pPr>
        <w:spacing w:after="120"/>
        <w:jc w:val="both"/>
      </w:pPr>
      <w:r>
        <w:rPr>
          <w:rFonts w:ascii="Arial" w:cs="Arial" w:eastAsia="Arial" w:hAnsi="Arial"/>
          <w:sz w:val="24"/>
          <w:szCs w:val="24"/>
        </w:rPr>
        <w:t xml:space="preserve">Создание инноваций - затратный процесс, требующий кредитования либо финансирования «в долг», а также неразвитость венчурного финансирования, отсутствие собственных средств для исследований, наряду с отсутствием государственной системы поддержки и внедрения новых технологий делает создание инноваций недоступными для отечественных предприятий.</w:t>
      </w:r>
    </w:p>
    <w:p>
      <w:pPr>
        <w:spacing w:after="120"/>
        <w:jc w:val="both"/>
      </w:pPr>
      <w:r>
        <w:rPr>
          <w:rFonts w:ascii="Arial" w:cs="Arial" w:eastAsia="Arial" w:hAnsi="Arial"/>
          <w:sz w:val="24"/>
          <w:szCs w:val="24"/>
        </w:rPr>
        <w:t xml:space="preserve">Учитывая эти проблемы, приоритетными направлениями определены следующие:</w:t>
      </w:r>
    </w:p>
    <w:p>
      <w:pPr>
        <w:spacing w:after="120"/>
        <w:jc w:val="both"/>
      </w:pPr>
      <w:r>
        <w:rPr>
          <w:rFonts w:ascii="Arial" w:cs="Arial" w:eastAsia="Arial" w:hAnsi="Arial"/>
          <w:sz w:val="24"/>
          <w:szCs w:val="24"/>
        </w:rPr>
        <w:t xml:space="preserve">- создание благоприятных условий для развития инновационной деятельности и использования объектов ИС;</w:t>
      </w:r>
    </w:p>
    <w:p>
      <w:pPr>
        <w:spacing w:after="120"/>
        <w:jc w:val="both"/>
      </w:pPr>
      <w:r>
        <w:rPr>
          <w:rFonts w:ascii="Arial" w:cs="Arial" w:eastAsia="Arial" w:hAnsi="Arial"/>
          <w:sz w:val="24"/>
          <w:szCs w:val="24"/>
        </w:rPr>
        <w:t xml:space="preserve">-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w:t>
      </w:r>
    </w:p>
    <w:p>
      <w:pPr>
        <w:spacing w:after="120"/>
        <w:jc w:val="both"/>
      </w:pPr>
      <w:r>
        <w:rPr>
          <w:rFonts w:ascii="Arial" w:cs="Arial" w:eastAsia="Arial" w:hAnsi="Arial"/>
          <w:sz w:val="24"/>
          <w:szCs w:val="24"/>
        </w:rPr>
        <w:t xml:space="preserve">- совершенствование нормативной правовой базы в сфере инновационной деятельности и защиты прав на объекты ИС;</w:t>
      </w:r>
    </w:p>
    <w:p>
      <w:pPr>
        <w:spacing w:after="120"/>
        <w:jc w:val="both"/>
      </w:pPr>
      <w:r>
        <w:rPr>
          <w:rFonts w:ascii="Arial" w:cs="Arial" w:eastAsia="Arial" w:hAnsi="Arial"/>
          <w:sz w:val="24"/>
          <w:szCs w:val="24"/>
        </w:rPr>
        <w:t xml:space="preserve">- создание условий для обучения, повышение квалификации и информированности общества о роли и значении ИС и инновационной деятельности.</w:t>
      </w:r>
    </w:p>
    <w:p>
      <w:pPr>
        <w:spacing w:after="120"/>
        <w:jc w:val="both"/>
      </w:pPr>
      <w:r>
        <w:rPr>
          <w:rFonts w:ascii="Arial" w:cs="Arial" w:eastAsia="Arial" w:hAnsi="Arial"/>
          <w:sz w:val="24"/>
          <w:szCs w:val="24"/>
        </w:rPr>
        <w:t xml:space="preserve">Для продвижения этих направлений Правительство Кыргызской Республики намерено реализовать следующие меры: (а) разработать критерии отнесения технологий к инновационным, энергосберегающим и энергоэффективным; (б) создать реестр инновационных, энергосберегающих и энергоэффективных технологий; (в) создать перечень (реестр) потребностей промышленности и разработок; (г) оказывать услуги по поиску, отбору и маркетингу инновационных технологий; (г) провести комплексный анализ состояния инновационной деятельности в стране, способствующей становлению экономики; (д) разработать и внести предложения по адаптации отечественных статистических показателей в области инновационного развития к мировым стандартам; (е) разработать и внести на рассмотрение Правительства Кыргызской Республики проект Программы по развитию инноваций и трансферу технологий; (ж) проведение обучения и тренингов для целевой аудитории и других заинтересованных лиц по вопросам инновационного развития; (з) проведение информационно-образовательных мероприятий по вопросам «зеленых» инноваций.</w:t>
      </w:r>
    </w:p>
    <w:p>
      <w:pPr>
        <w:spacing w:after="120"/>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120"/>
        <w:jc w:val="both"/>
      </w:pPr>
      <w:r>
        <w:rPr>
          <w:rFonts w:ascii="Arial" w:cs="Arial" w:eastAsia="Arial" w:hAnsi="Arial"/>
          <w:sz w:val="24"/>
          <w:szCs w:val="24"/>
        </w:rPr>
        <w:t xml:space="preserve">- реформа системы государственного управления охраной окружающей среды и природопользования;</w:t>
      </w:r>
    </w:p>
    <w:p>
      <w:pPr>
        <w:spacing w:after="120"/>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120"/>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120"/>
        <w:jc w:val="both"/>
      </w:pPr>
      <w:r>
        <w:rPr>
          <w:rFonts w:ascii="Arial" w:cs="Arial" w:eastAsia="Arial" w:hAnsi="Arial"/>
          <w:sz w:val="24"/>
          <w:szCs w:val="24"/>
        </w:rPr>
        <w:t xml:space="preserve">- продвижение принципов низкоуглеродного развития.</w:t>
      </w:r>
    </w:p>
    <w:p>
      <w:pPr>
        <w:spacing w:after="120"/>
        <w:jc w:val="both"/>
      </w:pPr>
      <w:r>
        <w:rPr>
          <w:rFonts w:ascii="Arial" w:cs="Arial" w:eastAsia="Arial" w:hAnsi="Arial"/>
          <w:sz w:val="24"/>
          <w:szCs w:val="24"/>
        </w:rPr>
        <w:t xml:space="preserve">Данные направления будут продвигаться через реализацию мероприятий, заложенных в Национальной стратегии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развития отрасли сельского хозяйства -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(а) создание эффективных систем управления сельским хозяйством и подготовки кадров, предпосылок для концентрации сельскохозяйственного производства; (б) поддержка роста производства и экспорта агропромышленной продукции; (в) обеспечение сельскохозяйственного производства сервисными услугами; (г)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поддержки роста производства и экспорта агропромышленной продукции будет выполнен комплекс мер по развитию кооперативов и кластеров, укрупненных фермерских хозяйств: поддержка создания в каждой области перспективных кооперативов («точек роста»), с применением механизма государственно-частного партнерства; будут осуществлены мероприятия по запуску аграрных кластеров; оказана приоритетная поддержка сельхозпроизводителям, имеющим в собственности или в управлении значительные площади земель, поголовья скота (ориентировочно: в секторе растениеводства - не менее 100 га земли, в секторе животноводства - не менее 500 голов МРС и 300 голов КРС). Для расширения географии экспорта сельскохозяйственной продукции будет разработан и принят пакет мер по поддержке продвижения продукции агропромышленного комплекса на внешние рынки; достигнуты договоренности с государственными администрациями регионов России и Казахстана по экспорту сельскохозяйственной продукции из Кыргызской Республики.</w:t>
      </w:r>
    </w:p>
    <w:p>
      <w:pPr>
        <w:spacing w:after="120"/>
        <w:jc w:val="both"/>
      </w:pPr>
      <w:r>
        <w:rPr>
          <w:rFonts w:ascii="Arial" w:cs="Arial" w:eastAsia="Arial" w:hAnsi="Arial"/>
          <w:sz w:val="24"/>
          <w:szCs w:val="24"/>
        </w:rPr>
        <w:t xml:space="preserve">В целях обеспечения сельскохозяйственного производства сервисными услугами и рыночной инфраструктурой будет реализован следующий комплекс мер: для развития ветеринарии и защиты растений и поддержки частной ветеринарии будут: (а) разработан механизм и программы идентификации животных; (б) разработаны и приняты нормативные требования по оказанию ветеринарных услуг только частной ветеринарной службой; (в) проведен комплекс практических мероприятий по защите растений и животных; (г) подготовлена нормативная-правовая база для постепенного ввода запрета для доступа на рынок мяса, не прошедшего через специализированные убойные предприятия, повышения ответственности фермеров за уклонение от требований по вакцинации животных, сокрытие опасных болезней животных и т.д.; д) проведена практическая работа по гармонизации технических регламентов с аналогичными документами, принятыми в странах Таможенного союза.</w:t>
      </w:r>
    </w:p>
    <w:p>
      <w:pPr>
        <w:spacing w:after="120"/>
        <w:jc w:val="both"/>
      </w:pPr>
      <w:r>
        <w:rPr>
          <w:rFonts w:ascii="Arial" w:cs="Arial" w:eastAsia="Arial" w:hAnsi="Arial"/>
          <w:sz w:val="24"/>
          <w:szCs w:val="24"/>
        </w:rPr>
        <w:t xml:space="preserve">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улучшению учета племенных животных, поддержке развития агротехнологий. Для этого будет создан Центр по организации и координации селекционно-племенной работы и искусственного осеменения сельскохозяйственных животных. Будет оказано содействие в создании устойчиво функционирующего рынка семян и племенных животных и материалов. Также будет создан фонд поддержки обновления семенного и племенного фонда специализированных хозяйств и механизм компенсации сельским товаропроизводителям части затрат при приобретении ими высокопродуктивного посевного и племенного материалов.</w:t>
      </w:r>
    </w:p>
    <w:p>
      <w:pPr>
        <w:spacing w:after="120"/>
        <w:jc w:val="both"/>
      </w:pPr>
      <w:r>
        <w:rPr>
          <w:rFonts w:ascii="Arial" w:cs="Arial" w:eastAsia="Arial" w:hAnsi="Arial"/>
          <w:sz w:val="24"/>
          <w:szCs w:val="24"/>
        </w:rPr>
        <w:t xml:space="preserve">Развитие товарно-обслуживающих кооперативов будет поддерживаться улучшением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Для повышения эффективности использования водных и земельных ресурсов будет осуществлено строительство водохозяйственных объектов и освоение новых орошаемых земель (реализация инвестиционной программы развития системы мелиорации); продолжена реализация Проекта «Внутрихозяйственное орошение - 2» (Всемирный Банк).</w:t>
      </w:r>
    </w:p>
    <w:p>
      <w:pPr>
        <w:spacing w:after="120"/>
        <w:jc w:val="both"/>
      </w:pPr>
      <w:r>
        <w:rPr>
          <w:rFonts w:ascii="Arial" w:cs="Arial" w:eastAsia="Arial" w:hAnsi="Arial"/>
          <w:sz w:val="24"/>
          <w:szCs w:val="24"/>
        </w:rPr>
        <w:t xml:space="preserve">Важным направлением станет содействие росту производства экологически чистой растениеводческой продукции, с использованием технологий органического сельского хозяйства для экспорта. Кыргызстан присоединится к организации сельскохозяйственного производства, построенного на принципах «зеленой экономики». Для снижения рисков спекуляции продуктами сельского хозяйства будет создан механизм мониторинга за оптовыми и розничными рынками сельхозпродукции и механизм стабилизации цен при помощи государственных закупок, товарных интервенций.</w:t>
      </w:r>
    </w:p>
    <w:p>
      <w:pPr>
        <w:spacing w:after="120"/>
        <w:jc w:val="both"/>
      </w:pPr>
      <w:r>
        <w:rPr>
          <w:rFonts w:ascii="Arial" w:cs="Arial" w:eastAsia="Arial" w:hAnsi="Arial"/>
          <w:sz w:val="24"/>
          <w:szCs w:val="24"/>
        </w:rPr>
        <w:t xml:space="preserve">Принятые меры будут способствовать созданию базы для устойчивого роста сельского хозяйства. Валовой выпуск продукции сельского хозяйства, охоты и лесного хозяйства в 2014 году прогнозируется в объеме 203,1 млрд. сомов, а темп реального прироста на уровне 2,0%, с удельным весом в общем объеме ВВП 16,1%, а вклад в рост ВВП - 0,33 процентного пункта, за счет прироста в растениеводстве на 2,7% и животноводстве - на 1,2%.</w:t>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соответствующими удельными весами 53,7% и 44,9%.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сельском хозяйстве, в процентах на 2013-2014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8"/>
        <w:gridCol w:w="1594"/>
        <w:gridCol w:w="1596"/>
      </w:tblGrid>
      <w:tr>
        <w:tc>
          <w:tcPr>
            <w:tcW w:type="dxa" w:w="69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6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2014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Рост в основном будет обеспечен за счет увеличения производства: зерновых культур на 2,6% за счет увеличения посевной площади на 1,7 тыс. га; сахарной свеклы - на 3,3% за счет увеличения посевной площади на 1,5 тыс. га и повышения урожайности; хлопка - на 2,7% и табака - на 7,8%; масличных культур - на 114,3% за счет увеличения посевной площади на 6,4 тыс. га, картофеля и овощей на - 3,0% и 4,5% за счет увеличения посевной площади на 1,9 тыс. га и 1,2 тыс. га соответственно.</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Рост производства мяса в живом весе прогнозируется на 1,1%, что увеличится по сравнению с предыдущим годом на 3,8 тыс. тонн, молочной продукции - на 1,7%, с увеличением на 23,5 тыс. тонн молока, яиц - на 0,3% и шерсти - на 2,0%.</w:t>
      </w:r>
    </w:p>
    <w:p>
      <w:pPr>
        <w:spacing w:after="120"/>
        <w:jc w:val="both"/>
      </w:pPr>
      <w:r>
        <w:rPr>
          <w:rFonts w:ascii="Arial" w:cs="Arial" w:eastAsia="Arial" w:hAnsi="Arial"/>
          <w:sz w:val="24"/>
          <w:szCs w:val="24"/>
        </w:rPr>
        <w:t xml:space="preserve">На достижение целевых показателей производства сельского хозяйства в 2014 году будут влиять следующие предпосылки:</w:t>
      </w:r>
    </w:p>
    <w:p>
      <w:pPr>
        <w:spacing w:after="120"/>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«Доступные кредиты фермерам-2», реализованные в 2011-2012 гг., в рамках которых выдано более 1,3 млрд. сомов;</w:t>
      </w:r>
    </w:p>
    <w:p>
      <w:pPr>
        <w:spacing w:after="120"/>
        <w:jc w:val="both"/>
      </w:pPr>
      <w:r>
        <w:rPr>
          <w:rFonts w:ascii="Arial" w:cs="Arial" w:eastAsia="Arial" w:hAnsi="Arial"/>
          <w:sz w:val="24"/>
          <w:szCs w:val="24"/>
        </w:rPr>
        <w:t xml:space="preserve">- реализация проекта «Финансирование сельского хозяйства» в 2013 году, в соответствии с которым на 1 июня 2013 года выдано 10670 кредитов на общую сумму 2176,6 млн. сомов, из них на животноводство выдано 9040 кредитов на сумму - 1916,4 млн. сомов, на растениеводство - 1623 кредит, на сумму - 243,4 млн. сомов и на агропереработку - 7 кредитов на сумму - 16,8 млн. сомов;</w:t>
      </w:r>
    </w:p>
    <w:p>
      <w:pPr>
        <w:spacing w:after="120"/>
        <w:jc w:val="both"/>
      </w:pPr>
      <w:r>
        <w:rPr>
          <w:rFonts w:ascii="Arial" w:cs="Arial" w:eastAsia="Arial" w:hAnsi="Arial"/>
          <w:sz w:val="24"/>
          <w:szCs w:val="24"/>
        </w:rPr>
        <w:t xml:space="preserve">- в соответствии с </w:t>
      </w:r>
      <w:hyperlink w:history="1" r:id="rIdyigpdnrkjxzex1w5rpi7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передаче в лизинг тракторов на сумму 30,0 млн. юаней, предоставляемых Кыргызской Республике в рамках гранта Правительства Китайской Народной Республики» от 11 июля 2011 года № 382 выдано всего 891 ед. сельхозтехники с 2011 года по четырем линиям: Китайский грант, Государственный Банк Развития Китая (ГБРК), программа ОАО «Айыл Банк» совместно со Всемирным банком по поддержке агробизнеса и Турецкий кредит, в рамках последнего в текущем году закуплено 225 единиц тракторов с Минского тракторного завода, из них 180,0 единиц уже выдано. Всего на 28 мая 2013 года выдано 261 единица сельхозтехники по всем четырем линиям;</w:t>
      </w:r>
    </w:p>
    <w:p>
      <w:pPr>
        <w:spacing w:after="120"/>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(12,6%) Джалал-Абадская (18,4%), Ошская (19,7%), и Чуйская (23,2%) области.</w:t>
      </w:r>
    </w:p>
    <w:p>
      <w:pPr>
        <w:spacing w:after="120"/>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дефицит и снижение качества минеральных удобрений;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промышленного производства создаются максимально благоприятные условия для активизации деятельности хозяйствующих субъектов путем ликвидации барьеров для ведения бизнеса, сокращения различных проверок, снижения налогового бремени и стимулирования развития предпринимательства.</w:t>
      </w:r>
    </w:p>
    <w:p>
      <w:pPr>
        <w:spacing w:after="120"/>
        <w:jc w:val="both"/>
      </w:pPr>
      <w:r>
        <w:rPr>
          <w:rFonts w:ascii="Arial" w:cs="Arial" w:eastAsia="Arial" w:hAnsi="Arial"/>
          <w:sz w:val="24"/>
          <w:szCs w:val="24"/>
        </w:rPr>
        <w:t xml:space="preserve">Для формирования комплексного подхода к решению существующих проблем в промышленности разработана и принята </w:t>
      </w:r>
      <w:r>
        <w:rPr>
          <w:rFonts w:ascii="Arial" w:cs="Arial" w:eastAsia="Arial" w:hAnsi="Arial"/>
          <w:sz w:val="24"/>
          <w:szCs w:val="24"/>
        </w:rPr>
        <w:t xml:space="preserve">Программа</w:t>
      </w:r>
      <w:r>
        <w:rPr>
          <w:rFonts w:ascii="Arial" w:cs="Arial" w:eastAsia="Arial" w:hAnsi="Arial"/>
          <w:sz w:val="24"/>
          <w:szCs w:val="24"/>
        </w:rPr>
        <w:t xml:space="preserve"> развития обрабатывающей промышленности Кыргызской Республики на 2013-2015 годы (</w:t>
      </w:r>
      <w:hyperlink w:history="1" r:id="rIdyp4niv0qoav5ub1aj3e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марта 2013 года № 133), где определены основные стратегические направления промышленной политики - развитие торговли,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подготовка кадров, продвижение исследований, разработок и инноваций, усиление роли общественных организаций и др.</w:t>
      </w:r>
    </w:p>
    <w:p>
      <w:pPr>
        <w:spacing w:after="120"/>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простаивающим предприятиям, предприятиям с государственной долей участия, действующим предприятиям и запуску новых производств.</w:t>
      </w:r>
    </w:p>
    <w:p>
      <w:pPr>
        <w:spacing w:after="120"/>
        <w:jc w:val="both"/>
      </w:pPr>
      <w:r>
        <w:rPr>
          <w:rFonts w:ascii="Arial" w:cs="Arial" w:eastAsia="Arial" w:hAnsi="Arial"/>
          <w:sz w:val="24"/>
          <w:szCs w:val="24"/>
        </w:rPr>
        <w:t xml:space="preserve">Будет продолжена реализация Программы развития текстильного и швейного производства на 2013-2015 годы направленного на формирование благоприятных условий (</w:t>
      </w:r>
      <w:hyperlink w:history="1" r:id="rIdyke7jgi5artkedvuvxz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марта 2013 года № 123, и повышение конкурентоспособности отрасли, обеспечение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 Проект «Технополис» для текстильного и швейного производства» обозначен как приоритетный инвестиционный проект в Национальной стратегии устойчивого развития Кыргызской Республики на период 2013-2017 годы (Указ Президента Кыргызской Республики от 21 января 2013 года № 11). Строительство Технополиса на площади 50 га, как экологически безопасного и экономически целесообразного объекта легкой промышленности позволит создать около 10 тыс. рабочих мест, выйти на новый уровень производства, увеличить объемы выпуска продукции и, соответственно, отчислений в бюджет республики и диверсифицировать промышленное производство.</w:t>
      </w:r>
    </w:p>
    <w:p>
      <w:pPr>
        <w:spacing w:after="120"/>
        <w:jc w:val="both"/>
      </w:pPr>
      <w:r>
        <w:rPr>
          <w:rFonts w:ascii="Arial" w:cs="Arial" w:eastAsia="Arial" w:hAnsi="Arial"/>
          <w:sz w:val="24"/>
          <w:szCs w:val="24"/>
        </w:rPr>
        <w:t xml:space="preserve">Ввод в эксплуатацию и наращивание объемов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отрасли экономики и населению.</w:t>
      </w:r>
    </w:p>
    <w:p>
      <w:pPr>
        <w:spacing w:after="120"/>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Изменение торговых условий, связанных с введением норм и требований Таможенного союза, будет учтено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на 2012-2017 годы (постановление Правительства Кыргызской Республики от 28 мая 2012 года № 330).</w:t>
      </w:r>
    </w:p>
    <w:p>
      <w:pPr>
        <w:spacing w:after="120"/>
        <w:jc w:val="both"/>
      </w:pPr>
      <w:r>
        <w:rPr>
          <w:rFonts w:ascii="Arial" w:cs="Arial" w:eastAsia="Arial" w:hAnsi="Arial"/>
          <w:sz w:val="24"/>
          <w:szCs w:val="24"/>
        </w:rPr>
        <w:t xml:space="preserve">В результате в промышленном секторе17 на 2014 год прогнозируется реальный рост объемов производства на 12,5% за счет устойчивой работы действующих промышленных предприятий и ввода в эксплуатацию новых месторождений. Положительный вклад в рост ВВП составит 2,24 процентного пункта, с удельным весом в общем объеме ВВП 16,6%. Без учета предприятий по разработке месторождения Кумтор, рост промышленного производства прогнозируется на уровне 3,8%.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6337"/>
        <w:gridCol w:w="1622"/>
        <w:gridCol w:w="1622"/>
      </w:tblGrid>
      <w:tr>
        <w:tc>
          <w:tcPr>
            <w:tcW w:type="dxa" w:w="5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(78,8%) в производстве промышленной продукции, прогнозируется реальный рост на 15,6%, который будет обеспечен за счет:</w:t>
      </w:r>
    </w:p>
    <w:p>
      <w:pPr>
        <w:spacing w:after="120"/>
        <w:jc w:val="both"/>
      </w:pPr>
      <w:r>
        <w:rPr>
          <w:rFonts w:ascii="Arial" w:cs="Arial" w:eastAsia="Arial" w:hAnsi="Arial"/>
          <w:sz w:val="24"/>
          <w:szCs w:val="24"/>
        </w:rPr>
        <w:t xml:space="preserve">- металлургического производства (рост на 25,1%), уд. вес в общем объеме промышленности составит 40,0%: (а) активизация работы на предприятиях по разработке месторождения Кумтор, где прогнозируется рост объемов на 26,0%; (б) увеличение объемов на 8,4% на ОАО «Кыргызалтын»; (в) ввод месторождения Бозымчак;</w:t>
      </w:r>
    </w:p>
    <w:p>
      <w:pPr>
        <w:spacing w:after="120"/>
        <w:jc w:val="both"/>
      </w:pPr>
      <w:r>
        <w:rPr>
          <w:rFonts w:ascii="Arial" w:cs="Arial" w:eastAsia="Arial" w:hAnsi="Arial"/>
          <w:sz w:val="24"/>
          <w:szCs w:val="24"/>
        </w:rPr>
        <w:t xml:space="preserve">- производства прочих неметаллических минеральных продуктов (рост на 6,6%), уд.вес в общем объеме промышленности которого составит 8,6%: (а) наращивание объемов производства ОсОО «Интергласс», где объем производства листового стекла возрастет в 1,4 раза по сравнению с 2012 годом и достигнет 18,0 млн. кв. м; (б) рост производства цемента и асбестоцементных изделий прогнозируется за счет развития мощностей ЗАО «Южно 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w:t>
      </w:r>
    </w:p>
    <w:p>
      <w:pPr>
        <w:spacing w:after="120"/>
        <w:jc w:val="both"/>
      </w:pPr>
      <w:r>
        <w:rPr>
          <w:rFonts w:ascii="Arial" w:cs="Arial" w:eastAsia="Arial" w:hAnsi="Arial"/>
          <w:sz w:val="24"/>
          <w:szCs w:val="24"/>
        </w:rPr>
        <w:t xml:space="preserve">- устойчивой работы предприятий текстильного и швейного производств (уд. вес в общем объеме промышленности - 7,3%), где прогнозируется реальный рост на 5,0%. Наибольший удельный вес в текстильно-швейном производстве занимает швейное производство (более 80,0%), где прогнозируется рост на 5,3% за счет роста производства белья нижнего, трикотажного, машинного или ручного вязания, свитеров, джемперов, пуловеров, кардиганов, жилетов и аналогичных изделий, трикотажных, машинного или ручного вязания. Прогноз умеренного роста обусловлен возможными рисками при экспорте товаров в условиях вхождения в ТС;</w:t>
      </w:r>
    </w:p>
    <w:p>
      <w:pPr>
        <w:spacing w:after="120"/>
        <w:jc w:val="both"/>
      </w:pPr>
      <w:r>
        <w:rPr>
          <w:rFonts w:ascii="Arial" w:cs="Arial" w:eastAsia="Arial" w:hAnsi="Arial"/>
          <w:sz w:val="24"/>
          <w:szCs w:val="24"/>
        </w:rPr>
        <w:t xml:space="preserve">- реального роста выпуска продукции в производстве пищевых продуктов, включая напитки, и табака (уд. вес - 14,4%), где прогнозируется рост на 6,0% за счет роста выпуска сахара на 3,5%, этилового спирта - на 10,0%, масложировой продукции - на 8,4%, молочной продукции - на 8,8%, хлебопекарной продукции - на 11,9%, мукомольно-крупяной продукции - на 35,5%, мясной продукции - на</w:t>
      </w:r>
    </w:p>
    <w:p>
      <w:pPr>
        <w:spacing w:after="120"/>
        <w:jc w:val="both"/>
      </w:pPr>
      <w:r>
        <w:rPr>
          <w:rFonts w:ascii="Arial" w:cs="Arial" w:eastAsia="Arial" w:hAnsi="Arial"/>
          <w:sz w:val="24"/>
          <w:szCs w:val="24"/>
        </w:rPr>
        <w:t xml:space="preserve">38,7%, безалкогольных напитков - на 6,3%;</w:t>
      </w:r>
    </w:p>
    <w:p>
      <w:pPr>
        <w:spacing w:after="120"/>
        <w:jc w:val="both"/>
      </w:pPr>
      <w:r>
        <w:rPr>
          <w:rFonts w:ascii="Arial" w:cs="Arial" w:eastAsia="Arial" w:hAnsi="Arial"/>
          <w:sz w:val="24"/>
          <w:szCs w:val="24"/>
        </w:rPr>
        <w:t xml:space="preserve">- увеличения объемов производства нефтепродуктов на 17% за счет ввода и наращивания мощностей нефтеперерабатывающих заводов в гг. Кара-Балта и Токмок;</w:t>
      </w:r>
    </w:p>
    <w:p>
      <w:pPr>
        <w:spacing w:after="120"/>
        <w:jc w:val="both"/>
      </w:pPr>
      <w:r>
        <w:rPr>
          <w:rFonts w:ascii="Arial" w:cs="Arial" w:eastAsia="Arial" w:hAnsi="Arial"/>
          <w:sz w:val="24"/>
          <w:szCs w:val="24"/>
        </w:rPr>
        <w:t xml:space="preserve">- устойчивой работы предприятий производства электрического, электронного и оптического оборудования (на 1,4%) за счет роста выпуска производства трансформаторов малой мощности, ламп накаливания, производства машин и оборудования (на 3,0%), целлюлозно-бумажной и издательской деятельности - на 4,0%, резиновых и пластмассовых изделий (на 1,2%), химического производства (на 4,2%), транспортных средств и оборудования (на 5,7%) и т.д.</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16,2%) на 2014 год объемы прогнозируются почти на уровне ожидаемых показателей в 2013 году. Основным фактором рисков в данной отрасли является наступление маловодного периода.</w:t>
      </w:r>
    </w:p>
    <w:p>
      <w:pPr>
        <w:spacing w:after="120"/>
        <w:jc w:val="both"/>
      </w:pPr>
      <w:r>
        <w:rPr>
          <w:rFonts w:ascii="Arial" w:cs="Arial" w:eastAsia="Arial" w:hAnsi="Arial"/>
          <w:sz w:val="24"/>
          <w:szCs w:val="24"/>
        </w:rPr>
        <w:t xml:space="preserve">Выработка электроэнергии прогнозируется на уровне 14 364,0 млн. кВт. ч, которая рассчитана с учетом среднемноголетней приточности в створе Токтогульского гидроузла, индекс физического объема составит 99,5% за счет снижения выработки электроэнергии, сохранения объема выработки тепловой энергии и увеличения объема покупного газа.</w:t>
      </w:r>
    </w:p>
    <w:p>
      <w:pPr>
        <w:spacing w:after="120"/>
        <w:jc w:val="both"/>
      </w:pPr>
      <w:r>
        <w:rPr>
          <w:rFonts w:ascii="Arial" w:cs="Arial" w:eastAsia="Arial" w:hAnsi="Arial"/>
          <w:sz w:val="24"/>
          <w:szCs w:val="24"/>
        </w:rPr>
        <w:t xml:space="preserve">Экспорт электроэнергии прогнозируется в объеме 500,0 млн. кВт ч, это почти в 3 раза меньше, чем в 2012 году.</w:t>
      </w:r>
    </w:p>
    <w:p>
      <w:pPr>
        <w:spacing w:after="120"/>
        <w:jc w:val="both"/>
      </w:pPr>
      <w:r>
        <w:rPr>
          <w:rFonts w:ascii="Arial" w:cs="Arial" w:eastAsia="Arial" w:hAnsi="Arial"/>
          <w:sz w:val="24"/>
          <w:szCs w:val="24"/>
        </w:rPr>
        <w:t xml:space="preserve">Всего в 2014 году поступление природного газа в Кыргызскую Республику прогнозируется в объеме 400,0 млн. м3, что на 14,3% больше по сравнению с ожидаемым в 2013 году.</w:t>
      </w:r>
    </w:p>
    <w:p>
      <w:pPr>
        <w:spacing w:after="120"/>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для осуществления реформы:</w:t>
      </w:r>
    </w:p>
    <w:p>
      <w:pPr>
        <w:spacing w:after="120"/>
        <w:jc w:val="both"/>
      </w:pPr>
      <w:r>
        <w:rPr>
          <w:rFonts w:ascii="Arial" w:cs="Arial" w:eastAsia="Arial" w:hAnsi="Arial"/>
          <w:sz w:val="24"/>
          <w:szCs w:val="24"/>
        </w:rPr>
        <w:t xml:space="preserve">- совершенствование регулирования развития энергетического сектора (реформа тарифной политики, реформа энергосектора);</w:t>
      </w:r>
    </w:p>
    <w:p>
      <w:pPr>
        <w:spacing w:after="120"/>
        <w:jc w:val="both"/>
      </w:pPr>
      <w:r>
        <w:rPr>
          <w:rFonts w:ascii="Arial" w:cs="Arial" w:eastAsia="Arial" w:hAnsi="Arial"/>
          <w:sz w:val="24"/>
          <w:szCs w:val="24"/>
        </w:rPr>
        <w:t xml:space="preserve">- создание условий для стимулирования энергосбережения (реформа энергосбережения);</w:t>
      </w:r>
    </w:p>
    <w:p>
      <w:pPr>
        <w:spacing w:after="120"/>
        <w:jc w:val="both"/>
      </w:pPr>
      <w:r>
        <w:rPr>
          <w:rFonts w:ascii="Arial" w:cs="Arial" w:eastAsia="Arial" w:hAnsi="Arial"/>
          <w:sz w:val="24"/>
          <w:szCs w:val="24"/>
        </w:rPr>
        <w:t xml:space="preserve">- развитие возобновляемых источников энергии;</w:t>
      </w:r>
    </w:p>
    <w:p>
      <w:pPr>
        <w:spacing w:after="120"/>
        <w:jc w:val="both"/>
      </w:pPr>
      <w:r>
        <w:rPr>
          <w:rFonts w:ascii="Arial" w:cs="Arial" w:eastAsia="Arial" w:hAnsi="Arial"/>
          <w:sz w:val="24"/>
          <w:szCs w:val="24"/>
        </w:rPr>
        <w:t xml:space="preserve">-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120"/>
        <w:jc w:val="both"/>
      </w:pPr>
      <w:r>
        <w:rPr>
          <w:rFonts w:ascii="Arial" w:cs="Arial" w:eastAsia="Arial" w:hAnsi="Arial"/>
          <w:sz w:val="24"/>
          <w:szCs w:val="24"/>
        </w:rPr>
        <w:t xml:space="preserve">(3). В горнодобывающей промышленности (уд. вес 5,0% в объеме промышленного производства) в 2014 году рост объема производства прогнозируется на уровне 5,9%, в том числе по добыче топливно-энергетических полезных ископаемых на 1,9%, прочих полезных ископаемых на 10,5%. Рост объемов будет достигнут за счет увеличения добычи: (1) угля, лигнита и торфа на 4,3% за счет сохранения достигнутых объемов добычи и ежегодного наращивания на 50-100 тыс. тонн, которые определяются достигнутым объемом реализации кыргызских углей на внутреннем рынке при прохождении осенне-зимнего периода с наращиванием поставок кыргызских углей на ТЭЦ гор. Бишкек до 700 тыс. тонн к 2016 году, что позволит достичь производства продукции по отрасли в объеме 1200 тыс.т; (2) гранул, каменной крошки, гальки, гравия, щебня или дробленого камня на 6,3%, глины и каолина - на 18,2%, природного песка - на 4,6% за счет роста спроса со стороны предприятий, специализирующихся на выпуске железобетонной продукции, бетона, строительного раствора, пескоблоков, полимерпесчаной черепицы.</w:t>
      </w:r>
    </w:p>
    <w:p>
      <w:pPr>
        <w:spacing w:after="120"/>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внесет Чуйская (39,6%), Иссык-Кульская (20,9%), Джалал-Абадская (10,4%) области и гор. Бишкек (20,1%), суммарная доля которых составит 91,0%.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месторождений Кумтор, Джалал-Абадской - ввода в эксплуатацию месторождения Бозымчак.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капитальных вложений в 2014 году прогнозируются в размере 89,6 млрд. сомов, реальный рост составит 115,2%.</w:t>
      </w:r>
    </w:p>
    <w:p>
      <w:pPr>
        <w:spacing w:after="120"/>
        <w:jc w:val="both"/>
      </w:pPr>
      <w:r>
        <w:rPr>
          <w:rFonts w:ascii="Arial" w:cs="Arial" w:eastAsia="Arial" w:hAnsi="Arial"/>
          <w:sz w:val="24"/>
          <w:szCs w:val="24"/>
        </w:rPr>
        <w:t xml:space="preserve">Структура капитальных вложений относительно ожидаемой в 2013 году изменится в сторону сокращения доли внутренних инвестиций с 70,1% до 67,2% и, соответственно, увеличения доли внешних инвестиций с 29,9% до 32,8%.</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86,7%.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строительной отрасли, в процентах за 2013 -2014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1773"/>
        <w:gridCol w:w="1773"/>
      </w:tblGrid>
      <w:tr>
        <w:tc>
          <w:tcPr>
            <w:tcW w:type="dxa" w:w="66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6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2014 году объемы капитальных вложений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а также на строительство и реконструкцию автодорог и ГЭС в республике.</w:t>
      </w:r>
    </w:p>
    <w:p>
      <w:pPr>
        <w:spacing w:after="120"/>
        <w:jc w:val="both"/>
      </w:pPr>
      <w:r>
        <w:rPr>
          <w:rFonts w:ascii="Arial" w:cs="Arial" w:eastAsia="Arial" w:hAnsi="Arial"/>
          <w:sz w:val="24"/>
          <w:szCs w:val="24"/>
        </w:rPr>
        <w:t xml:space="preserve">За счет республиканского бюджета капитальные вложения планируется направить,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Государственной программы строительства водохозяйственных объектов и освоения новых орошаемых земель в Кыргызской Республике на 2011-2015 годы, утвержденной </w:t>
      </w:r>
      <w:hyperlink w:history="1" r:id="rIdoqpdlk4lvk7x2hvexil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 строительство автодороги Кокташ-Аксай-Тамдык Баткенского района Баткенской области, объемом финансирования в 2014 году в размере 10 млн. сомов;</w:t>
      </w:r>
    </w:p>
    <w:p>
      <w:pPr>
        <w:spacing w:after="120"/>
        <w:jc w:val="both"/>
      </w:pPr>
      <w:r>
        <w:rPr>
          <w:rFonts w:ascii="Arial" w:cs="Arial" w:eastAsia="Arial" w:hAnsi="Arial"/>
          <w:sz w:val="24"/>
          <w:szCs w:val="24"/>
        </w:rPr>
        <w:t xml:space="preserve">- строительство здания пограничного поста в селе Таян Баткенского района Баткенской области для пограничников, с объемом финансирования в размере 6,2 млн. сомов;</w:t>
      </w:r>
    </w:p>
    <w:p>
      <w:pPr>
        <w:spacing w:after="120"/>
        <w:jc w:val="both"/>
      </w:pPr>
      <w:r>
        <w:rPr>
          <w:rFonts w:ascii="Arial" w:cs="Arial" w:eastAsia="Arial" w:hAnsi="Arial"/>
          <w:sz w:val="24"/>
          <w:szCs w:val="24"/>
        </w:rPr>
        <w:t xml:space="preserve">- строительство автомобильной дороги Айгульташ-Согмент-Чарбак-Таян, с объемом финансирования в размере 8,0 млн. сомов;</w:t>
      </w:r>
    </w:p>
    <w:p>
      <w:pPr>
        <w:spacing w:after="120"/>
        <w:jc w:val="both"/>
      </w:pPr>
      <w:r>
        <w:rPr>
          <w:rFonts w:ascii="Arial" w:cs="Arial" w:eastAsia="Arial" w:hAnsi="Arial"/>
          <w:sz w:val="24"/>
          <w:szCs w:val="24"/>
        </w:rPr>
        <w:t xml:space="preserve">- строительство автомобильной дороги Бел-Согот-Божой, с объемом финансирования в размере 10,0 млн. сомов;</w:t>
      </w:r>
    </w:p>
    <w:p>
      <w:pPr>
        <w:spacing w:after="120"/>
        <w:jc w:val="both"/>
      </w:pPr>
      <w:r>
        <w:rPr>
          <w:rFonts w:ascii="Arial" w:cs="Arial" w:eastAsia="Arial" w:hAnsi="Arial"/>
          <w:sz w:val="24"/>
          <w:szCs w:val="24"/>
        </w:rPr>
        <w:t xml:space="preserve">- строительство автодороги Кулунду-Максат и двух мостов, с объемом финансирования в размере 9,7 млн. сомов.</w:t>
      </w:r>
    </w:p>
    <w:p>
      <w:pPr>
        <w:spacing w:after="120"/>
        <w:jc w:val="both"/>
      </w:pPr>
      <w:r>
        <w:rPr>
          <w:rFonts w:ascii="Arial" w:cs="Arial" w:eastAsia="Arial" w:hAnsi="Arial"/>
          <w:sz w:val="24"/>
          <w:szCs w:val="24"/>
        </w:rPr>
        <w:t xml:space="preserve">В части строительства водохозяйственных объектов в 2014 году прогнозируется реализация следующих проектов:</w:t>
      </w:r>
    </w:p>
    <w:p>
      <w:pPr>
        <w:spacing w:after="120"/>
        <w:jc w:val="both"/>
      </w:pPr>
      <w:r>
        <w:rPr>
          <w:rFonts w:ascii="Arial" w:cs="Arial" w:eastAsia="Arial" w:hAnsi="Arial"/>
          <w:sz w:val="24"/>
          <w:szCs w:val="24"/>
        </w:rPr>
        <w:t xml:space="preserve">- строительство водопроводной сети в селах Чарбак, Таян, Сай Баткенского района Баткенской области, с объемом финансирования в размере 37,7 млн. сомов;</w:t>
      </w:r>
    </w:p>
    <w:p>
      <w:pPr>
        <w:spacing w:after="120"/>
        <w:jc w:val="both"/>
      </w:pPr>
      <w:r>
        <w:rPr>
          <w:rFonts w:ascii="Arial" w:cs="Arial" w:eastAsia="Arial" w:hAnsi="Arial"/>
          <w:sz w:val="24"/>
          <w:szCs w:val="24"/>
        </w:rPr>
        <w:t xml:space="preserve">- завершение строительства ирригационного сооружения Бургандинского массива Кадамжайского района Баткенской области и введение 3498 га новых орошаемых земель, с объемом финансирования в 2014 году в размере 120,0 млн. сомов;</w:t>
      </w:r>
    </w:p>
    <w:p>
      <w:pPr>
        <w:spacing w:after="120"/>
        <w:jc w:val="both"/>
      </w:pPr>
      <w:r>
        <w:rPr>
          <w:rFonts w:ascii="Arial" w:cs="Arial" w:eastAsia="Arial" w:hAnsi="Arial"/>
          <w:sz w:val="24"/>
          <w:szCs w:val="24"/>
        </w:rPr>
        <w:t xml:space="preserve">- строительство канала Каракыштак-Боз Кадамжайского района Баткенской области (ввод 270 га), с объемом финансирования в 2014 году в размере 115,2 млн. сомов;</w:t>
      </w:r>
    </w:p>
    <w:p>
      <w:pPr>
        <w:spacing w:after="120"/>
        <w:jc w:val="both"/>
      </w:pPr>
      <w:r>
        <w:rPr>
          <w:rFonts w:ascii="Arial" w:cs="Arial" w:eastAsia="Arial" w:hAnsi="Arial"/>
          <w:sz w:val="24"/>
          <w:szCs w:val="24"/>
        </w:rPr>
        <w:t xml:space="preserve">- реконструкция канала Сарымсак Кара-Бууринского района Таласской области (ввод 1000 га), с объемом финансирования в 2014 году в размере 105,6 млн. сомов;</w:t>
      </w:r>
    </w:p>
    <w:p>
      <w:pPr>
        <w:spacing w:after="120"/>
        <w:jc w:val="both"/>
      </w:pPr>
      <w:r>
        <w:rPr>
          <w:rFonts w:ascii="Arial" w:cs="Arial" w:eastAsia="Arial" w:hAnsi="Arial"/>
          <w:sz w:val="24"/>
          <w:szCs w:val="24"/>
        </w:rPr>
        <w:t xml:space="preserve">- строительство бассейна декадного регулирования на реке Шамшы Чуйского района Чуйской области, с объемом финансирования в 2014 году в размере 120,0 млн. сомов;</w:t>
      </w:r>
    </w:p>
    <w:p>
      <w:pPr>
        <w:spacing w:after="120"/>
        <w:jc w:val="both"/>
      </w:pPr>
      <w:r>
        <w:rPr>
          <w:rFonts w:ascii="Arial" w:cs="Arial" w:eastAsia="Arial" w:hAnsi="Arial"/>
          <w:sz w:val="24"/>
          <w:szCs w:val="24"/>
        </w:rPr>
        <w:t xml:space="preserve">- реабилитация концевой части канала Беш-Батман для улучшения водообеспеченности Ренжитской долины Аксыйского района Джалал-Абадской области, с объемом финансирования в 2014 году в размере 201,6 млн. сомов;</w:t>
      </w:r>
    </w:p>
    <w:p>
      <w:pPr>
        <w:spacing w:after="120"/>
        <w:jc w:val="both"/>
      </w:pPr>
      <w:r>
        <w:rPr>
          <w:rFonts w:ascii="Arial" w:cs="Arial" w:eastAsia="Arial" w:hAnsi="Arial"/>
          <w:sz w:val="24"/>
          <w:szCs w:val="24"/>
        </w:rPr>
        <w:t xml:space="preserve">- строительство канала Р-4вх и наращивание существующего канала Р-4 в Баткенском районе Баткенской области, с объемом финансирования в 2014 году в размере 115,2 млн. сомов;</w:t>
      </w:r>
    </w:p>
    <w:p>
      <w:pPr>
        <w:spacing w:after="120"/>
        <w:jc w:val="both"/>
      </w:pPr>
      <w:r>
        <w:rPr>
          <w:rFonts w:ascii="Arial" w:cs="Arial" w:eastAsia="Arial" w:hAnsi="Arial"/>
          <w:sz w:val="24"/>
          <w:szCs w:val="24"/>
        </w:rPr>
        <w:t xml:space="preserve">- реконструкция канала Ак-Олен в Тонском районе Иссык-Кульской области, с объемом финансирования в 2014 году в размере 50,4 млн. сомов;</w:t>
      </w:r>
    </w:p>
    <w:p>
      <w:pPr>
        <w:spacing w:after="120"/>
        <w:jc w:val="both"/>
      </w:pPr>
      <w:r>
        <w:rPr>
          <w:rFonts w:ascii="Arial" w:cs="Arial" w:eastAsia="Arial" w:hAnsi="Arial"/>
          <w:sz w:val="24"/>
          <w:szCs w:val="24"/>
        </w:rPr>
        <w:t xml:space="preserve">- строительство канала Бахты-Ногой в Кара-Бууринском районе Талаской области, с объемом финансирования в 2014 году в размере 36,0 млн. сомов;</w:t>
      </w:r>
    </w:p>
    <w:p>
      <w:pPr>
        <w:spacing w:after="120"/>
        <w:jc w:val="both"/>
      </w:pPr>
      <w:r>
        <w:rPr>
          <w:rFonts w:ascii="Arial" w:cs="Arial" w:eastAsia="Arial" w:hAnsi="Arial"/>
          <w:sz w:val="24"/>
          <w:szCs w:val="24"/>
        </w:rPr>
        <w:t xml:space="preserve">- реконструкция бассейна суточного регулирования Кара-Тума и строительство внутрихозяйственной сети в Панфиловском районе Чуйской области, с объемом финансирования в 2014 году в размере 48,0 млн. сомов.</w:t>
      </w:r>
    </w:p>
    <w:p>
      <w:pPr>
        <w:spacing w:after="120"/>
        <w:jc w:val="both"/>
      </w:pPr>
      <w:r>
        <w:rPr>
          <w:rFonts w:ascii="Arial" w:cs="Arial" w:eastAsia="Arial" w:hAnsi="Arial"/>
          <w:sz w:val="24"/>
          <w:szCs w:val="24"/>
        </w:rPr>
        <w:t xml:space="preserve">За счет капитальных вложений предприятий и организаций и населения будут вестись в основном работы:</w:t>
      </w:r>
    </w:p>
    <w:p>
      <w:pPr>
        <w:spacing w:after="120"/>
        <w:jc w:val="both"/>
      </w:pPr>
      <w:r>
        <w:rPr>
          <w:rFonts w:ascii="Arial" w:cs="Arial" w:eastAsia="Arial" w:hAnsi="Arial"/>
          <w:sz w:val="24"/>
          <w:szCs w:val="24"/>
        </w:rPr>
        <w:t xml:space="preserve">- реконструкция аэропортов Баткен, Исфана, Джалал-Абад за счет собственных средств ОАО «Международный аэропорт «Манас», с объемом финансирования в 2014 году в размере 10,8 млн. долларов США;</w:t>
      </w:r>
    </w:p>
    <w:p>
      <w:pPr>
        <w:spacing w:after="120"/>
        <w:jc w:val="both"/>
      </w:pPr>
      <w:r>
        <w:rPr>
          <w:rFonts w:ascii="Arial" w:cs="Arial" w:eastAsia="Arial" w:hAnsi="Arial"/>
          <w:sz w:val="24"/>
          <w:szCs w:val="24"/>
        </w:rPr>
        <w:t xml:space="preserve">- модернизация и приобретение навигационного оборудования и технических средств для аэропортов Манас, Ош, Иссык-Куль за счет собственных средств ОАО «Международный аэропорт «Манас», с объемом финансирования в 2014 году в размере 5,65 млн. долларов США;</w:t>
      </w:r>
    </w:p>
    <w:p>
      <w:pPr>
        <w:spacing w:after="120"/>
        <w:jc w:val="both"/>
      </w:pPr>
      <w:r>
        <w:rPr>
          <w:rFonts w:ascii="Arial" w:cs="Arial" w:eastAsia="Arial" w:hAnsi="Arial"/>
          <w:sz w:val="24"/>
          <w:szCs w:val="24"/>
        </w:rPr>
        <w:t xml:space="preserve">- жилищное строительство, осуществляемое в основном за счет средств населения.</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долларов США, из них планируется освоить в 2014 году 10,9 млн. долларов США;</w:t>
      </w:r>
    </w:p>
    <w:p>
      <w:pPr>
        <w:spacing w:after="120"/>
        <w:jc w:val="both"/>
      </w:pPr>
      <w:r>
        <w:rPr>
          <w:rFonts w:ascii="Arial" w:cs="Arial" w:eastAsia="Arial" w:hAnsi="Arial"/>
          <w:sz w:val="24"/>
          <w:szCs w:val="24"/>
        </w:rPr>
        <w:t xml:space="preserve">- проект «Модернизация линий электропередачи на юге Кыргызстана» (Строительство ПС 500 кВ «Датка» и ВЛ 220 кВ), с объемом финансирования в 2014 году в размере 10,4 млн. долларов США за счет средств Экспортно-импортного банка Китая;</w:t>
      </w:r>
    </w:p>
    <w:p>
      <w:pPr>
        <w:spacing w:after="120"/>
        <w:jc w:val="both"/>
      </w:pPr>
      <w:r>
        <w:rPr>
          <w:rFonts w:ascii="Arial" w:cs="Arial" w:eastAsia="Arial" w:hAnsi="Arial"/>
          <w:sz w:val="24"/>
          <w:szCs w:val="24"/>
        </w:rPr>
        <w:t xml:space="preserve">- строительство Камбаратинской ГЭС-1, с объемом финансирования в 2014 году в размере 340,0 млн. долларов США;</w:t>
      </w:r>
    </w:p>
    <w:p>
      <w:pPr>
        <w:spacing w:after="120"/>
        <w:jc w:val="both"/>
      </w:pPr>
      <w:r>
        <w:rPr>
          <w:rFonts w:ascii="Arial" w:cs="Arial" w:eastAsia="Arial" w:hAnsi="Arial"/>
          <w:sz w:val="24"/>
          <w:szCs w:val="24"/>
        </w:rPr>
        <w:t xml:space="preserve">- строительство Верхненарынского каскада ГЭС (4 ГЭС - Акбулунская, Нарын - 1, 2, 3), с объемом финансирования в 2014 году в размере 60,0 млн. долларов США;</w:t>
      </w:r>
    </w:p>
    <w:p>
      <w:pPr>
        <w:spacing w:after="120"/>
        <w:jc w:val="both"/>
      </w:pPr>
      <w:r>
        <w:rPr>
          <w:rFonts w:ascii="Arial" w:cs="Arial" w:eastAsia="Arial" w:hAnsi="Arial"/>
          <w:sz w:val="24"/>
          <w:szCs w:val="24"/>
        </w:rPr>
        <w:t xml:space="preserve">- проект «Улучшение электроснабжения гор. Бишкек и гор. Ош» Исламского банка развития (далее - ИБР, кредит), с объемом финансирования в 2014 году в размере 10,3 млн. долларов США;</w:t>
      </w:r>
    </w:p>
    <w:p>
      <w:pPr>
        <w:spacing w:after="120"/>
        <w:jc w:val="both"/>
      </w:pPr>
      <w:r>
        <w:rPr>
          <w:rFonts w:ascii="Arial" w:cs="Arial" w:eastAsia="Arial" w:hAnsi="Arial"/>
          <w:sz w:val="24"/>
          <w:szCs w:val="24"/>
        </w:rPr>
        <w:t xml:space="preserve">- обеспечение пуска 2-го гидроагрегата Камбаратинской ГЭС-2 за счет средств ОАО «Электрические станции», с объемом финансирования в размере 131 млн. долларов США, освоение запланировано в 2015-2016 годах, из них в 2014 году - 43,7 млн. долларов США;</w:t>
      </w:r>
    </w:p>
    <w:p>
      <w:pPr>
        <w:spacing w:after="120"/>
        <w:jc w:val="both"/>
      </w:pPr>
      <w:r>
        <w:rPr>
          <w:rFonts w:ascii="Arial" w:cs="Arial" w:eastAsia="Arial" w:hAnsi="Arial"/>
          <w:sz w:val="24"/>
          <w:szCs w:val="24"/>
        </w:rPr>
        <w:t xml:space="preserve">- развитие малых ГЭС за счет частных инвестиций, с объемом финансирования в размере 49,3 млн. долларов США, освоение которых запланировано в 2014-2017 годах, из них в 2014 году - 12,3 млн. долларов США;</w:t>
      </w:r>
    </w:p>
    <w:p>
      <w:pPr>
        <w:spacing w:after="120"/>
        <w:jc w:val="both"/>
      </w:pPr>
      <w:r>
        <w:rPr>
          <w:rFonts w:ascii="Arial" w:cs="Arial" w:eastAsia="Arial" w:hAnsi="Arial"/>
          <w:sz w:val="24"/>
          <w:szCs w:val="24"/>
        </w:rPr>
        <w:t xml:space="preserve">- строительство двухцепной ВЛ 110 кВ и ПС 110/10 кВ в жилмассиве Ак-Ордо гор. Бишкек, с объемом финансирования в 2014 году в размере 2,5 млн. долларов США (кредит Турецкой Республики);</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15,3 млн. долларов 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2014 году в размере 97,4 млн. долларов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Бозымчак (объем капитальных вложений в 2014 году - 11 млн. долларов США), Иштамберды, (объем капитальных вложений в 2013 году - 8 млн. долларов США).</w:t>
      </w:r>
    </w:p>
    <w:p>
      <w:pPr>
        <w:spacing w:after="120"/>
        <w:jc w:val="both"/>
      </w:pPr>
      <w:r>
        <w:rPr>
          <w:rFonts w:ascii="Arial" w:cs="Arial" w:eastAsia="Arial" w:hAnsi="Arial"/>
          <w:sz w:val="24"/>
          <w:szCs w:val="24"/>
        </w:rPr>
        <w:t xml:space="preserve">В части работы по развитию дорожно-транспортной инфраструктуры в 2014 году прогнозируется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Бишкек-Нарын-Торугарт (9-272 км, 272-365 км, 365-539 км), с объемом финансирования в 2014 году в размере 54,6 млн. долларов США;</w:t>
      </w:r>
    </w:p>
    <w:p>
      <w:pPr>
        <w:spacing w:after="120"/>
        <w:jc w:val="both"/>
      </w:pPr>
      <w:r>
        <w:rPr>
          <w:rFonts w:ascii="Arial" w:cs="Arial" w:eastAsia="Arial" w:hAnsi="Arial"/>
          <w:sz w:val="24"/>
          <w:szCs w:val="24"/>
        </w:rPr>
        <w:t xml:space="preserve">- реабилитация автодороги Ош-Баткен-Исфана (10-28 км, 108-123 км, 220-232 км, 232-248 км, 248-360 км), с объемом финансирования в 2014 году в размере 24,3 млн. долларов США;</w:t>
      </w:r>
    </w:p>
    <w:p>
      <w:pPr>
        <w:spacing w:after="120"/>
        <w:jc w:val="both"/>
      </w:pPr>
      <w:r>
        <w:rPr>
          <w:rFonts w:ascii="Arial" w:cs="Arial" w:eastAsia="Arial" w:hAnsi="Arial"/>
          <w:sz w:val="24"/>
          <w:szCs w:val="24"/>
        </w:rPr>
        <w:t xml:space="preserve">- реабилитация автодороги Тараз-Талас-Суусамыр (с 75 по 105 км), (Фаза III), с объемом финансирования в 2014 году в размере 8,0 млн. долларов США;</w:t>
      </w:r>
    </w:p>
    <w:p>
      <w:pPr>
        <w:spacing w:after="120"/>
        <w:jc w:val="both"/>
      </w:pPr>
      <w:r>
        <w:rPr>
          <w:rFonts w:ascii="Arial" w:cs="Arial" w:eastAsia="Arial" w:hAnsi="Arial"/>
          <w:sz w:val="24"/>
          <w:szCs w:val="24"/>
        </w:rPr>
        <w:t xml:space="preserve">- реконструкция аэропортов Баткен, Исфана, Джалал-Абад, Каракол, Казарман, Кербен, Талас и др., с объемом финансирования в 2014 году в размере 2,8 млн. долларов США.</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2014 году прогнозируется на 15,5% и составит 80,8 млрд. сомов. Влияние строительного сектора на темпы экономического роста будет положительным и составит 0,92 процентного пункта, удельный вес строительства в структуре производства ВВП - 6,4%.</w:t>
      </w:r>
    </w:p>
    <w:p>
      <w:pPr>
        <w:spacing w:after="120"/>
        <w:jc w:val="both"/>
      </w:pPr>
      <w:r>
        <w:rPr>
          <w:rFonts w:ascii="Arial" w:cs="Arial" w:eastAsia="Arial" w:hAnsi="Arial"/>
          <w:sz w:val="24"/>
          <w:szCs w:val="24"/>
        </w:rPr>
        <w:t xml:space="preserve">Для совершенствования системы принятия решений при выделении земельных участков для строительства будут: (1) внесены поправки в нормативные правовые акты по вопросам выделения земельных участков, обязательного исполнения требований сейсмобезопасности (Земельный </w:t>
      </w:r>
      <w:hyperlink w:history="1" r:id="rIdxo43wwch6ozt4n_cbj6c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6cn4bh7xemetr6jnmads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и другие нормативные правовые акты); (2) разработан информационный банк данных земельных участков под строительство в населенных пунктах Кыргызской Республики; (3) принят план мероприятий по инвентаризации и поэтапной реконструкции инженерной инфраструктуры населенных пунктов.</w:t>
      </w:r>
    </w:p>
    <w:p>
      <w:pPr>
        <w:spacing w:after="120"/>
        <w:jc w:val="both"/>
      </w:pPr>
      <w:r>
        <w:rPr>
          <w:rFonts w:ascii="Arial" w:cs="Arial" w:eastAsia="Arial" w:hAnsi="Arial"/>
          <w:sz w:val="24"/>
          <w:szCs w:val="24"/>
        </w:rPr>
        <w:t xml:space="preserve">Рост объемов строительства прогнозируется во всех регионах за счет ввода ранее начатых социальных объектов, активизации реализации инвестиционных проектов в горнодобывающей и энергетической отраслях. Основную долю будут занимать гор. Бишкек (27,9%), Иссык-Кульская (21,4%), Чуйская (15,7%) и Джалал-Абадская (13,6%) области.</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(см. табл. 20), необходимый для экономического роста на уровне 6,9%, прогнозируется в сумме 135,5 млрд. сомов или 33,8% к ВВП и увеличится по сравнению с ожидаемым показателем 2013 года на 7,5%. При этом объем государственных инвестиций прогнозируется в сумме 23,1 млрд. сомов или 5,8% к ВВП, в том числе доля ПГИ - 4,2% к ВВП. Ресурсы ПГИ будут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прогнозируются в сумме 112,4 млрд. сомов или 28,0% к ВВП. При этом прогнозируется приток прямых иностранных инвестиций в сумме 47,7 млрд. сомов или 964,0 млн. долларов США, рост составит 14,0%.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Современные тенденции развития мировой и отечественной экономики показывают, что в случае последующего усиления негативного влияния инфляционных процессов, вызванных внешними шоками и нестабильной макроэкономической ситуацией, могут возникнуть следующие риски 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 остается основным сектором в формировании ВВП, удельный вес которой в структуре ВВП достигнет 47,3%.</w:t>
      </w:r>
    </w:p>
    <w:p>
      <w:pPr>
        <w:spacing w:after="120"/>
        <w:jc w:val="both"/>
      </w:pPr>
      <w:r>
        <w:rPr>
          <w:rFonts w:ascii="Arial" w:cs="Arial" w:eastAsia="Arial" w:hAnsi="Arial"/>
          <w:sz w:val="24"/>
          <w:szCs w:val="24"/>
        </w:rPr>
        <w:t xml:space="preserve">Валовой выпуск сферы услуг в 2014 году прогнозируется в объеме 343,8 млрд. сомов, где рост составит 105,5%. Основными источниками роста будут: торговля, где рост прогнозируется на уровне 6,3%, транспортные услуги - на 8,9%, услуги связи - на 8,8%, услуги финансовой деятельности - на 5,8% и услуги гостиниц и ресторанов - на 8,4%.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3"/>
        <w:gridCol w:w="2027"/>
        <w:gridCol w:w="2027"/>
      </w:tblGrid>
      <w:tr>
        <w:tc>
          <w:tcPr>
            <w:tcW w:type="dxa" w:w="61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6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сферы услуг основную долю занимают услуги торговли, которые в 2014 году составят 32,5% от общего объема предоставляемых услуг. Благоприятными предпосылками для увеличения торговли станут рост денежных доходов населения на 15,3% и развитие секторов экономики. Политика мер в области торговли будет направлена на: (а) совершенствование регуляторной политики в области торговли и создание благоприятной бизнес - среды; (б) внедрение современных форм торговли; (в) обеспечение роста доступности потребительских рынков для широкого населения; (г) формирование развитой системы продвижения товаров; (д) внедрение эффективных механизмов регулирования торговой деятельности; (е) развитие электронной торговли; (ж) расширение крупных торговых центров.</w:t>
      </w:r>
    </w:p>
    <w:p>
      <w:pPr>
        <w:spacing w:after="120"/>
        <w:jc w:val="both"/>
      </w:pPr>
      <w:r>
        <w:rPr>
          <w:rFonts w:ascii="Arial" w:cs="Arial" w:eastAsia="Arial" w:hAnsi="Arial"/>
          <w:sz w:val="24"/>
          <w:szCs w:val="24"/>
        </w:rPr>
        <w:t xml:space="preserve">Особое внимание будет уделено развитию упорядоченных форм приграничной торговли, это позволит расширить объемы торговли, что, в свою очередь, предоставит возможность развития и, соответственно, выравнивания социально-экономического положения регионов республики. Планируется создание центров приграничной торговли на юге страны в Лейлекском районе Баткенской области и на севере страны в селе Чалдовар Жайылского района Чуйской области. Создание подобных центров будет стимулировать в целом развитие торговой инфраструктуры отдаленных территорий страны, включая мелкую организованную торговлю.</w:t>
      </w:r>
    </w:p>
    <w:p>
      <w:pPr>
        <w:spacing w:after="120"/>
        <w:jc w:val="both"/>
      </w:pPr>
      <w:r>
        <w:rPr>
          <w:rFonts w:ascii="Arial" w:cs="Arial" w:eastAsia="Arial" w:hAnsi="Arial"/>
          <w:sz w:val="24"/>
          <w:szCs w:val="24"/>
        </w:rPr>
        <w:t xml:space="preserve">В целях укрепления и повышения конкурентоспособности торгово-рыночных комплексов «Дордой» и «Кара-Суу», сохранения темпов роста торгового оборота и количества рабочих мест на рынках, увеличения поступления налогов будут реализовываться меры в соответствии с </w:t>
      </w:r>
      <w:hyperlink w:history="1" r:id="rIdqwfsrxhvzf0yhbkdapezq">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развития торгово-рыночных комплексов «Дордой» и «Кара-Суу» (</w:t>
      </w:r>
      <w:hyperlink w:history="1" r:id="rIdvr8kdj6_h3bsq6ewl7i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2012 года № 654).</w:t>
      </w:r>
    </w:p>
    <w:p>
      <w:pPr>
        <w:spacing w:after="120"/>
        <w:jc w:val="both"/>
      </w:pPr>
      <w:r>
        <w:rPr>
          <w:rFonts w:ascii="Arial" w:cs="Arial" w:eastAsia="Arial" w:hAnsi="Arial"/>
          <w:sz w:val="24"/>
          <w:szCs w:val="24"/>
        </w:rPr>
        <w:t xml:space="preserve">Услуги транспорта и связи, являясь исключительно важной составляющей для экономики страны, прогнозируются на уровне 108,8%, в основном за счет быстрого развития современных видов услуг связи. Развитие услуг связи будет нацелено на создание высокотехнологической телекоммуникационной системы, обеспечивающей широкий спектр услуг и способствующей интеграции страны в общемировое информационное пространство. Лидером по темпам развития в телекоммуникационной отрасли будет оставаться мобильная связь. Прирост предоставляемых услуг связи прогнозируется на уровне 108,8%. Общее количество пользователей Интернетом достигнет в 2014 году 70-80% населения страны. Продолжится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строительство ВОЛС, в частности, по направлениям Балыкчы-Каракол, Ош-Иркештам и Ош-Узген - Джалал-Абад-Таш-Кумыр. К концу 2014 года планируется охватить цифровым вещанием 90% населения Кыргызской Республики. Продолжится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 а также по модернизации и развитию сети отделений связи Государственного предприятия «Кыргыз почтасы».</w:t>
      </w:r>
    </w:p>
    <w:p>
      <w:pPr>
        <w:spacing w:after="120"/>
        <w:jc w:val="both"/>
      </w:pPr>
      <w:r>
        <w:rPr>
          <w:rFonts w:ascii="Arial" w:cs="Arial" w:eastAsia="Arial" w:hAnsi="Arial"/>
          <w:sz w:val="24"/>
          <w:szCs w:val="24"/>
        </w:rPr>
        <w:t xml:space="preserve">Основной задачей для роста и улучшения качества услуг транспорта в 2014 году станет ускоренный процесс реабилитации транспортной инфраструктуры. Планируется, что основная часть транспортных коридоров будет реабилитирована в 2014 году, для чего будет привлечен немалый объем инвестиций. На воздушном транспорте будет обеспечиваться надежное авиасообщение между регионами страны, странами ближнего и дальнего зарубежья. Рост предоставляемых услуг транспорта прогнозируется на уровне 108,9%. Основными задачами для его поддержания на этом уровне будут: (а) реабилитация и эффективное использование международных транзитно-транспортных коридоров; (б) реконструкция железных и автомобильных дорог; (в) обеспечение безопасности воздушного движения.</w:t>
      </w:r>
    </w:p>
    <w:p>
      <w:pPr>
        <w:spacing w:after="120"/>
        <w:jc w:val="both"/>
      </w:pPr>
      <w:r>
        <w:rPr>
          <w:rFonts w:ascii="Arial" w:cs="Arial" w:eastAsia="Arial" w:hAnsi="Arial"/>
          <w:sz w:val="24"/>
          <w:szCs w:val="24"/>
        </w:rPr>
        <w:t xml:space="preserve">Развитие туризма будет нацелено на формирование конкурентоспособной туристической индустрии. С учетом тенденций развития мирового туристического рынка меры будут направлены на развитие четыре основных вида туризма в Кыргызстане, способных дать высокую экономическую отдачу в 2014 году - это курортно-рекреационный туризм, ориентированный на Казахстан, Россию (Сибирь и Урал), Узбекистан; туризм на Великом Шелковом пути, ориентированный на страны ЕС, Японию, Южную Корею и другие страны; горно-приключенческий туризм, включая экологический туризм, ориентированный на страны ЕС, Казахстан, Россию и другие страны и деловой туризм - за счет использования выгодного географического расположения Кыргызстана. Рост экспорта туристических услуг прогнозируется на уровне 770,0 млн. долларов США, удельный вес которых в ВВП в 2014 году возрастет до 5,6%.</w:t>
      </w:r>
    </w:p>
    <w:p>
      <w:pPr>
        <w:spacing w:after="120"/>
        <w:jc w:val="both"/>
      </w:pPr>
      <w:r>
        <w:rPr>
          <w:rFonts w:ascii="Arial" w:cs="Arial" w:eastAsia="Arial" w:hAnsi="Arial"/>
          <w:sz w:val="24"/>
          <w:szCs w:val="24"/>
        </w:rPr>
        <w:t xml:space="preserve">Политика меры в области развития туризма будет направлена на решение таких задач, как:</w:t>
      </w:r>
    </w:p>
    <w:p>
      <w:pPr>
        <w:spacing w:after="120"/>
        <w:jc w:val="both"/>
      </w:pPr>
      <w:r>
        <w:rPr>
          <w:rFonts w:ascii="Arial" w:cs="Arial" w:eastAsia="Arial" w:hAnsi="Arial"/>
          <w:sz w:val="24"/>
          <w:szCs w:val="24"/>
        </w:rPr>
        <w:t xml:space="preserve">- поддержка отечественного предпринимательства в сфере туризма;</w:t>
      </w:r>
    </w:p>
    <w:p>
      <w:pPr>
        <w:spacing w:after="120"/>
        <w:jc w:val="both"/>
      </w:pPr>
      <w:r>
        <w:rPr>
          <w:rFonts w:ascii="Arial" w:cs="Arial" w:eastAsia="Arial" w:hAnsi="Arial"/>
          <w:sz w:val="24"/>
          <w:szCs w:val="24"/>
        </w:rPr>
        <w:t xml:space="preserve">- формирование современной инфраструктуры туристического обслуживания;</w:t>
      </w:r>
    </w:p>
    <w:p>
      <w:pPr>
        <w:spacing w:after="120"/>
        <w:jc w:val="both"/>
      </w:pPr>
      <w:r>
        <w:rPr>
          <w:rFonts w:ascii="Arial" w:cs="Arial" w:eastAsia="Arial" w:hAnsi="Arial"/>
          <w:sz w:val="24"/>
          <w:szCs w:val="24"/>
        </w:rPr>
        <w:t xml:space="preserve">- активизация рекламных кампаний на туристических рынках;</w:t>
      </w:r>
    </w:p>
    <w:p>
      <w:pPr>
        <w:spacing w:after="120"/>
        <w:jc w:val="both"/>
      </w:pPr>
      <w:r>
        <w:rPr>
          <w:rFonts w:ascii="Arial" w:cs="Arial" w:eastAsia="Arial" w:hAnsi="Arial"/>
          <w:sz w:val="24"/>
          <w:szCs w:val="24"/>
        </w:rPr>
        <w:t xml:space="preserve">- создание благоприятных условии для кооперации туристических, банковских, транспортных и гостиничных структур;</w:t>
      </w:r>
    </w:p>
    <w:p>
      <w:pPr>
        <w:spacing w:after="120"/>
        <w:jc w:val="both"/>
      </w:pPr>
      <w:r>
        <w:rPr>
          <w:rFonts w:ascii="Arial" w:cs="Arial" w:eastAsia="Arial" w:hAnsi="Arial"/>
          <w:sz w:val="24"/>
          <w:szCs w:val="24"/>
        </w:rPr>
        <w:t xml:space="preserve">- формирование имиджа гостеприимной страны, обеспечение узнаваемости туристического продукта Кыргызстана, укрепление и расширение позиций туристического продукта Кыргызстана на внешних рынках.</w:t>
      </w:r>
    </w:p>
    <w:p>
      <w:pPr>
        <w:spacing w:after="120"/>
        <w:jc w:val="both"/>
      </w:pPr>
      <w:r>
        <w:rPr>
          <w:rFonts w:ascii="Arial" w:cs="Arial" w:eastAsia="Arial" w:hAnsi="Arial"/>
          <w:sz w:val="24"/>
          <w:szCs w:val="24"/>
        </w:rPr>
        <w:t xml:space="preserve">В 2014 году в региональном разрезе основной вклад в объем рыночных услуг прогнозируется от гор. Бишкек (56,3%), а также Чуйской (11,3%), Джалал-Абадской (8,2%) областей. Их суммарный вклад составит 75,8%,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6.7. Внешнеэкономическая деятельность в 2014 году будет складываться под влиянием таких факторов, как: (а) рост внутреннего производства на 6,9%; (б) риски, связанные с условиями действия Таможенного союза; (в) прогнозируемое снижение мировых цен на золото.</w:t>
      </w:r>
    </w:p>
    <w:p>
      <w:pPr>
        <w:spacing w:after="120"/>
        <w:jc w:val="both"/>
      </w:pPr>
      <w:r>
        <w:rPr>
          <w:rFonts w:ascii="Arial" w:cs="Arial" w:eastAsia="Arial" w:hAnsi="Arial"/>
          <w:sz w:val="24"/>
          <w:szCs w:val="24"/>
        </w:rPr>
        <w:t xml:space="preserve">Значительное влияние на развитие внешней торговли в среднесрочной перспективе окажет присоединение Кыргызстана к Таможенному союзу. Ожидается, что это улучшит торговые отношения со странами ТС, но в то же время, могут возникнуть проблемы в торговле со странами, не входящими в ТС.</w:t>
      </w:r>
    </w:p>
    <w:p>
      <w:pPr>
        <w:spacing w:after="120"/>
        <w:jc w:val="both"/>
      </w:pPr>
      <w:r>
        <w:rPr>
          <w:rFonts w:ascii="Arial" w:cs="Arial" w:eastAsia="Arial" w:hAnsi="Arial"/>
          <w:sz w:val="24"/>
          <w:szCs w:val="24"/>
        </w:rPr>
        <w:t xml:space="preserve">Наиболее очевидным преимуществом для кыргызской экономики будет сохранение уровней поставок и цен импорта нефтепродуктов, металла, лесоматериалов из стран-членов ТС, доступ к рынкам стран ТС, улучшение условий трудоустройства для мигрантов. Вследствие ожидаемого ввода и начала крупных инвестиционных проектов можно ожидать увеличения притока прямых иностранных инвестиций, направляемых на приобретение техники.</w:t>
      </w:r>
    </w:p>
    <w:p>
      <w:pPr>
        <w:spacing w:after="120"/>
        <w:jc w:val="both"/>
      </w:pPr>
      <w:r>
        <w:rPr>
          <w:rFonts w:ascii="Arial" w:cs="Arial" w:eastAsia="Arial" w:hAnsi="Arial"/>
          <w:sz w:val="24"/>
          <w:szCs w:val="24"/>
        </w:rPr>
        <w:t xml:space="preserve">Для сохранения транзитного потенциала страны и таких объектов как «Дордой» и «Кара-Суу», как логистических центров будет осуществлена переориентация на экспортное производство предприятий, занимавшихся реэкспортом, с созданием соответствующей инфраструктуры.</w:t>
      </w:r>
    </w:p>
    <w:p>
      <w:pPr>
        <w:spacing w:after="120"/>
        <w:jc w:val="both"/>
      </w:pPr>
      <w:r>
        <w:rPr>
          <w:rFonts w:ascii="Arial" w:cs="Arial" w:eastAsia="Arial" w:hAnsi="Arial"/>
          <w:sz w:val="24"/>
          <w:szCs w:val="24"/>
        </w:rPr>
        <w:t xml:space="preserve">Будет продолжена работа по запуску системы «Единого окна» при выдаче разрешительных документов на экспорт и импорт.</w:t>
      </w:r>
    </w:p>
    <w:p>
      <w:pPr>
        <w:spacing w:after="120"/>
        <w:jc w:val="both"/>
      </w:pPr>
      <w:r>
        <w:rPr>
          <w:rFonts w:ascii="Arial" w:cs="Arial" w:eastAsia="Arial" w:hAnsi="Arial"/>
          <w:sz w:val="24"/>
          <w:szCs w:val="24"/>
        </w:rPr>
        <w:t xml:space="preserve">Объем внешнеторгового оборота прогнозируется на уровне 9580 млн. долларов США, с номинальным превышением уровня 2013 года на 15,4%.</w:t>
      </w:r>
    </w:p>
    <w:p>
      <w:pPr>
        <w:spacing w:after="120"/>
        <w:jc w:val="both"/>
      </w:pPr>
      <w:r>
        <w:rPr>
          <w:rFonts w:ascii="Arial" w:cs="Arial" w:eastAsia="Arial" w:hAnsi="Arial"/>
          <w:sz w:val="24"/>
          <w:szCs w:val="24"/>
        </w:rPr>
        <w:t xml:space="preserve">Прогнозируется, что номинальный объем экспортных поставок составит до 2,3 млрд. долларов США, и темп роста сложится на уровне 10,7%, за счет увеличения поставок золота на 9,6%, доля которого в общем объеме экспорта составит 30,8% против ожидаемого уровня 31,1% в 2013 году, а также роста экспорта швейных изделий (на 13,9%), ламп накаливания (на 4,7%), овощей и фруктов (на 5,9%), хлопка-волокна (на 3,3%) и др.</w:t>
      </w:r>
    </w:p>
    <w:p>
      <w:pPr>
        <w:spacing w:after="120"/>
        <w:jc w:val="both"/>
      </w:pPr>
      <w:r>
        <w:rPr>
          <w:rFonts w:ascii="Arial" w:cs="Arial" w:eastAsia="Arial" w:hAnsi="Arial"/>
          <w:sz w:val="24"/>
          <w:szCs w:val="24"/>
        </w:rPr>
        <w:t xml:space="preserve">Что касается импорта, то его объем сложится в размере 7,3 млрд. долларов США и номинальный рост составит 17,0%, который будет определяться ростом потребительского спроса, связанным с увеличением объемов поставок нефтепродуктов на 17,0% (доля в структуре импорта - 19,4%), промежуточных и инвестиционных товаров, а также потребительских товаров. Импорт инвестиционных товаров возрастет на 12,4%, что создаст надежные предпосылки для поддержания экономического роста.</w:t>
      </w:r>
    </w:p>
    <w:p>
      <w:pPr>
        <w:spacing w:after="120"/>
        <w:jc w:val="both"/>
      </w:pPr>
      <w:r>
        <w:rPr>
          <w:rFonts w:ascii="Arial" w:cs="Arial" w:eastAsia="Arial" w:hAnsi="Arial"/>
          <w:sz w:val="24"/>
          <w:szCs w:val="24"/>
        </w:rPr>
        <w:t xml:space="preserve">В результате отрицательное сальдо торгового баланса сложится на уровне 4,9 млрд. долларов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ухудшится с (-) 50,0% в 2013 году до (-) 50,9% в 2014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0"/>
        <w:gridCol w:w="1934"/>
        <w:gridCol w:w="1934"/>
      </w:tblGrid>
      <w:tr>
        <w:tc>
          <w:tcPr>
            <w:tcW w:type="dxa" w:w="6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6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что в 2014 году доля частного потребления составит 98,5% от объема ВВП, темп реального роста сложится на уровне 6,2%. Частные потребительские расходы будут подкреплены прогнозируемым ростом денежных доходов населения на 15,3% за счет создания новых рабочих мест и ростом средней номинальной заработной платы на 12,6%. Рост частного потребления будет стимулировать опережающий рост импорта (на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приоритетом Правительства Кыргызской Республики остается решение социальных задач. Расходы из республиканского бюджета по-прежнему являются социальноориентируемыми и удельный вес расходов на социальную сферу достигает 50%.</w:t>
      </w:r>
    </w:p>
    <w:p>
      <w:pPr>
        <w:spacing w:after="120"/>
        <w:jc w:val="both"/>
      </w:pPr>
      <w:r>
        <w:rPr>
          <w:rFonts w:ascii="Arial" w:cs="Arial" w:eastAsia="Arial" w:hAnsi="Arial"/>
          <w:sz w:val="24"/>
          <w:szCs w:val="24"/>
        </w:rPr>
        <w:t xml:space="preserve">Наиболее остро в стране стоит вопрос роста уровня бедности, который имеет негативную тенденцию, с 2007 года увеличился на 5,1%. В 2014 году основные направления деятельности будут ориентированы на снижение уровня бедности. Принимая во внимание, что проблема бедности требует комплексного подхода, в 2014 году будут продолжены реформы в сфере социальной защиты, здравоохранения, социального страхования, образования, рынка труда и гендерной политики.</w:t>
      </w:r>
    </w:p>
    <w:p>
      <w:pPr>
        <w:spacing w:after="120"/>
        <w:jc w:val="both"/>
      </w:pPr>
      <w:r>
        <w:rPr>
          <w:rFonts w:ascii="Arial" w:cs="Arial" w:eastAsia="Arial" w:hAnsi="Arial"/>
          <w:sz w:val="24"/>
          <w:szCs w:val="24"/>
        </w:rPr>
        <w:t xml:space="preserve">Комплексные задачи по совершенствованию будущей системы социальной защиты будут решаться мерами, заложенными в </w:t>
      </w:r>
      <w:hyperlink w:history="1" r:id="rIdzeb4owhwt7ajakhyoqtr3">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социальной защиты населения Кыргызской Республики на 2012-2014 годы (</w:t>
      </w:r>
      <w:hyperlink w:history="1" r:id="rIdt_rgchcsluuk3ism8jc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В целях повышения качества системы социальной защиты запланированы разработка и утверждение минимальных социальных стандартов и методики расчета стоимости социальных услуг. Кроме того, намечено создание системы повышения квалификации кадров, построение единой информационной системы в сфере социальной защиты.</w:t>
      </w:r>
    </w:p>
    <w:p>
      <w:pPr>
        <w:spacing w:after="120"/>
        <w:jc w:val="both"/>
      </w:pPr>
      <w:r>
        <w:rPr>
          <w:rFonts w:ascii="Arial" w:cs="Arial" w:eastAsia="Arial" w:hAnsi="Arial"/>
          <w:sz w:val="24"/>
          <w:szCs w:val="24"/>
        </w:rPr>
        <w:t xml:space="preserve">Для улучшения системы социальной защиты семей и детей в трудной жизненной ситуации планируется повышение пособий малообеспеченным семьям, имеющим детей, за счет роста гарантированного минимального дохода (ГМД) на 10% ежегодно. Будет продолжена работа по развитию и внедрению различных форм устройства детей, находящихся в трудной жизненной ситуации, (центры дневного пребывания, приемные семьи, центры адаптации и реабилитации и т.д.).</w:t>
      </w:r>
    </w:p>
    <w:p>
      <w:pPr>
        <w:spacing w:after="120"/>
        <w:jc w:val="both"/>
      </w:pPr>
      <w:r>
        <w:rPr>
          <w:rFonts w:ascii="Arial" w:cs="Arial" w:eastAsia="Arial" w:hAnsi="Arial"/>
          <w:sz w:val="24"/>
          <w:szCs w:val="24"/>
        </w:rPr>
        <w:t xml:space="preserve">В целях снижения ошибок исключения из схемы социальной защиты семей и детей в трудной жизненной ситуации планируется разработка и внедрение механизма использования социального паспорта семьи при составлении индивидуального плана защиты ребенка и Плана индивидуальной работы с семьей.</w:t>
      </w:r>
    </w:p>
    <w:p>
      <w:pPr>
        <w:spacing w:after="120"/>
        <w:jc w:val="both"/>
      </w:pPr>
      <w:r>
        <w:rPr>
          <w:rFonts w:ascii="Arial" w:cs="Arial" w:eastAsia="Arial" w:hAnsi="Arial"/>
          <w:sz w:val="24"/>
          <w:szCs w:val="24"/>
        </w:rPr>
        <w:t xml:space="preserve">Для улучшения качества социальных услуг для лиц с ограниченными возможностями здоровья (ЛОВЗ) будут внедряться новые формы и методы работы в стационарных социальных учреждениях, современные технологии изготовления технических средств реабилитации, специализированные реабилитационные программы при участии ЛОВЗ и членов семей, а также новая система определения инвалидности, с учетом международных стандартов.</w:t>
      </w:r>
    </w:p>
    <w:p>
      <w:pPr>
        <w:spacing w:after="120"/>
        <w:jc w:val="both"/>
      </w:pPr>
      <w:r>
        <w:rPr>
          <w:rFonts w:ascii="Arial" w:cs="Arial" w:eastAsia="Arial" w:hAnsi="Arial"/>
          <w:sz w:val="24"/>
          <w:szCs w:val="24"/>
        </w:rPr>
        <w:t xml:space="preserve">В части пенсионной политики в целях усиления страхового принципа при назначении пенсий предлагается поэтапное выравнивание ставок тарифов страховых взносов для индивидуальных предпринимателей, работающих на рынках, и сельскохозяйственного сектора. Также планируется разработать стимулирующие механизмы взаимодействия с владельцами рынков и торговых площадей по сбору страховых взносов от самозанятых граждан, а также с органами МСУ по сбору страховых взносов от сельскохозяйственного сектора.</w:t>
      </w:r>
    </w:p>
    <w:p>
      <w:pPr>
        <w:spacing w:after="120"/>
        <w:jc w:val="both"/>
      </w:pPr>
      <w:r>
        <w:rPr>
          <w:rFonts w:ascii="Arial" w:cs="Arial" w:eastAsia="Arial" w:hAnsi="Arial"/>
          <w:sz w:val="24"/>
          <w:szCs w:val="24"/>
        </w:rPr>
        <w:t xml:space="preserve">Кроме того, по разным оценкам, свыше 10% от общей численности населения Кыргызстана сегодня работают и проживают в других странах. Их доходы никак не регистрируются, они не делают взносов в систему государственного социального страхования на данный момент и не будут иметь возможности получать пенсию в будущем. В связи с этим будет продолжена работа по совершенствованию межгосударственных соглашений по вовлечению мигрантов в систему государственного социального страхования.</w:t>
      </w:r>
    </w:p>
    <w:p>
      <w:pPr>
        <w:spacing w:after="120"/>
        <w:jc w:val="both"/>
      </w:pPr>
      <w:r>
        <w:rPr>
          <w:rFonts w:ascii="Arial" w:cs="Arial" w:eastAsia="Arial" w:hAnsi="Arial"/>
          <w:sz w:val="24"/>
          <w:szCs w:val="24"/>
        </w:rPr>
        <w:t xml:space="preserve">В рамках инновационной политики ведется работа по дальнейшей автоматизации деятельности Социального фонда Кыргызской Республики. Разработаны блоки «Выплата», «Назначение и перерасчет пенсий» в рамках программы «eLeed». Планируется запустить данные блоки в тестовом режиме и в 2014 году приступить к практической эксплуатации в целях автоматизации процесса назначения, начисления, перерасчета и выплаты пенсий.</w:t>
      </w:r>
    </w:p>
    <w:p>
      <w:pPr>
        <w:spacing w:after="120"/>
        <w:jc w:val="both"/>
      </w:pPr>
      <w:r>
        <w:rPr>
          <w:rFonts w:ascii="Arial" w:cs="Arial" w:eastAsia="Arial" w:hAnsi="Arial"/>
          <w:sz w:val="24"/>
          <w:szCs w:val="24"/>
        </w:rPr>
        <w:t xml:space="preserve">С 1 января 2010 года в пенсионную систему введен накопительный компонент. Основными целями введения накопительной части в пенсионную систему являются:</w:t>
      </w:r>
    </w:p>
    <w:p>
      <w:pPr>
        <w:spacing w:after="120"/>
        <w:jc w:val="both"/>
      </w:pPr>
      <w:r>
        <w:rPr>
          <w:rFonts w:ascii="Arial" w:cs="Arial" w:eastAsia="Arial" w:hAnsi="Arial"/>
          <w:sz w:val="24"/>
          <w:szCs w:val="24"/>
        </w:rPr>
        <w:t xml:space="preserve">- повышение уровня пенсионного обеспечения в Кыргызстане;</w:t>
      </w:r>
    </w:p>
    <w:p>
      <w:pPr>
        <w:spacing w:after="120"/>
        <w:jc w:val="both"/>
      </w:pPr>
      <w:r>
        <w:rPr>
          <w:rFonts w:ascii="Arial" w:cs="Arial" w:eastAsia="Arial" w:hAnsi="Arial"/>
          <w:sz w:val="24"/>
          <w:szCs w:val="24"/>
        </w:rPr>
        <w:t xml:space="preserve">- достижение финансовой стабильности пенсионного фонда в среднесрочной и долгосрочной перспективе;</w:t>
      </w:r>
    </w:p>
    <w:p>
      <w:pPr>
        <w:spacing w:after="120"/>
        <w:jc w:val="both"/>
      </w:pPr>
      <w:r>
        <w:rPr>
          <w:rFonts w:ascii="Arial" w:cs="Arial" w:eastAsia="Arial" w:hAnsi="Arial"/>
          <w:sz w:val="24"/>
          <w:szCs w:val="24"/>
        </w:rPr>
        <w:t xml:space="preserve">- привлечение пенсионных «длинных денег» в качестве инвестиций в экономику страны, и, как следствие, обеспечение связи более высоких темпов экономического роста.</w:t>
      </w:r>
    </w:p>
    <w:p>
      <w:pPr>
        <w:spacing w:after="120"/>
        <w:jc w:val="both"/>
      </w:pPr>
      <w:r>
        <w:rPr>
          <w:rFonts w:ascii="Arial" w:cs="Arial" w:eastAsia="Arial" w:hAnsi="Arial"/>
          <w:sz w:val="24"/>
          <w:szCs w:val="24"/>
        </w:rPr>
        <w:t xml:space="preserve">Планируется ежегодное повышение пенсий, с учетом финансовых возможностей бюджета Социального фонда Кыргызской Республики. В 2014 году номинальный размер пенсии увеличится на 10% по сравнению с 2013 годом.</w:t>
      </w:r>
    </w:p>
    <w:p>
      <w:pPr>
        <w:spacing w:after="120"/>
        <w:jc w:val="both"/>
      </w:pPr>
      <w:r>
        <w:rPr>
          <w:rFonts w:ascii="Arial" w:cs="Arial" w:eastAsia="Arial" w:hAnsi="Arial"/>
          <w:sz w:val="24"/>
          <w:szCs w:val="24"/>
        </w:rPr>
        <w:t xml:space="preserve">В 2014 году политика в сфере образования будет проводиться в рамках Стратегии развития образования в Кыргызской Республике на 2012-2020 годы, и Плана   действий по реализации Стратегии развития образования в Кыргызской Республике на 2012-2014 годы, утвержденных </w:t>
      </w:r>
      <w:hyperlink w:history="1" r:id="rIdfha_of74u1punuklp44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201, где заложены такие основные направления, как предоставление образовательных услуг соответствующих современному уровню социального, политического и экономического развития страны, равного доступа к качественному образованию, обеспечение конкурентоспособности человеческого капитала республики в региональных и международных процессах.</w:t>
      </w:r>
    </w:p>
    <w:p>
      <w:pPr>
        <w:spacing w:after="120"/>
        <w:jc w:val="both"/>
      </w:pPr>
      <w:r>
        <w:rPr>
          <w:rFonts w:ascii="Arial" w:cs="Arial" w:eastAsia="Arial" w:hAnsi="Arial"/>
          <w:sz w:val="24"/>
          <w:szCs w:val="24"/>
        </w:rPr>
        <w:t xml:space="preserve">В области дошкольного образования предусмотрено повышение охвата детей 5-6 лет (включая детей с ограниченными возможностями) программой предшкольной подготовки через существующую сеть общеобразовательных организаций, организация 240-часовой подготовки детей к школе и начало пилотирования годовой программы подготовки детей к школе. В секторе школьного образования будут реализовываться такие меры, как модернизация содержания образования, с учетом компетентностного подхода, и поддержание функционирования сети школ в соответствии со стандартами, утверждение 20 стандартов нового поколения (куррикулумов) для 5-9 классов. В рамках среднего профессионального образования предполагается разработка стандартов по специальностям, актуальным для экономики Кыргызской Республики, пилотирование программ короткого цикла для обеспечения быстрейшего выхода специалистов на рынок труда. В секторе высшего профессионального образования основные действия будут направлены на переход к двухуровневой структуре высшего профессионального образования, проведение пилотной аккредитации программ в соответствии с заявками вузов.</w:t>
      </w:r>
    </w:p>
    <w:p>
      <w:pPr>
        <w:spacing w:after="120"/>
        <w:jc w:val="both"/>
      </w:pPr>
      <w:r>
        <w:rPr>
          <w:rFonts w:ascii="Arial" w:cs="Arial" w:eastAsia="Arial" w:hAnsi="Arial"/>
          <w:sz w:val="24"/>
          <w:szCs w:val="24"/>
        </w:rPr>
        <w:t xml:space="preserve">Основополагающим документом развития здравоохранения является Национальная программа реформирования здравоохранения «Ден соолук» на 2012-2016 годы, утвержденная </w:t>
      </w:r>
      <w:hyperlink w:history="1" r:id="rIdekuer-n80a-ezivfert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2012 года № 309, где предусмотрено создание необходимых условий для охраны и укрепления здоровья населения республики и каждого человека в отдельности, независимо от социального статуса и гендерных различий. Основываясь на структуру причин заболеваемости и смертности населения в Кыргызской Республике и обязательствах страны по достижению Целей Развития Тысячелетия, ключевыми областями воздействия Программы «Ден соолук» являются: контроль сердечно - сосудистых заболеваний, туберкулеза и ВИЧ/СПИД, охрана здоровья матери и ребенка.</w:t>
      </w:r>
    </w:p>
    <w:p>
      <w:pPr>
        <w:spacing w:after="120"/>
        <w:jc w:val="both"/>
      </w:pPr>
      <w:r>
        <w:rPr>
          <w:rFonts w:ascii="Arial" w:cs="Arial" w:eastAsia="Arial" w:hAnsi="Arial"/>
          <w:sz w:val="24"/>
          <w:szCs w:val="24"/>
        </w:rPr>
        <w:t xml:space="preserve">В рамках Программы государственных гарантий (далее - ПГГ) по обеспечению граждан Кыргызской Республики медико-санитарной помощью будут проводиться мероприятия по обеспечению доступа населения к медицинским услугам и снижению финансового бремени населения при их получении, формированию системы государственного медицинского страхования. В области лекарственного обеспечения в рамках ПГГ в целях обеспечения доступа населения к дорогостоящим и высокотехнологичным видам медицинской помощи будут совершенствоваться механизмы финансирования программы Фонда высоких технологий (далее - ФВТ) на основе прозрачности и справедливости распределения имеющихся ресурсов.</w:t>
      </w:r>
    </w:p>
    <w:p>
      <w:pPr>
        <w:spacing w:after="120"/>
        <w:jc w:val="both"/>
      </w:pPr>
      <w:r>
        <w:rPr>
          <w:rFonts w:ascii="Arial" w:cs="Arial" w:eastAsia="Arial" w:hAnsi="Arial"/>
          <w:sz w:val="24"/>
          <w:szCs w:val="24"/>
        </w:rPr>
        <w:t xml:space="preserve">В области занятости населения планируется разработка и внедрение новых образовательных программ по профессиям, востребованным в отраслях экономики, обучение преподавательского состава новым методикам преподавания и распространение положительного опыта успешных учебных заведений. Будет проводиться работа, направленная на защиту прав и интересов трудовых мигрантов за рубежом, диверсификацию направлений по трудоустройству за рубежом, разработку законопроектов о негосударственном фонде по оказанию социального обеспечения трудовым мигрантам и методологии статистического учета занятых за рубежом, а также разработку нормативно-правовой основы создания Миграционного фонда.</w:t>
      </w:r>
    </w:p>
    <w:p>
      <w:pPr>
        <w:spacing w:after="120"/>
        <w:jc w:val="both"/>
      </w:pPr>
      <w:r>
        <w:rPr>
          <w:rFonts w:ascii="Arial" w:cs="Arial" w:eastAsia="Arial" w:hAnsi="Arial"/>
          <w:sz w:val="24"/>
          <w:szCs w:val="24"/>
        </w:rPr>
        <w:t xml:space="preserve">Прогнозируемый рост в экономике и меры по содействию занятости в 2014 году повлекут создание рабочих мест и рост численности занятых в экономике от 2352,7 тыс. чел. в 2013 году до 2391,3 тыс. чел. в 2014 году. Уровень общей безработицы, соответственно, упадет с 8,3 ед. в 2013 году до 8,1 ед. в 2014 году.</w:t>
      </w:r>
    </w:p>
    <w:p>
      <w:pPr>
        <w:spacing w:after="120"/>
        <w:jc w:val="both"/>
      </w:pPr>
      <w:r>
        <w:rPr>
          <w:rFonts w:ascii="Arial" w:cs="Arial" w:eastAsia="Arial" w:hAnsi="Arial"/>
          <w:sz w:val="24"/>
          <w:szCs w:val="24"/>
        </w:rPr>
        <w:t xml:space="preserve">Исходя из прогнозируемых параметров развития экономики в 2014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в 2014 году увеличится относительно 2013 года с 1335,0 до 1466,7 долларов США, или на 9,9%.</w:t>
      </w:r>
    </w:p>
    <w:p>
      <w:pPr>
        <w:spacing w:after="120"/>
        <w:jc w:val="both"/>
      </w:pPr>
      <w:r>
        <w:rPr>
          <w:rFonts w:ascii="Arial" w:cs="Arial" w:eastAsia="Arial" w:hAnsi="Arial"/>
          <w:sz w:val="24"/>
          <w:szCs w:val="24"/>
        </w:rPr>
        <w:t xml:space="preserve">Номинальные денежные доходы населения возрастут на 15,3% и их объем составит 289,8 млрд. сомов. С учетом прогнозируемого роста потребительских цен, реальный темп прироста денежных доходов составит 5,6%. В структуре денежных доходов увеличится «заработная плата», где номинальный размер в среднем возрастет на 12,6% и составит 13896 сомов, а реальный рост - на 3,1%. Номинальный размер средней пенсии, с учетом компенсации за электроэнергию, вырастет на 6,5% и составит 4726,0 сома. Прожиточный минимум составит 5091,3 сома.</w:t>
      </w:r>
    </w:p>
    <w:p>
      <w:pPr>
        <w:spacing w:after="120"/>
        <w:jc w:val="both"/>
      </w:pPr>
      <w:r>
        <w:rPr>
          <w:rFonts w:ascii="Arial" w:cs="Arial" w:eastAsia="Arial" w:hAnsi="Arial"/>
          <w:sz w:val="24"/>
          <w:szCs w:val="24"/>
        </w:rPr>
        <w:t xml:space="preserve">Таким образом, прогнозируемый экономический рост в 2014 году на 6,9%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120"/>
        <w:jc w:val="both"/>
      </w:pPr>
      <w:r>
        <w:rPr>
          <w:rFonts w:ascii="Arial" w:cs="Arial" w:eastAsia="Arial" w:hAnsi="Arial"/>
          <w:sz w:val="24"/>
          <w:szCs w:val="24"/>
        </w:rPr>
        <w:t xml:space="preserve">При этом риском уменьшения прогнозируемого показателя роста на 2014 год может быть влияние эффекта высокой базы ожидаемого в 2013 году, вследствие реализации резервов по увеличению объема ВВП (ожидаемые дополнительные объемы на предприятиях по разработке месторождений Кумтор, ОАО «Кыргызалтын»).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Макроэкономический прогноз на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2015-2016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 в среднем на 6,3% в год.</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на 2015-2016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4"/>
        <w:gridCol w:w="1600"/>
        <w:gridCol w:w="1600"/>
        <w:gridCol w:w="1600"/>
        <w:gridCol w:w="1600"/>
        <w:gridCol w:w="1602"/>
      </w:tblGrid>
      <w:tr>
        <w:tc>
          <w:tcPr>
            <w:tcW w:type="dxa" w:w="2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 прогноз</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w:t>
            </w:r>
          </w:p>
          <w:p>
            <w:pPr>
              <w:jc w:val="left"/>
            </w:pPr>
            <w:r>
              <w:rPr>
                <w:rFonts w:ascii="Arial" w:cs="Arial" w:eastAsia="Arial" w:hAnsi="Arial"/>
                <w:sz w:val="24"/>
                <w:szCs w:val="24"/>
              </w:rPr>
              <w:t xml:space="preserve">на 2015-2016 гг.</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w:t>
            </w:r>
          </w:p>
          <w:p>
            <w:pPr>
              <w:jc w:val="left"/>
            </w:pPr>
            <w:r>
              <w:rPr>
                <w:rFonts w:ascii="Arial" w:cs="Arial" w:eastAsia="Arial" w:hAnsi="Arial"/>
                <w:sz w:val="24"/>
                <w:szCs w:val="24"/>
              </w:rPr>
              <w:t xml:space="preserve">на 2015-2016 гг.</w:t>
            </w:r>
          </w:p>
        </w:tc>
        <w:tc>
          <w:tcPr>
            <w:tcW w:type="dxa" w:w="1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прирост ВВП</w:t>
            </w:r>
          </w:p>
          <w:p>
            <w:pPr>
              <w:jc w:val="left"/>
            </w:pPr>
            <w:r>
              <w:rPr>
                <w:rFonts w:ascii="Arial" w:cs="Arial" w:eastAsia="Arial" w:hAnsi="Arial"/>
                <w:sz w:val="24"/>
                <w:szCs w:val="24"/>
              </w:rPr>
              <w:t xml:space="preserve">на 2015-2016 гг.</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2013 году и прогнозируемых показателей на 2014 год, среднегодовой реальный рост ВВП на 2015-2016 годы прогнозируется на уровне 6,3%.</w:t>
      </w:r>
    </w:p>
    <w:p>
      <w:pPr>
        <w:spacing w:after="120"/>
        <w:jc w:val="both"/>
      </w:pPr>
      <w:r>
        <w:rPr>
          <w:rFonts w:ascii="Arial" w:cs="Arial" w:eastAsia="Arial" w:hAnsi="Arial"/>
          <w:sz w:val="24"/>
          <w:szCs w:val="24"/>
        </w:rPr>
        <w:t xml:space="preserve">В секторальном разрезе в 2015-2016 годах прогнозируемые среднегодовые темпы роста составят: в сельском хозяйстве - 2,5%, в промышленности - 5,8%, в строительстве - 19,1%, в сфере предоставления услуг - 5,8%.</w:t>
      </w:r>
    </w:p>
    <w:p>
      <w:pPr>
        <w:spacing w:after="120"/>
        <w:jc w:val="both"/>
      </w:pPr>
      <w:r>
        <w:rPr>
          <w:rFonts w:ascii="Arial" w:cs="Arial" w:eastAsia="Arial" w:hAnsi="Arial"/>
          <w:sz w:val="24"/>
          <w:szCs w:val="24"/>
        </w:rPr>
        <w:t xml:space="preserve">На 2015-2016 годы рост ВВП прогнозируется традиционно в основном за счет Чуйской, Джалал-Абадской, Иссык-Кульской, Ошской областей и гор. Бишкек.</w:t>
      </w:r>
    </w:p>
    <w:p>
      <w:pPr>
        <w:spacing w:after="120"/>
        <w:jc w:val="both"/>
      </w:pPr>
      <w:r>
        <w:rPr>
          <w:rFonts w:ascii="Arial" w:cs="Arial" w:eastAsia="Arial" w:hAnsi="Arial"/>
          <w:sz w:val="24"/>
          <w:szCs w:val="24"/>
        </w:rPr>
        <w:t xml:space="preserve">В целом за период 2015-2016 гг. уровень инфляции прогнозируется на уровне однозначных показателей при условии отсутствия шоков, в основу которого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умеренный рост цен на продовольственные и непродовольственные товары на внутреннем рынке; (б) умеренный рост цен на нефтепродукты (Urals) в пределах 100 долларов США за баррель</w:t>
      </w:r>
      <w:r>
        <w:rPr>
          <w:rFonts w:ascii="Arial" w:cs="Arial" w:eastAsia="Arial" w:hAnsi="Arial"/>
          <w:sz w:val="24"/>
          <w:szCs w:val="24"/>
        </w:rPr>
        <w:t xml:space="preserve">18</w:t>
      </w:r>
      <w:r>
        <w:rPr>
          <w:rFonts w:ascii="Arial" w:cs="Arial" w:eastAsia="Arial" w:hAnsi="Arial"/>
          <w:sz w:val="24"/>
          <w:szCs w:val="24"/>
        </w:rPr>
        <w:t xml:space="preserve">; (в) сдерживание резких колебаний обменного курса инструментами денежно-кредитной политики; (г) сезонные колебания цен на продовольственные товары; (д) вхождение в Таможенный союз, что несет риски к определенному росту цен; (е) умеренные показатели инфляции в странах - основных торговых партнерах (Россия - 5,0%, Казахстан - 6,0-8,0%, Китай - 3,0%, еврозона - 1,5%, мир - 3,5%).</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120"/>
        <w:jc w:val="both"/>
      </w:pPr>
      <w:r>
        <w:rPr>
          <w:rFonts w:ascii="Arial" w:cs="Arial" w:eastAsia="Arial" w:hAnsi="Arial"/>
          <w:sz w:val="24"/>
          <w:szCs w:val="24"/>
        </w:rPr>
        <w:t xml:space="preserve">Сфера услуг в среднесрочной перспективе, по прежнему, будет занимать основную долю в структуре ВВП (47,1%). Реальный рост всех видов услуг в среднем на 6,1% будет поддерживаться реальным ростом денежных доходов населения, прогнозируемых в пределах 7,4% в среднем за год. Прогнозируется, что в 2015-2016 годах создаваемые благоприятные условия для бизнеса в республике будут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Стимулирующим фактором расширения рыночных услуг станет оптимизация и сокращение количества государственных услуг. При этом, удельный вес рыночных услуг увеличится с 77% в 2015 году до 80% в 2016 году. Основными источниками роста и расширения сферы услуг будут торговля, услуги транспорта и связи, удельный вес которых составит в среднем 66,5% в общем объеме рыночных услуг.</w:t>
      </w:r>
    </w:p>
    <w:p>
      <w:pPr>
        <w:spacing w:after="120"/>
        <w:jc w:val="both"/>
      </w:pPr>
      <w:r>
        <w:rPr>
          <w:rFonts w:ascii="Arial" w:cs="Arial" w:eastAsia="Arial" w:hAnsi="Arial"/>
          <w:sz w:val="24"/>
          <w:szCs w:val="24"/>
        </w:rPr>
        <w:t xml:space="preserve">Рост промышленного производства19 на 2015-2016 годы прогнозируется в среднем за год на уровне 105,6%. При этом темпы роста производства без предприятий, разрабатывающих месторождение Кумтор прогнозируются к 2016 году на уровне 105,6%.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освоения и добычи золота на месторождениях Жамгыр, Кумбель, Бозымчак, Иштамберды.</w:t>
      </w:r>
    </w:p>
    <w:p>
      <w:pPr>
        <w:spacing w:after="120"/>
        <w:jc w:val="both"/>
      </w:pPr>
      <w:r>
        <w:rPr>
          <w:rFonts w:ascii="Arial" w:cs="Arial" w:eastAsia="Arial" w:hAnsi="Arial"/>
          <w:sz w:val="24"/>
          <w:szCs w:val="24"/>
        </w:rPr>
        <w:t xml:space="preserve">В 2015-2016 годах прогнозируется увеличение реальных темпов роста сельского хозяйства в среднем на 2,5%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к концу 2016 года: 1) систематическое увеличение всей посевной площади сельскохозяйственных культур за счет сокращения неиспользованных земель; 2) увеличение урожайности и валовых сборов сельскохозяйственных культур за счет улучшения почвенного плодородия с применением органических, минеральных и органоминеральных удобрений; 3) увеличение объемов производства семян пшеницы и ячменя с сохранением высоких урожайных свойств, технологических и хлебопекарных качеств возделываемых сортов, путем ежегодного выделения из бюджета республики 35,0 млн. сомов на закупку суперэлитных и элитных семян; 4) реализация проекта Американского агентства ЮСАИД по развитию семенной индустрии Кыргызстана путем поддержки 14 отобранных семеноводческих хозяйств современной сельхозтехникой, оборудованием и семенами, а также наделением дополнительной орошаемой пашней; 5) продолжение обеспечения фермеров необходимой сельхозтехникой на льготных кредитных условях, путем закупа сельхозтехники по лизингу; 6) увеличение объема заготовки всех видов кормов, заготовка на одну условную голову крупного рогатого скота не менее 16-18 центнеров кормовых единиц; 7) создание в каждом айылном аймаке пунктов искусственного осеменения, с использованием ценного генетического материала; 8) использование генофонда сельскохозяйственных животных и птиц, повышение эффективности селекционно-племенной работы.</w:t>
      </w:r>
    </w:p>
    <w:p>
      <w:pPr>
        <w:spacing w:after="120"/>
        <w:jc w:val="both"/>
      </w:pPr>
      <w:r>
        <w:rPr>
          <w:rFonts w:ascii="Arial" w:cs="Arial" w:eastAsia="Arial" w:hAnsi="Arial"/>
          <w:sz w:val="24"/>
          <w:szCs w:val="24"/>
        </w:rPr>
        <w:t xml:space="preserve">Развитие строительного сектора экономики прогнозируется ускоренными темпами и станет одним из значимых направлений, обеспечивающих устойчивый рост национальной экономики в среднесрочной перспективе. На развитие экономики и социальной сферы в 2015-2016 годах по всем источникам финансирования прогнозируется направление от 115,3 млрд. сомов в 2015 году до 146,6 млрд. сомов в 2016 году инвестиций в основной капитал, что составляет в среднем ежегодное увеличение на 20,3%.</w:t>
      </w:r>
    </w:p>
    <w:p>
      <w:pPr>
        <w:spacing w:after="120"/>
        <w:jc w:val="both"/>
      </w:pPr>
      <w:r>
        <w:rPr>
          <w:rFonts w:ascii="Arial" w:cs="Arial" w:eastAsia="Arial" w:hAnsi="Arial"/>
          <w:sz w:val="24"/>
          <w:szCs w:val="24"/>
        </w:rPr>
        <w:t xml:space="preserve">Структура капитальных вложений в 2016 году изменится в сторону увеличения доли внутренних инвестиций с 66,3% в 2015 году до 66,4% и, соответственно, сокращения доли внешних инвестиций с 33,7% до 33,6%. Основную долю в структуре внутренних инвестиций занимают средства предприятий, организаций и населения, составив более 84,7%, а в структуре внешних инвестиций - иностранные кредиты - 64,5%, прямые инвестиции - 25,4%.</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2015-2016 годах ожидается в среднем на уровне 119,1%. При этом, удельный вес строительной отрасли возрастет с 6,9% к ВВП в 2015 году до 7,8% к ВВП в 2016 году. Влияние строительного сектора на темпы экономического роста на прогнозируемый период будет положительным и составит в среднем 1,27 процентного пункта.</w:t>
      </w:r>
    </w:p>
    <w:p>
      <w:pPr>
        <w:spacing w:after="120"/>
        <w:jc w:val="both"/>
      </w:pPr>
      <w:r>
        <w:rPr>
          <w:rFonts w:ascii="Arial" w:cs="Arial" w:eastAsia="Arial" w:hAnsi="Arial"/>
          <w:sz w:val="24"/>
          <w:szCs w:val="24"/>
        </w:rPr>
        <w:t xml:space="preserve">Приоритетными направлениями в строительстве в 2015-2016 годах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Учитывая ограниченность ресурсов, будут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28,8% к ВВП в 2016 году. Валовые инвестиции в экономику увеличатся до 35,0% к ВВП в 2016 году, что будет способствовать экономическому росту в среднем на 6,3% за год.</w:t>
      </w:r>
    </w:p>
    <w:p>
      <w:pPr>
        <w:spacing w:after="120"/>
        <w:jc w:val="both"/>
      </w:pPr>
      <w:r>
        <w:rPr>
          <w:rFonts w:ascii="Arial" w:cs="Arial" w:eastAsia="Arial" w:hAnsi="Arial"/>
          <w:sz w:val="24"/>
          <w:szCs w:val="24"/>
        </w:rPr>
        <w:t xml:space="preserve">Прогнозируется увеличение доли частного потребления с 98,5% к ВВП в 2014 году до 101,8% в 2016 году, обусловленное реальным увеличением денежных доходов населения и ростом среднемесячной номинальной заработной платы.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2015-2016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3"/>
        <w:gridCol w:w="1633"/>
        <w:gridCol w:w="1633"/>
      </w:tblGrid>
      <w:tr>
        <w:tc>
          <w:tcPr>
            <w:tcW w:type="dxa" w:w="69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Потребление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Государственное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Частное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Валовые инвестиции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Государственные инвестиции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них ПГИ (внешние)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Частные инвестиции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Экспорт (товары и нефакторные услуги)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Импорт (товары и нефакторные услуги)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6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Чистый экспорт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влияющими факторами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ВТО; (г) вступление в ТС; (д) расширение внешнеэкономического сотрудничества в рамках Шанхайской организации сотрудничества (ШОС), ЕврАзЭС, СНГ; е)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Объем внешнеторгового оборота на 2015-2016 годы будет расти в среднем на 15,4% ежегодно и достигнет уровня 12,8 млрд. долларов США.</w:t>
      </w:r>
    </w:p>
    <w:p>
      <w:pPr>
        <w:spacing w:after="120"/>
        <w:jc w:val="both"/>
      </w:pPr>
      <w:r>
        <w:rPr>
          <w:rFonts w:ascii="Arial" w:cs="Arial" w:eastAsia="Arial" w:hAnsi="Arial"/>
          <w:sz w:val="24"/>
          <w:szCs w:val="24"/>
        </w:rPr>
        <w:t xml:space="preserve">Прогнозируется, что номинальный объем экспорта вырастет до 2,8 млрд. долларов США, и вырастет по сравнению с 2014 годом на 20,4%. Рост экспорта будет обусловлен восстановлением объемов экспортных поставок золота на 35,1%, а также продукции сельскохозяйственного происхождения (овощи и фрукты - на 16,0%), строительных материалов (портландцемент - на 30,1%) и предметов одежды и ее принадлежностей на 31,2%.</w:t>
      </w:r>
    </w:p>
    <w:p>
      <w:pPr>
        <w:spacing w:after="120"/>
        <w:jc w:val="both"/>
      </w:pPr>
      <w:r>
        <w:rPr>
          <w:rFonts w:ascii="Arial" w:cs="Arial" w:eastAsia="Arial" w:hAnsi="Arial"/>
          <w:sz w:val="24"/>
          <w:szCs w:val="24"/>
        </w:rPr>
        <w:t xml:space="preserve">Импортные поступления в страну будут увеличиваться на 17,2% в среднем в год и достигнут уровня 9,95 млрд. долларов США в 2016 году. При этом объем импортированной продукции, по сравнению с 2014 годом, увеличится на 37,1%. Рост импорта будет обусловлен увеличением объема ввоза нефтепродуктов, уровень которого по отношению к 2014 году составит 137,2%, электрических машин, оборудования и аппаратуры, машин - 134,1%, а также продовольственных товаров - 132,0%. Рост ввоза инвестиционных товаров на 13,0% в среднем за год, обусловлен реализацией инвестиционных проектов.</w:t>
      </w:r>
    </w:p>
    <w:p>
      <w:pPr>
        <w:spacing w:after="120"/>
        <w:jc w:val="both"/>
      </w:pPr>
      <w:r>
        <w:rPr>
          <w:rFonts w:ascii="Arial" w:cs="Arial" w:eastAsia="Arial" w:hAnsi="Arial"/>
          <w:sz w:val="24"/>
          <w:szCs w:val="24"/>
        </w:rPr>
        <w:t xml:space="preserve">В результате отрицательное сальдо торгового баланса ухудшится с 4,9 млрд. долларов США в 2014 году до 7,2 млрд. долларов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ухудшится с (-) 50,9% в 2014 году до (-) 54,9% в 2016 году.</w:t>
      </w:r>
    </w:p>
    <w:p>
      <w:pPr>
        <w:spacing w:after="120"/>
        <w:jc w:val="both"/>
      </w:pPr>
      <w:r>
        <w:rPr>
          <w:rFonts w:ascii="Arial" w:cs="Arial" w:eastAsia="Arial" w:hAnsi="Arial"/>
          <w:sz w:val="24"/>
          <w:szCs w:val="24"/>
        </w:rPr>
        <w:t xml:space="preserve">Политика социального развития в 2015-2016 годах будет ориентирована на улучшение качества жизни населения и снижение масштабов бедности.</w:t>
      </w:r>
    </w:p>
    <w:p>
      <w:pPr>
        <w:spacing w:after="120"/>
        <w:jc w:val="both"/>
      </w:pPr>
      <w:r>
        <w:rPr>
          <w:rFonts w:ascii="Arial" w:cs="Arial" w:eastAsia="Arial" w:hAnsi="Arial"/>
          <w:sz w:val="24"/>
          <w:szCs w:val="24"/>
        </w:rPr>
        <w:t xml:space="preserve">Основные меры для обеспечения финансовой устойчивости пенсионной системы и повышения размеров пенсий будут направлены на поэтапное выравнивание ставок тарифов страховых взносов для индивидуальных предпринимателей, работающих на рынках, и сельскохозяйственного сектора, разработку и внедрение межгосударственных соглашений по вовлечению мигрантов в систему государственного социального страхования, поддержание базовой части пенсий на уровне не менее 12% от СЗП за предыдущий год, ежегодную индексацию страховых частей пенсии.</w:t>
      </w:r>
    </w:p>
    <w:p>
      <w:pPr>
        <w:spacing w:after="120"/>
        <w:jc w:val="both"/>
      </w:pPr>
      <w:r>
        <w:rPr>
          <w:rFonts w:ascii="Arial" w:cs="Arial" w:eastAsia="Arial" w:hAnsi="Arial"/>
          <w:sz w:val="24"/>
          <w:szCs w:val="24"/>
        </w:rPr>
        <w:t xml:space="preserve">Действия в системе образования будут складываться из следующих приоритетов: повышение эффективности государственного регулирования развития сферы образования,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Государственная политика в сфере здравоохранения будет направлена на решение задач по таким первостепенным направлениям, как укрепление потенциала системы здравоохранения, направленного на предоставление качественных медицинских услуг населению,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Политика занятости будет, как и прежде, ориентирована на создание дополнительных рабочих мест для роста численности занятых в экономике, на защиту прав и интересов граждан Кыргызстана за рубежом создание благоприятных условий для свободного передвижения товаров, услуг и рабочей силы между Кыргызстаном и Россией, странами Центральной Азии и Турцией.</w:t>
      </w:r>
    </w:p>
    <w:p>
      <w:pPr>
        <w:spacing w:after="120"/>
        <w:jc w:val="both"/>
      </w:pPr>
      <w:r>
        <w:rPr>
          <w:rFonts w:ascii="Arial" w:cs="Arial" w:eastAsia="Arial" w:hAnsi="Arial"/>
          <w:sz w:val="24"/>
          <w:szCs w:val="24"/>
        </w:rPr>
        <w:t xml:space="preserve">Прогнозируется реальный рост денежных доходов населения в среднем на 7,4%. Источником роста денежных доходов будет устойчивый экономический рост, прогнозируемый на период 2015-2016 годов. В структуре денежных доходов номинальный размер средней заработной платы возрастет на 24% к уровню 2014 года и составит в 2016 году 17242,2 сома. Размер прожиточного минимума увеличится с 5091,3 сома в 2014 году до 5878,1 сома в 2016 году. Коэффициент отношения средней заработной платы к размеру прожиточного минимума трудоспособного населения сложится на уровне 2,6.</w:t>
      </w:r>
    </w:p>
    <w:p>
      <w:pPr>
        <w:spacing w:after="120"/>
        <w:jc w:val="both"/>
      </w:pPr>
      <w:r>
        <w:rPr>
          <w:rFonts w:ascii="Arial" w:cs="Arial" w:eastAsia="Arial" w:hAnsi="Arial"/>
          <w:sz w:val="24"/>
          <w:szCs w:val="24"/>
        </w:rPr>
        <w:t xml:space="preserve">Номинальный размер пенсии увеличится относительно 2014 года на 12,5% и составит в 2016 году 5316,0 сомов.</w:t>
      </w:r>
    </w:p>
    <w:p>
      <w:pPr>
        <w:spacing w:after="120"/>
        <w:jc w:val="both"/>
      </w:pPr>
      <w:r>
        <w:rPr>
          <w:rFonts w:ascii="Arial" w:cs="Arial" w:eastAsia="Arial" w:hAnsi="Arial"/>
          <w:sz w:val="24"/>
          <w:szCs w:val="24"/>
        </w:rPr>
        <w:t xml:space="preserve">Прогнозируется, что уровень общей безработицы снизится и составит в 2016 году 7,8% относительно 8,1%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и промышленности.</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период 2014-2016 годы на уровне 6,5% в среднем за год.</w:t>
      </w:r>
    </w:p>
    <w:p>
      <w:pPr>
        <w:spacing w:after="120"/>
        <w:jc w:val="both"/>
      </w:pPr>
      <w:r>
        <w:rPr>
          <w:rFonts w:ascii="Arial" w:cs="Arial" w:eastAsia="Arial" w:hAnsi="Arial"/>
          <w:sz w:val="24"/>
          <w:szCs w:val="24"/>
        </w:rPr>
        <w:t xml:space="preserve">Прогнозируемые показатели основаны на Национальной стратегии устойчивого развития Кыргызской Республики на период 2013-2017 годы,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1-15 к настоящему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1 Показатели приведены по валовой добавленной стоимости</w:t>
      </w:r>
    </w:p>
    <w:p>
      <w:pPr>
        <w:spacing w:after="120"/>
        <w:jc w:val="both"/>
      </w:pPr>
      <w:r>
        <w:rPr>
          <w:rFonts w:ascii="Arial" w:cs="Arial" w:eastAsia="Arial" w:hAnsi="Arial"/>
          <w:sz w:val="24"/>
          <w:szCs w:val="24"/>
        </w:rPr>
        <w:t xml:space="preserve">2 По данным НБКР</w:t>
      </w:r>
    </w:p>
    <w:p>
      <w:pPr>
        <w:spacing w:after="120"/>
        <w:jc w:val="both"/>
      </w:pPr>
      <w:r>
        <w:rPr>
          <w:rFonts w:ascii="Arial" w:cs="Arial" w:eastAsia="Arial" w:hAnsi="Arial"/>
          <w:sz w:val="24"/>
          <w:szCs w:val="24"/>
        </w:rPr>
        <w:t xml:space="preserve">3 Темпы прироста приведены по ВДС</w:t>
      </w:r>
    </w:p>
    <w:p>
      <w:pPr>
        <w:spacing w:after="120"/>
        <w:jc w:val="both"/>
      </w:pPr>
      <w:r>
        <w:rPr>
          <w:rFonts w:ascii="Arial" w:cs="Arial" w:eastAsia="Arial" w:hAnsi="Arial"/>
          <w:sz w:val="24"/>
          <w:szCs w:val="24"/>
        </w:rPr>
        <w:t xml:space="preserve">4 ОАО «Айыл Банк», ОАО «РСК Банк», ОАО «Залкар Банк», ЗАО «КИКБ» и ОАО «Коммерческий Банк «Кыргызстан».</w:t>
      </w:r>
    </w:p>
    <w:p>
      <w:pPr>
        <w:spacing w:after="120"/>
        <w:jc w:val="both"/>
      </w:pPr>
      <w:r>
        <w:rPr>
          <w:rFonts w:ascii="Arial" w:cs="Arial" w:eastAsia="Arial" w:hAnsi="Arial"/>
          <w:sz w:val="24"/>
          <w:szCs w:val="24"/>
        </w:rPr>
        <w:t xml:space="preserve">5 По оценке МВФ по состоянию на апрель 2013 г.</w:t>
      </w:r>
    </w:p>
    <w:p>
      <w:pPr>
        <w:spacing w:after="120"/>
        <w:jc w:val="both"/>
      </w:pPr>
      <w:r>
        <w:rPr>
          <w:rFonts w:ascii="Arial" w:cs="Arial" w:eastAsia="Arial" w:hAnsi="Arial"/>
          <w:sz w:val="24"/>
          <w:szCs w:val="24"/>
        </w:rPr>
        <w:t xml:space="preserve">6 Собственные прогнозы стран.</w:t>
      </w:r>
    </w:p>
    <w:p>
      <w:pPr>
        <w:spacing w:after="120"/>
        <w:jc w:val="both"/>
      </w:pPr>
      <w:r>
        <w:rPr>
          <w:rFonts w:ascii="Arial" w:cs="Arial" w:eastAsia="Arial" w:hAnsi="Arial"/>
          <w:sz w:val="24"/>
          <w:szCs w:val="24"/>
        </w:rPr>
        <w:t xml:space="preserve">7 Рассчитывается The London Gold Market Fixing Ltd</w:t>
      </w:r>
    </w:p>
    <w:p>
      <w:pPr>
        <w:spacing w:after="120"/>
        <w:jc w:val="both"/>
      </w:pPr>
      <w:r>
        <w:rPr>
          <w:rFonts w:ascii="Arial" w:cs="Arial" w:eastAsia="Arial" w:hAnsi="Arial"/>
          <w:sz w:val="24"/>
          <w:szCs w:val="24"/>
        </w:rPr>
        <w:t xml:space="preserve">8 На октябрь месяц 2013 года.</w:t>
      </w:r>
    </w:p>
    <w:p>
      <w:pPr>
        <w:spacing w:after="120"/>
        <w:jc w:val="both"/>
      </w:pPr>
      <w:r>
        <w:rPr>
          <w:rFonts w:ascii="Arial" w:cs="Arial" w:eastAsia="Arial" w:hAnsi="Arial"/>
          <w:sz w:val="24"/>
          <w:szCs w:val="24"/>
        </w:rPr>
        <w:t xml:space="preserve">9 Оценка МЭ КР.</w:t>
      </w:r>
    </w:p>
    <w:p>
      <w:pPr>
        <w:spacing w:after="120"/>
        <w:jc w:val="both"/>
      </w:pPr>
      <w:r>
        <w:rPr>
          <w:rFonts w:ascii="Arial" w:cs="Arial" w:eastAsia="Arial" w:hAnsi="Arial"/>
          <w:sz w:val="24"/>
          <w:szCs w:val="24"/>
        </w:rPr>
        <w:t xml:space="preserve">10 Снижение цены на 6,0% по сравнению с аналогичным периодом прошлого года.</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Прогноз Министерства экономического развития РФ</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Темпы прироста приведены по ВДС</w:t>
      </w:r>
    </w:p>
    <w:p>
      <w:pPr>
        <w:spacing w:after="120"/>
        <w:jc w:val="both"/>
      </w:pPr>
      <w:r>
        <w:rPr>
          <w:rFonts w:ascii="Arial" w:cs="Arial" w:eastAsia="Arial" w:hAnsi="Arial"/>
          <w:sz w:val="24"/>
          <w:szCs w:val="24"/>
        </w:rPr>
        <w:t xml:space="preserve">15 Прогноз Министерства экономического развития РФ.</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Публикация</w:t>
      </w:r>
      <w:r>
        <w:rPr>
          <w:rFonts w:ascii="Arial" w:cs="Arial" w:eastAsia="Arial" w:hAnsi="Arial"/>
          <w:sz w:val="24"/>
          <w:szCs w:val="24"/>
        </w:rPr>
        <w:t xml:space="preserve"> WEF «World Economic Forum: Global Competitiveness Report 2012-2013».</w:t>
      </w:r>
    </w:p>
    <w:p>
      <w:pPr>
        <w:spacing w:after="120"/>
        <w:jc w:val="both"/>
      </w:pPr>
      <w:r>
        <w:rPr>
          <w:rFonts w:ascii="Arial" w:cs="Arial" w:eastAsia="Arial" w:hAnsi="Arial"/>
          <w:sz w:val="24"/>
          <w:szCs w:val="24"/>
        </w:rPr>
        <w:t xml:space="preserve">17 Без учета стоимости переработанного давальческого сырья</w:t>
      </w:r>
    </w:p>
    <w:p>
      <w:pPr>
        <w:spacing w:after="120"/>
        <w:jc w:val="both"/>
      </w:pPr>
      <w:r>
        <w:rPr>
          <w:rFonts w:ascii="Arial" w:cs="Arial" w:eastAsia="Arial" w:hAnsi="Arial"/>
          <w:sz w:val="24"/>
          <w:szCs w:val="24"/>
        </w:rPr>
        <w:t xml:space="preserve">18 Прогноз Министерства экономического развития РФ</w:t>
      </w:r>
    </w:p>
    <w:p>
      <w:pPr>
        <w:spacing w:after="120"/>
        <w:jc w:val="both"/>
      </w:pPr>
      <w:r>
        <w:rPr>
          <w:rFonts w:ascii="Arial" w:cs="Arial" w:eastAsia="Arial" w:hAnsi="Arial"/>
          <w:sz w:val="24"/>
          <w:szCs w:val="24"/>
        </w:rPr>
        <w:t xml:space="preserve">19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2"/>
        <w:gridCol w:w="765"/>
        <w:gridCol w:w="798"/>
        <w:gridCol w:w="662"/>
        <w:gridCol w:w="662"/>
        <w:gridCol w:w="765"/>
        <w:gridCol w:w="765"/>
        <w:gridCol w:w="765"/>
        <w:gridCol w:w="662"/>
        <w:gridCol w:w="662"/>
      </w:tblGrid>
      <w:tr>
        <w:tc>
          <w:tcPr>
            <w:tcW w:type="dxa" w:w="36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w:t>
            </w:r>
          </w:p>
        </w:tc>
        <w:tc>
          <w:tcPr>
            <w:tcW w:type="dxa" w:w="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2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142906,9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262620,5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65683,9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463175,4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524850,8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51180,4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59370,3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66537,9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14051,6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23653,9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37159,0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78306,0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85078,6</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53190,1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64473,0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6197,6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17870,3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53774,2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77987,2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17234,2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20803,8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7497,7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15762,3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32092,5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40907,4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141887,2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164672,3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189495,6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31013,8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72517,7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125077,2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218144,5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248825,6</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40858,2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47821,9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55024,8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12192,1</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24886,7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33530,8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63591,2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72052,0</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284131,4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327560,2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375207,6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133756,5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251796,3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59536,5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431796,9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493472,3</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357057,9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409784,5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469550,8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546084,0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629463,4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296750,2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342972,8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395119,4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461024,9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534436,7</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66811,8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74431,5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85059,1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95026,7</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1</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100188,0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116952,1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135523,4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159209,7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183489,0</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18853,1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18691,7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23139,4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26069,7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32780,5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15629,2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14781,3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16763,8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15162,8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17064,5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81334,9</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98260,4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112384,0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133140,0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150708,5</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-152896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-175596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-204044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-288102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150532,6</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178456,4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200707,7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226652,0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246572,9</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303428,5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354052,2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404752,0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468770,3</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534674,4</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1012"/>
        <w:gridCol w:w="680"/>
        <w:gridCol w:w="680"/>
        <w:gridCol w:w="680"/>
        <w:gridCol w:w="665"/>
        <w:gridCol w:w="665"/>
        <w:gridCol w:w="665"/>
        <w:gridCol w:w="665"/>
        <w:gridCol w:w="680"/>
        <w:gridCol w:w="680"/>
      </w:tblGrid>
      <w:tr>
        <w:tc>
          <w:tcPr>
            <w:tcW w:type="dxa" w:w="31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6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Социальные показатели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1799,9</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218212,7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251364,5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289789,2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70149,6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140404,8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213814,0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333481,6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386214,0</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4662,4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4955,7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5167,9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5353,2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5878,1</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взрослого населения трудоспособного возраста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4850,3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5688,5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5778,3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5785,2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5971,5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6092,4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6567,6</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взрослого населения пенсионного возраста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4593,6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4597,0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4846,3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5224,3</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наличная численность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5507,3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5478,0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5488,0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5497,2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5645,2</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плата2 *</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13896,7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12689,9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13153,8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13250,0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17242,2</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на трудоспособное население</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4192,0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4726,0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5316,0</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пенсионера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 долл. США</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2569,0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2682,3</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2381,7</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2436,1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2472,2</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занятого населения</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2316,5</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2352,7</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2391,3</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2362,4</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2372,1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2381,7</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2391,3</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2436,1</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2472,2</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безработных (общая)</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211,2</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212,0</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211,5</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211,2</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210,1</w:t>
            </w:r>
          </w:p>
        </w:tc>
      </w:tr>
      <w:tr>
        <w:tc>
          <w:tcPr>
            <w:tcW w:type="dxa" w:w="3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Уровень общей безработицы</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6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1"/>
        <w:gridCol w:w="771"/>
        <w:gridCol w:w="771"/>
        <w:gridCol w:w="771"/>
        <w:gridCol w:w="771"/>
        <w:gridCol w:w="771"/>
      </w:tblGrid>
      <w:tr>
        <w:tc>
          <w:tcPr>
            <w:tcW w:type="dxa" w:w="63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ВВП</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6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2014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9"/>
        <w:gridCol w:w="798"/>
        <w:gridCol w:w="733"/>
        <w:gridCol w:w="680"/>
        <w:gridCol w:w="647"/>
        <w:gridCol w:w="647"/>
        <w:gridCol w:w="647"/>
        <w:gridCol w:w="678"/>
        <w:gridCol w:w="678"/>
      </w:tblGrid>
      <w:tr>
        <w:tc>
          <w:tcPr>
            <w:tcW w:type="dxa" w:w="46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tc>
        <w:tc>
          <w:tcPr>
            <w:tcW w:type="dxa" w:w="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94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2016г.</w:t>
            </w:r>
          </w:p>
        </w:tc>
      </w:tr>
      <w:tr>
        <w:tc>
          <w:tcPr>
            <w:vMerge w:val="continue"/>
            <w:tcBorders>
              <w:top w:val="single" w:color="CBBF9E" w:sz="4"/>
              <w:left w:val="single" w:color="CBBF9E" w:sz="4"/>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(включая рыбное хозяйство),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18661,3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52995,1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223794,7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245676,2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Промышленность4,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134 867,3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157 277,6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176 264,5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37 050,4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68 644,9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103 085,1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207 438,7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225 381,3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133 822,9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155 224,9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173 333,8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37 658,7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67 870,5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100 758,3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203 456,5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220 793,5</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6 922,3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7 405,9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8 695,3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2 582,0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5 538,4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10 108,1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11 496,2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102 266,8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122 323,0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136 594,2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27 780,2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52 921,3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79 485,2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162 547,8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174 098,6</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табак</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18553,7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21 511,3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24 899,8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4 306,4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10 731,0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17 703,7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28 854,1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33 302,3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24 633,8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25 496,0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28 044,4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8 970,6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12 367,2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15 734,6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30 800,5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35 198,7</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без учета предприятий по разработке месторождения Кумтор</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83 152,8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94 491,3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106 308,2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21 105,1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42 433,2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67 214,7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120 938,5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138 275,6</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80820,2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7849,6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101719,7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129659,3</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60673,1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138759,5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230858,8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395832,2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453148,7</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96944,646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111740,1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17908,7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40618,3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71026,1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128860,2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147920,9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12016,8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11209,6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20259,8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23939,1</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55431,603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65396,9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75784,1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15498,3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32752,9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53493,6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88451,3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102712,9</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Прогноз развития сельского хозяйства Кыргызской Республики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4"/>
        <w:gridCol w:w="1087"/>
        <w:gridCol w:w="890"/>
        <w:gridCol w:w="890"/>
        <w:gridCol w:w="884"/>
        <w:gridCol w:w="884"/>
        <w:gridCol w:w="884"/>
        <w:gridCol w:w="810"/>
        <w:gridCol w:w="885"/>
      </w:tblGrid>
      <w:tr>
        <w:tc>
          <w:tcPr>
            <w:tcW w:type="dxa" w:w="29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8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2013г.</w:t>
            </w:r>
          </w:p>
        </w:tc>
        <w:tc>
          <w:tcPr>
            <w:tcW w:type="dxa" w:w="8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6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 (включая рыбное хозяйство),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18661,3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52995,1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160422,3</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223794,7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245676,2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84526,2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94244,1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6218,0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89158,4</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121532,0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135752,7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23680,6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29561,9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34845,85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41103,59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44176,5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1654,4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1725,635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1793,97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2912,5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4026,42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4469,79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4756,10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486,30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536,49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568,06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623,74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743,12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167,75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1881,73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1935,55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13125,1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14359,4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18837,1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21613,05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25554,44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1369,96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1430,90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21640,0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22329,24</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25129,64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879,97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2562,0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3169,8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3403,61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3791,11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9088,3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9141,24</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10773,05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507,22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553,71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 действующих ценах</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13790,9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12693,4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15817,6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17715,7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80138,8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87061,7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91168,4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45750,3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68978,3</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99367,6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107028,5</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51940,4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56096,1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58621,01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61889,10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65255,74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26209,6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27390,75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32063,47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36262,87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2879,1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3492,19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3612,58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штук</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432,80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383,7</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475,9</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517,88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491,34</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2014 год и 2015-2016 годы с учетом давальческого сырья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4"/>
        <w:gridCol w:w="806"/>
        <w:gridCol w:w="727"/>
        <w:gridCol w:w="725"/>
        <w:gridCol w:w="725"/>
        <w:gridCol w:w="725"/>
        <w:gridCol w:w="725"/>
        <w:gridCol w:w="727"/>
        <w:gridCol w:w="727"/>
      </w:tblGrid>
      <w:tr>
        <w:tc>
          <w:tcPr>
            <w:tcW w:type="dxa" w:w="42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1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134 867,3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157 277,6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176 264,5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37 050,4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68 644,9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103 085,1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207 438,7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225 381,3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84 197,2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96 544,0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109 238,9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20 486,8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44 146,8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73 551,7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124 920,8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142 863,4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6 922,3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8 695,3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2 582,0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5 544,6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10 108,1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11 496,2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Добыча топливно-энергетических полезных ископаемых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3 525,5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3 975,2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1 688,8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2 931,9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5 013,2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3 396,8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3 430,7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2 612,7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5 886,7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59 909,8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131 907,2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147 833,8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30 189,3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57 387,3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86 332,9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175 679,8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189 177,9</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Производство пищевых продуктов, включая напитки и табак</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24437,2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28 332,8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32 795,7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6 030,8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14 687,9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23 064,5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38 004,0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43 862,7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Текстильное и швейное производство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10 222,4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12 117,3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13 987,3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1 357,1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4 449,5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10 515,7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15 856,0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17 654,6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 Производство кожи, изделий из кожи и производство обуви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 Обработка древесины и производство изделий из дерева</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 Целлюлозно-бумажное производство; издательская деятельность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1 522,5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1 646,6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1 907,8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2 043,6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2 844,3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3 647,3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1 356,1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4 542,0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5 246,0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 Химическое производство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1 318,2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2 023,2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2 548,6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8. Производство резиновых и пластмассовых изделий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1 594,7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1 920,2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1 476,6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2 119,4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2 284,5</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9. Производство прочих неметаллических минеральных продуктов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10 449,5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13 143,0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14 879,0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2 638,9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6 338,7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11 555,3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16 959,7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18 700,1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 Металлургическое производство и производство готовых металлических изделий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53 739,1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64 613,0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70 996,8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17 176,3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26 211,2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32 230,3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87 773,0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89 688,1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11. Производство машин и оборудования</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1 193,9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1 263,1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1 392,4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1 529,2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Производство электрооборудования, электронного и оптического оборудования</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1 640,4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1 738,8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1 798,4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1 244,5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2 150,8</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13. Производство транспортных средств и оборудования</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1 344,6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1 541,7</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Прочие отрасли производств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1 042,2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17 365,1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17 964,5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19 735,4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5 953,3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8 675,7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11 207,6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21 650,8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24 707,2</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 производство и распределение электроэнергии, газа , пара и горячей воды</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16 558,1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17 156,7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18 927,6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5 733,9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8 267,9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10 807,7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20 843,0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23 899,4</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 сбор, очистка и распределение воды</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2014 год и 2015-2016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5"/>
        <w:gridCol w:w="765"/>
        <w:gridCol w:w="694"/>
        <w:gridCol w:w="694"/>
        <w:gridCol w:w="597"/>
        <w:gridCol w:w="597"/>
        <w:gridCol w:w="597"/>
        <w:gridCol w:w="694"/>
        <w:gridCol w:w="694"/>
      </w:tblGrid>
      <w:tr>
        <w:tc>
          <w:tcPr>
            <w:tcW w:type="dxa" w:w="48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Наименование</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9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133 822,9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155 224,9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173 333,8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37 658,7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67 870,5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100 758,3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203 456,5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220 793,5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83 152,8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94 491,3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106 308,2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21 105,1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42 433,2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67 214,7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120 938,5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138 275,6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6 922,3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7 405,9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8 695,3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2 582,0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5 538,4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10 108,1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11 496,2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3 525,5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3 975,2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1 688,8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2 931,9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5 013,2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3396,8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3 430,7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4 257,3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2 606,5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5 886,7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102 266,8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122 323,0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136 594,2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27 780,2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52 921,3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79 485,2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162 547,8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174 098,6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Производство пищевых продуктов, включая напитки и табак</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21 511,3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24 899,8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4 306,4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10 731,0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17 703,7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28 854,1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33 302,3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Текстильное и швейное производство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9 252,8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10 967,9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12 660,6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3 940,4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9 028,7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14 352,0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15 980,0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 Производство кожи, изделий из кожи и производство обуви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 Обработка древесины и производство изделий из дерева</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 Целлюлозно-бумажное производство; издательская деятельность</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1 646,6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1 781,0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2 043,6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1 845,0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1 356,1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2 297,6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2 653,7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 Химическое производство</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1 952,5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1 318,2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2 023,2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2 548,6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8. Производство резиновых и пластмассовых изделий</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1 786,7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1 920,2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1 476,6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2 119,4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2 284,5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9. Производство прочих неметаллических минеральных продуктов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13 129,1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14 863,4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2 638,9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6 338,7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11 555,3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16 941,9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18 680,5</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 Металлургическое производство и производство готовых металлических изделий</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53 739,1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64 613,0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70 996,8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17 176,3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26 211,2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32 230,3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87 773,0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89 688,1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11. Производство машин и оборудования</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1 256,1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1 520,7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Производство электрооборудования, электронного и оптического оборудования</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1 763,3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1 244,5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1 931,1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2 108,8</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13. Производство транспортных средств и оборудования</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1 057,3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1 151,1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1 541,7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Прочие отрасли производств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24 633,8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25 496,0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28 044,4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8 970,6</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12 367,2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15 734,6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30 800,5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35 198,7</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а).производство и распределение электроэнергии, газа, пара и горячей воды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23826,8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24 688,2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27 236,5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8 751,2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11 959,5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15 147,5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29 992,7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34 390,9</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 сбор, очистка и распределение воды</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807,8</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4"/>
        <w:gridCol w:w="753"/>
        <w:gridCol w:w="753"/>
        <w:gridCol w:w="753"/>
        <w:gridCol w:w="753"/>
        <w:gridCol w:w="753"/>
      </w:tblGrid>
      <w:tr>
        <w:tc>
          <w:tcPr>
            <w:tcW w:type="dxa" w:w="64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куб. м</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621,9</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14 049,3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16 800,0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1 571,3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1 953,8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1 974,6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1 989,4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2 004,8</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2 186,1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2306,8</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2 674,9</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2 690,0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2 701,5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2 728,5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2 756,0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8 576,1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1 682,7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промышленно изготовленный и его заменители,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4 134,0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 и гребнечесанное, тыс.т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865,9</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Швейные и текстильные изделия, млн. сомов</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9 252,8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10 967,9</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12 660,6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14 352,0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15 980,0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Кожсырье, изделия из кожи, млн. сомов</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1 238,7</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2 285,0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1 496,5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млн. шт.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15 265,6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13852,0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12930,5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12935,5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12934,0</w:t>
            </w:r>
          </w:p>
        </w:tc>
      </w:tr>
      <w:tr>
        <w:tc>
          <w:tcPr>
            <w:tcW w:type="dxa" w:w="6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3 102,4</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3 103,0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4 899,0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3 103,3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3 105,9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2014 год и 2015-2016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3"/>
        <w:gridCol w:w="957"/>
        <w:gridCol w:w="957"/>
        <w:gridCol w:w="957"/>
        <w:gridCol w:w="957"/>
        <w:gridCol w:w="957"/>
      </w:tblGrid>
      <w:tr>
        <w:tc>
          <w:tcPr>
            <w:tcW w:type="dxa" w:w="5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«КумторГолд Компани»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5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в Кыргызской Республике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3"/>
        <w:gridCol w:w="832"/>
        <w:gridCol w:w="733"/>
        <w:gridCol w:w="661"/>
        <w:gridCol w:w="689"/>
        <w:gridCol w:w="689"/>
        <w:gridCol w:w="689"/>
        <w:gridCol w:w="661"/>
        <w:gridCol w:w="661"/>
      </w:tblGrid>
      <w:tr>
        <w:tc>
          <w:tcPr>
            <w:tcW w:type="dxa" w:w="45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06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янв.-март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янв.-июнь</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янв.-сент.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60673,1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138759,5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230858,8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395832,2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453148,7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96944,646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111740,1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17908,7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40618,3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71026,1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128860,2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147920,9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12016,8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14424,3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17115,0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23939,1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55431,7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65396,9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75784,1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15498,3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32752,9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53493,6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88451,3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102712,9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34095,7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41134,3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49252,3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20659,6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34167,7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59649,1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71649,3</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21336,0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26531,8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5706,5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12093,3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19325,8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28802,3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31063,6</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15683,9</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17758,2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20082,3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22563,1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25329,8</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20390,7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22850,5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25671,6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5308,9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11265,3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17835,6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28837,4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32167,7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23865,7</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26636,9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5106,6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12103,4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20096,3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34876,5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39840,1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22832,0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28796,9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4557,9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13270,3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19850,5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32909,7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37193,7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15070,1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17307,2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19941,2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3277,2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7968,4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25601,5</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 млн. сомов</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11279,6</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14623,8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2481,8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5708,6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16445,1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18443,0</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4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в Кыргызской Республике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0"/>
        <w:gridCol w:w="798"/>
        <w:gridCol w:w="661"/>
        <w:gridCol w:w="661"/>
        <w:gridCol w:w="695"/>
        <w:gridCol w:w="695"/>
        <w:gridCol w:w="695"/>
        <w:gridCol w:w="661"/>
        <w:gridCol w:w="661"/>
      </w:tblGrid>
      <w:tr>
        <w:tc>
          <w:tcPr>
            <w:tcW w:type="dxa" w:w="46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08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янв.-март</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янв.-июнь</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янв.-сент.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386400,1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451603,3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522071,5</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84612,7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195185,8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338532,7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606639,2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700423,0</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286495,3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336942,5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391147,8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61920,1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142960,6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249334,7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456605,6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529088,1</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услуг гостиниц и ресторанов,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12158,5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14375,9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17152,7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2747,0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11183,9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20391,5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24155,1</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87746,3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100284,9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113771,0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19945,6</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45918,0</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78014,1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129642,0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147179,7</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инвестиций в основной капитал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806"/>
        <w:gridCol w:w="627"/>
        <w:gridCol w:w="627"/>
        <w:gridCol w:w="793"/>
        <w:gridCol w:w="793"/>
        <w:gridCol w:w="793"/>
        <w:gridCol w:w="668"/>
        <w:gridCol w:w="668"/>
      </w:tblGrid>
      <w:tr>
        <w:tc>
          <w:tcPr>
            <w:tcW w:type="dxa" w:w="44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237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6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73 256,7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89 563,6</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25558,8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52342,9</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115305,4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146640,7</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42192,7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51385,5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60201,5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6182,8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19657,0</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34517,2</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76456,5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97425,4</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3605,7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4395,4</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6552,9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9568,9</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12792,2</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606,9</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1126,1</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1422,4</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23174,4</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26299,2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31168,1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11303,8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20060,4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39524,5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50068,7</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675,6</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711,2</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20432,3</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21871,2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29362,1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2108,1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5901,8</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17825,7</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38848,9</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49215,3</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12378,3</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13287,4</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18524,9</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1526,7</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3754,2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10293,3</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24885,8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31719,7</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5659,3</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6519,8</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7792,0</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279,3</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4950,0</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9909,3</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12517,2</w:t>
            </w:r>
          </w:p>
        </w:tc>
      </w:tr>
      <w:tr>
        <w:tc>
          <w:tcPr>
            <w:tcW w:type="dxa" w:w="4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2394,7</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2064,0</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3045,2</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905,5</w:t>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2582,4</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4053,8</w:t>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4978,4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3"/>
        <w:gridCol w:w="1738"/>
        <w:gridCol w:w="1003"/>
        <w:gridCol w:w="1003"/>
        <w:gridCol w:w="1003"/>
        <w:gridCol w:w="1003"/>
        <w:gridCol w:w="1003"/>
      </w:tblGrid>
      <w:tr>
        <w:tc>
          <w:tcPr>
            <w:tcW w:type="dxa" w:w="3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7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7267,7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1893,8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5373,9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 товаров</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-7150</w:t>
            </w:r>
          </w:p>
        </w:tc>
      </w:tr>
      <w:tr>
        <w:tc>
          <w:tcPr>
            <w:tcW w:type="dxa" w:w="3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9"/>
        <w:gridCol w:w="1541"/>
        <w:gridCol w:w="898"/>
        <w:gridCol w:w="898"/>
        <w:gridCol w:w="898"/>
        <w:gridCol w:w="898"/>
        <w:gridCol w:w="898"/>
      </w:tblGrid>
      <w:tr>
        <w:tc>
          <w:tcPr>
            <w:tcW w:type="dxa" w:w="41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измер.</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1893,8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Золото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9"/>
        <w:gridCol w:w="1541"/>
        <w:gridCol w:w="898"/>
        <w:gridCol w:w="898"/>
        <w:gridCol w:w="898"/>
        <w:gridCol w:w="898"/>
        <w:gridCol w:w="898"/>
      </w:tblGrid>
      <w:tr>
        <w:tc>
          <w:tcPr>
            <w:tcW w:type="dxa" w:w="41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5373,9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1931,2</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
 к Прогнозу социально-экономического развития Кыргызской Республики на 2014 год и 2015-2016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2014 год и 2015-2016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5"/>
        <w:gridCol w:w="1028"/>
        <w:gridCol w:w="934"/>
        <w:gridCol w:w="843"/>
        <w:gridCol w:w="831"/>
        <w:gridCol w:w="831"/>
        <w:gridCol w:w="831"/>
        <w:gridCol w:w="831"/>
        <w:gridCol w:w="843"/>
        <w:gridCol w:w="843"/>
      </w:tblGrid>
      <w:tr>
        <w:tc>
          <w:tcPr>
            <w:tcW w:type="dxa" w:w="23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33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401030,0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463175,4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524850,8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35336,0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50366,2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57934,8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47929,0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55583,3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61007,8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14524,3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39543,6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44259,7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49582,2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11893,8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43313,7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57939,1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67355,5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73776,0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119254,4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137748,4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159581,1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186162,3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215297,2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133822,9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155224,9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173333,8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67870,5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100758,3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203456,5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220793,5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18086,9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27592,7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32873,9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48412,3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59609,3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68684,4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13222,6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83291,5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90513,3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32669,2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17347,7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38060,0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43090,7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(с давальческим сырьем),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134 867,3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157 277,6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176 264,5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37 050,4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68 644,9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103 085,1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207 438,7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225 381,3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6931,0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15540,0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33448,7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45191,3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45449,5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60365,6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69723,2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84938,5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92412,0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30380,7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44470,8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167560,1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184200,8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223794,7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245676,2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18033,3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19477,6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23928,9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31202,7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34298,2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37411,7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41887,4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46268,9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21175,8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23283,0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25672,3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21963,7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15737,9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17339,6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36434,9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38556,9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42384,6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37891,3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57182,4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451603,3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522071,5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195185,8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338532,7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606639,2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700423,0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18288,2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31809,8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37724,6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42845,2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47959,1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53259,3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19322,6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28865,7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8259,5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9639,6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11309,8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33937,1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43090,2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9078,4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13542,8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43244,6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51074,1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81055,8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215193,8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252422,9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293691,9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44950,5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106704,7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187898,8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344976,6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399216,4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27699,6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32011,8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43571,6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51794,8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286495,3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336942,6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391147,8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142960,6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249334,7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456605,6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529088,1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27290,4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31851,8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41071,3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46921,3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4042,6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18211,1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7990,3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23012,7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41397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11870,9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37668,7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43533,8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50294,3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34834,1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58288,6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66358,6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142841,6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200144,8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27770,9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120874,7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235821,4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276601,8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23293,2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23437,7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44055,0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343847,6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395832,2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453148,7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22492,4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32700,5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37900,5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16933,1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28402,2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10840,4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26834,9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30591,8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34851,1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26096,0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34930,1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45956,1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138943,6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162955,8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187135,9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216400,5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247903,5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14535,4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19462,3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25807,6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128860,2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147920,9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9557,4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17310,5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2991,5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7288,8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3251,7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13096,0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17760,1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20328,1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23179,1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34076,7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40709,821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46680,8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53700,6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61458,8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106,523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7697,0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9060,4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12324,6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146640,7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2851,4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2126,4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5477,6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10321,9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20762,0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25349,6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28765,1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35939,7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2556,8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3988,9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1644,4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9635,5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1916,8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9566,3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19250,1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25548,7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13383,3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6184,7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25057,6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31705,3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4180,0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80820,2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7849,6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49427,3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101719,7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129659,3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4212,7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14783,0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19133,6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22734,1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29978,5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4366,2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4970,6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6423,6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7298,0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8581,7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10359,2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15980,3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20369,6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15222,8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18675,8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28347,0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3974,4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официально зарегистрированных безработных, тыс. чел.6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оплата труда, сомов6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17242,2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10141,1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12147,9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13454,3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9938,0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12298,1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13702,1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15017,1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14506,6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15971,6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9513,0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17745,1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19739,0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21514,2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10139,0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14105,3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15413,6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7588,0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8388,4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8900,1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11527,5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9479,1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11529,7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10020,7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11538,6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10162,3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13101,2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14585,7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13702,0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15302,0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17319,7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21783,2</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10645,9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10762,4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11263,4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11449,4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15720,4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сомов в месяц</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4662,4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4955,7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5167,9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4801,4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4871,5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5247,8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5694,1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4433,35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4735,63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5140,37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4963,04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5241,99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5265,27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5255,40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5468,29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4316,35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4680,98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4593,38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4787,36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4807,43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5001,54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5342,30</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106,81</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4471,63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4896,58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4828,56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4945,15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4942,90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4903,83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5227,85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5649,38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4228,03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4551,93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4980,03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4895,80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5047,31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5051,10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5011,47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5361,85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5798,44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107,66</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108,14</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3999,00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4251,31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4578,61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4553,38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4725,22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4687,42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4876,13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5202,06</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106,50</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106,68</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4503,87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4816,13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5068,56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4964,80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4925,08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5229,23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5601,89</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4720,35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5137,39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5248,88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5135,43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5135,32</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5516,69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5919,53</w:t>
            </w:r>
          </w:p>
        </w:tc>
      </w:tr>
      <w:tr>
        <w:tc>
          <w:tcPr>
            <w:tcW w:type="dxa" w:w="2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1 По методике МВФ</w:t>
      </w:r>
    </w:p>
    <w:p>
      <w:pPr>
        <w:spacing w:after="120"/>
        <w:jc w:val="both"/>
      </w:pPr>
      <w:r>
        <w:rPr>
          <w:rFonts w:ascii="Arial" w:cs="Arial" w:eastAsia="Arial" w:hAnsi="Arial"/>
          <w:sz w:val="24"/>
          <w:szCs w:val="24"/>
        </w:rPr>
        <w:t xml:space="preserve">2 Без учета малых предприятий;</w:t>
      </w:r>
    </w:p>
    <w:p>
      <w:pPr>
        <w:spacing w:after="120"/>
        <w:jc w:val="both"/>
      </w:pPr>
      <w:r>
        <w:rPr>
          <w:rFonts w:ascii="Arial" w:cs="Arial" w:eastAsia="Arial" w:hAnsi="Arial"/>
          <w:sz w:val="24"/>
          <w:szCs w:val="24"/>
        </w:rPr>
        <w:t xml:space="preserve">* с нарастанием за 3, 6 и 9 мес.</w:t>
      </w:r>
    </w:p>
    <w:p>
      <w:pPr>
        <w:spacing w:after="120"/>
        <w:jc w:val="both"/>
      </w:pPr>
      <w:r>
        <w:rPr>
          <w:rFonts w:ascii="Arial" w:cs="Arial" w:eastAsia="Arial" w:hAnsi="Arial"/>
          <w:sz w:val="24"/>
          <w:szCs w:val="24"/>
        </w:rPr>
        <w:t xml:space="preserve">3 По данным Социального фонда Кыргызской Республики.</w:t>
      </w:r>
    </w:p>
    <w:p>
      <w:pPr>
        <w:spacing w:after="120"/>
        <w:jc w:val="both"/>
      </w:pPr>
      <w:r>
        <w:rPr>
          <w:rFonts w:ascii="Arial" w:cs="Arial" w:eastAsia="Arial" w:hAnsi="Arial"/>
          <w:sz w:val="24"/>
          <w:szCs w:val="24"/>
        </w:rPr>
        <w:t xml:space="preserve">4 -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5 -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6 с нарастанием за 3,6 и 9 мес.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csud_y7g78rsf-102ag">
      <w:r>
        <w:rPr>
          <w:rFonts w:ascii="Arial" w:cs="Arial" w:eastAsia="Arial" w:hAnsi="Arial"/>
          <w:color w:val="132D3F"/>
          <w:sz w:val="16"/>
          <w:szCs w:val="16"/>
          <w:u w:val="single"/>
        </w:rPr>
        <w:t xml:space="preserve">dalil.kg/document/94587</w:t>
      </w:r>
    </w:hyperlink>
  </w:p>
  <w:p>
    <w:pPr>
      <w:spacing w:after="0" w:before="40"/>
      <w:jc w:val="center"/>
    </w:pPr>
    <w:hyperlink w:history="1" r:id="rIdnqkoygefhnzxual8d38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ghiz2smkjk6hq1y2uf-" Type="http://schemas.openxmlformats.org/officeDocument/2006/relationships/hyperlink" Target="https://dalil.kg/document/96883" TargetMode="External"/><Relationship Id="rIdfutn5alehqxy8bandlhio" Type="http://schemas.openxmlformats.org/officeDocument/2006/relationships/hyperlink" Target="https://dalil.kg/document/94587#&#1088;1" TargetMode="External"/><Relationship Id="rId7ork-nrwerw9hqqxfwdrv" Type="http://schemas.openxmlformats.org/officeDocument/2006/relationships/hyperlink" Target="https://dalil.kg/document/95307" TargetMode="External"/><Relationship Id="rIdsc9fe7spgrmjkph9x5r4h" Type="http://schemas.openxmlformats.org/officeDocument/2006/relationships/hyperlink" Target="https://dalil.kg/document/93417" TargetMode="External"/><Relationship Id="rIdjhoktfaannifmcvymufal" Type="http://schemas.openxmlformats.org/officeDocument/2006/relationships/hyperlink" Target="https://dalil.kg/document/93321" TargetMode="External"/><Relationship Id="rIdwhnzt7cm8s1zxij3nsee4" Type="http://schemas.openxmlformats.org/officeDocument/2006/relationships/hyperlink" Target="https://dalil.kg/document/94587" TargetMode="External"/><Relationship Id="rIdean6xzb6tucounxvgfnwu" Type="http://schemas.openxmlformats.org/officeDocument/2006/relationships/hyperlink" Target="https://dalil.kg/document/94217#&#1088;1" TargetMode="External"/><Relationship Id="rIdv2mmz2zgqyz8v75lyf5jq" Type="http://schemas.openxmlformats.org/officeDocument/2006/relationships/hyperlink" Target="https://dalil.kg/document/94217" TargetMode="External"/><Relationship Id="rIdwuv_mvr9hgnrxhfdadrqd" Type="http://schemas.openxmlformats.org/officeDocument/2006/relationships/hyperlink" Target="https://dalil.kg/document/995" TargetMode="External"/><Relationship Id="rIdoyov_vgicfu8ylk_l7vr6" Type="http://schemas.openxmlformats.org/officeDocument/2006/relationships/hyperlink" Target="https://dalil.kg/document/93058" TargetMode="External"/><Relationship Id="rIdyigpdnrkjxzex1w5rpi7a" Type="http://schemas.openxmlformats.org/officeDocument/2006/relationships/hyperlink" Target="https://dalil.kg/document/95110" TargetMode="External"/><Relationship Id="rIdyp4niv0qoav5ub1aj3ewf" Type="http://schemas.openxmlformats.org/officeDocument/2006/relationships/hyperlink" Target="https://dalil.kg/document/94327" TargetMode="External"/><Relationship Id="rIdyke7jgi5artkedvuvxzs8" Type="http://schemas.openxmlformats.org/officeDocument/2006/relationships/hyperlink" Target="https://dalil.kg/document/94270" TargetMode="External"/><Relationship Id="rIdoqpdlk4lvk7x2hvexil9b" Type="http://schemas.openxmlformats.org/officeDocument/2006/relationships/hyperlink" Target="https://dalil.kg/document/92600" TargetMode="External"/><Relationship Id="rIdxo43wwch6ozt4n_cbj6cc" Type="http://schemas.openxmlformats.org/officeDocument/2006/relationships/hyperlink" Target="https://dalil.kg/document/8" TargetMode="External"/><Relationship Id="rId6cn4bh7xemetr6jnmads2" Type="http://schemas.openxmlformats.org/officeDocument/2006/relationships/hyperlink" Target="https://dalil.kg/document/716" TargetMode="External"/><Relationship Id="rIdqwfsrxhvzf0yhbkdapezq" Type="http://schemas.openxmlformats.org/officeDocument/2006/relationships/hyperlink" Target="https://dalil.kg/document/93078" TargetMode="External"/><Relationship Id="rIdvr8kdj6_h3bsq6ewl7ilc" Type="http://schemas.openxmlformats.org/officeDocument/2006/relationships/hyperlink" Target="https://dalil.kg/document/93080" TargetMode="External"/><Relationship Id="rIdzeb4owhwt7ajakhyoqtr3" Type="http://schemas.openxmlformats.org/officeDocument/2006/relationships/hyperlink" Target="https://dalil.kg/document/92880" TargetMode="External"/><Relationship Id="rIdt_rgchcsluuk3ism8jcwc" Type="http://schemas.openxmlformats.org/officeDocument/2006/relationships/hyperlink" Target="https://dalil.kg/document/92880" TargetMode="External"/><Relationship Id="rIdfha_of74u1punuklp44uv" Type="http://schemas.openxmlformats.org/officeDocument/2006/relationships/hyperlink" Target="https://dalil.kg/document/92984" TargetMode="External"/><Relationship Id="rIdekuer-n80a-ezivfertfv" Type="http://schemas.openxmlformats.org/officeDocument/2006/relationships/hyperlink" Target="https://dalil.kg/document/93628"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csud_y7g78rsf-102ag" Type="http://schemas.openxmlformats.org/officeDocument/2006/relationships/hyperlink" Target="https://dalil.kg/document/94587" TargetMode="External"/><Relationship Id="rIdnqkoygefhnzxual8d38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2026-09-23T21:00:51.132Z</dcterms:created>
  <dcterms:modified xsi:type="dcterms:W3CDTF">2026-09-23T21:00:51.132Z</dcterms:modified>
</cp:coreProperties>
</file>

<file path=docProps/custom.xml><?xml version="1.0" encoding="utf-8"?>
<Properties xmlns="http://schemas.openxmlformats.org/officeDocument/2006/custom-properties" xmlns:vt="http://schemas.openxmlformats.org/officeDocument/2006/docPropsVTypes"/>
</file>