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fmhq7jwtrfonvjnfb7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сода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c3v4a6tl34ictoluj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2013 года № 425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и заверения декларации о доходах и имуществе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приложений к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заверения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fenwy6ubguu70rjhqhd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единой налоговой декларации гражданами Кыргызской Республики" и определяет порядок заполнения декларации о доходах и имуществе гражданами Кыргызской Республики, получившими по 31 декабря 2012 года включительно доходы и имущество без соответствующей уплаты налоговых и таможенных платежей, отчислений по социальному страхованию и иных обязательных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Сроком декларирования является период времени с 1 июля по 31 декабря 2013 года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Бланк декларации является бланком строгой отчетности, имеет порядковый номер, нанесенный типографским способом и составляется в единственном экземпляре.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бланка декларации не должна превышать стоимость расходов, понесенных на его изготовление.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декларировании объектов декларирования на сумму, не превышающую декларационный порог, субъект оплачивает только государственную пошлину в сумме 150 сомов за совершение нотариальных действий и стоимость бланка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стоимость объектов декларирования превышает декларационный порог в размере 45000000 (сорок пять миллионов) сомов, субъект для заверения декларации оплачивает государственную пошлину в сумме 150 сомов и стоимость бланка декларации, а также прилагает к декларации квитанцию об уплате в уполномоченный коммерческий банк в пользу государственного бюджета единовременного декларационного платежа в сумме 450000 (четыреста пятьдесят тысяч) сомов, вне зависимости от того, насколько декларируемая стоимость превышает декларационных порог.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Декларация о доходах и имуществе (далее - декларация) заполняется непосредственно субъектом декларирования или его законным представителем (далее - субъект) в соответствии с данными общегражданского паспорта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заполнении декларации не допускаются исправления, подчистки и помарки, арифметические ошибки. В случае их наличия декларация признается недействительной.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"Наименование органа, выдавшего бланк и заверившего декларацию" указывается наименование государственной нотариальной конторы по месту жительства субъекта, заверяющего декларацию.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"Фамилия, имя, отчество декларанта" указываются полностью фамилия, имя, отчество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"ИНН (ПИН) декларанта" указывается идентификационный налоговый номер или персональный идентификационный номер декларанта, присвоенный налоговой службой или Социальным фондом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"Место жительства" указывается адрес учетной регистрации согласно общегражданскому паспорту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соответствующих строках "Данные общегражданского паспорта гражданина Кыргызской Республики" указываются серия, номер, дата выдачи и наименование государственного органа, выдавшего общегражданский паспорт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строке "Итого декларируемая стоимость имущества" указывается общая сумма стоимости декларируемых доходов и/или имущества в соответствии со строкой "Итого" приложений 1 и 2 цифрами и прописью.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строке "Представлены приложения к декларации о доходах и имуществе (отметьте знаком "X" соответствующие ячейки)", знаком "X" отмечаются ячейки возле соответствующих приложений к декларации, что будет означать, что отмеченные приложения к декларации заполнены декларантом и представлены для заверения.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приложений к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Заполнение приложений 1 и 2 к декларации осуществляется в соответствии с </w:t>
      </w:r>
      <w:hyperlink w:history="1" r:id="rIdt4wd7airsswxpgduem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Классификатором</w:t>
        </w:r>
      </w:hyperlink>
      <w:r>
        <w:rPr>
          <w:rFonts w:ascii="Arial" w:cs="Arial" w:eastAsia="Arial" w:hAnsi="Arial"/>
          <w:sz w:val="24"/>
          <w:szCs w:val="24"/>
        </w:rPr>
        <w:t xml:space="preserve"> доходов и имущества (далее - Классификатор).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1 указывается порядковый номер декларируемого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2 указывается полное наименование имущества в соответствии с </w:t>
      </w:r>
      <w:hyperlink w:history="1" r:id="rIdoqfxt3ov8ujgplq6c_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Классификатором</w:t>
        </w:r>
      </w:hyperlink>
      <w:r>
        <w:rPr>
          <w:rFonts w:ascii="Arial" w:cs="Arial" w:eastAsia="Arial" w:hAnsi="Arial"/>
          <w:sz w:val="24"/>
          <w:szCs w:val="24"/>
        </w:rPr>
        <w:t xml:space="preserve"> или указывается соответствующий код </w:t>
      </w:r>
      <w:hyperlink w:history="1" r:id="rIdgkzr-ttnsxgclsb_dus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с кратким наименованием декларируемого объекта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3 указывается год приобретения декларируемого объекта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4 указывается основание возникновения дохода и/или имущества в соответствии с разделом III </w:t>
      </w:r>
      <w:hyperlink w:history="1" r:id="rId1yxchg31nblbkczukf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графе 5 указываются реквизиты правоустанавливающего или правоудостоверяющего документа на объект имущества, в том числе: идентификационный код технического паспорта объекта недвижимости, номер и серия акта на землепользование, номер и серия сертификата на владение акциями, номер и дата договора купли продажи, дарения, займа, аренды, мены, свидетельства о наследовании, технического паспорта на автотранспорт, учредительный договор на долю в хозяйственном товариществе или обществе и т.д. вне зависимости от того, оформлен ли этот правоустанавливающий или правоудостоверяющий документ на декларанта или на другое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правоустанавливающего или правоудостоверяющего документа на объект имущества, в графе 5 указывается "отсутствует".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6 указывается сокращенное название единицы измерения декларируемого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7 указываются количество и/или площадь декларируемых доходов и/или имущества, выраженные в соответствующих единицах измерения.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8 указывается стоимость объектов имущества, за исключением денежных средств, на дату приобретения на основе правоустанавливающих документов, а при их отсутствии, или отсутствии указания в них стоимости активов, по рыночным ценам, выраженным в национальной валюте, на дату приобретения на основе самостоятельной оценки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9 указывается стоимость объектов имущества на дату заполнения декларации на основе самостоятельной оценки по действующим рыночным ценам.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денежных средств указывается по номинальной стоимости. Денежные средства в иностранной валюте указываются в сомах по курсу Национального банка Кыргызской Республики на день заполнения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10 указывается адрес местонахождения или регистрационные данные декларируемого имущества. В случае отсутствия адреса местонахождения или регистрационных данных декларируемого имущества, указывается адрес учетной регистрации согласно общегражданскому паспорту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заверения декларации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Декларация представляется субъектом для заверения государственной нотариальной конторе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Бланк декларации подписывается декларантом или его законным представителем в присутствии государственного нотариуса. Государственный нотариус заверяет подпись декларанта или его законного представителя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нотариус в присутствии субъекта декларирования или его законного представителя проверяет только соответствие данных о субъекте декларирования в декларации с документом, удостоверяющим его личность, а также свидетельствует подлинность подписи на декларации и заносит в Реестр деклараций индивидуальный порядковый номер декларации, дату декларирования и персональные данные лица, подавшего данную декларацию. В случае превышения в декларации суммы установленного декларационного порога, проверяет наличие квитанции об уплате декларационного платежа.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течение месяца после завершения срока декларирования, государственные нотариусы, осуществившие процедуры заверения деклараций о доходах и имуществе, формируют Реестр деклараций, с указанием регистрационных номеров, присвоенных заверенным декларациям о доходах и имуществе, фамилии, имени, отчества декларантов и передают в Министерство юстиции Кыргызской Республики в запечатанных конвертах.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Заверенная государственной нотариальной конторой декларация хранится у субъекта декларирования.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wrsdnrsumxupwhar0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dalil.kg/document/94614</w:t>
      </w:r>
    </w:hyperlink>
  </w:p>
  <w:p>
    <w:pPr>
      <w:spacing w:after="0" w:before="40"/>
      <w:jc w:val="center"/>
    </w:pPr>
    <w:hyperlink w:history="1" r:id="rIdkmrpyifacfjhltr43g0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mhq7jwtrfonvjnfb7iv" Type="http://schemas.openxmlformats.org/officeDocument/2006/relationships/hyperlink" Target="https://dalil.kg/document/158160" TargetMode="External"/><Relationship Id="rIdcc3v4a6tl34ictolujcyw" Type="http://schemas.openxmlformats.org/officeDocument/2006/relationships/hyperlink" Target="https://dalil.kg/document/94612" TargetMode="External"/><Relationship Id="rIdfenwy6ubguu70rjhqhdxp" Type="http://schemas.openxmlformats.org/officeDocument/2006/relationships/hyperlink" Target="https://dalil.kg/document/202711" TargetMode="External"/><Relationship Id="rIdt4wd7airsswxpgduemihx" Type="http://schemas.openxmlformats.org/officeDocument/2006/relationships/hyperlink" Target="https://dalil.kg/document/94613" TargetMode="External"/><Relationship Id="rIdoqfxt3ov8ujgplq6c_dct" Type="http://schemas.openxmlformats.org/officeDocument/2006/relationships/hyperlink" Target="https://dalil.kg/document/94613" TargetMode="External"/><Relationship Id="rIdgkzr-ttnsxgclsb_dusif" Type="http://schemas.openxmlformats.org/officeDocument/2006/relationships/hyperlink" Target="https://dalil.kg/document/94613" TargetMode="External"/><Relationship Id="rId1yxchg31nblbkczukftlh" Type="http://schemas.openxmlformats.org/officeDocument/2006/relationships/hyperlink" Target="https://dalil.kg/document/946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wrsdnrsumxupwhar0k7" Type="http://schemas.openxmlformats.org/officeDocument/2006/relationships/hyperlink" Target="https://dalil.kg/document/94614" TargetMode="External"/><Relationship Id="rIdkmrpyifacfjhltr43g0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2026-10-04T12:55:22.442Z</dcterms:created>
  <dcterms:modified xsi:type="dcterms:W3CDTF">2026-10-04T12:55:22.442Z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