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 
 в соответствии с </w:t>
      </w:r>
      <w:hyperlink w:history="1" r:id="rIdtf3rgmxbdr9oiilmjy1d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22 февраля 2022 года № 93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июля 2013 года № 439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формы отчета по налогу на доходы горнодобывающих и горноперерабатывающих предприятий, порядка ее заполнения и Положения о порядке определения стоимости золота в золотосодержащей руде и золотосодержащем концентрате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В редакции постановлений Правительства КР от </w:t>
      </w:r>
      <w:hyperlink w:history="1" r:id="rIdmuayetd-ynv7hmgadgiku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23 мая 2016 года № 272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, </w:t>
      </w:r>
      <w:hyperlink w:history="1" r:id="rIdqjxllida8edg-l6-24vn4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14 сентября 2017 года № 570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, </w:t>
      </w:r>
      <w:hyperlink w:history="1" r:id="rIdzpvkuqjtj-ntunzpjskwe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12 декабря 2018 года № 580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85, 86, 221-1 Налогового </w:t>
      </w:r>
      <w:hyperlink w:history="1" r:id="rIdq-rjxkjero2ozjspqt9f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1k043ibrfwtijpoya64z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форму</w:t>
        </w:r>
      </w:hyperlink>
      <w:r>
        <w:rPr>
          <w:rFonts w:ascii="Arial" w:cs="Arial" w:eastAsia="Arial" w:hAnsi="Arial"/>
          <w:sz w:val="24"/>
          <w:szCs w:val="24"/>
        </w:rPr>
        <w:t xml:space="preserve"> отчета по налогу на доходы горнодобывающих и горноперерабатывающих предприятий (FORM STI-108) и Порядок ее заполнения;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i1vrsv_lo7epouqpxnea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определения стоимости золота в золотосодержащей руде и золотосодержащем концентрате.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 и применяется с 1 января 2013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ujeh_ezucgtf-rabo-mp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31 июля 2013 года № 439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┌───┐ ┌─┐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│001│ └─┘ ПЕРВОНАЧАЛЬНЫЙ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└───┘ ┌─┐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 └─┘ УТОЧНЕННЫЙ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ОТЧЕТ
 по налогу на доходы горнодобывающих и горноперерабатывающих предприятий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ktidd1rtp2uhsdonyezjp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14 сентября 2017 года № 570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отчету по налогу на доходы горнодобывающих и горноперерабатывающих  предприятий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
 к отчету по налогу на доходы горнодобывающих и горноперерабатывающих  предприятий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60"/>
        <w:gridCol w:w="1679"/>
        <w:gridCol w:w="824"/>
        <w:gridCol w:w="1693"/>
        <w:gridCol w:w="1431"/>
        <w:gridCol w:w="1457"/>
        <w:gridCol w:w="916"/>
        <w:gridCol w:w="918"/>
      </w:tblGrid>
      <w:tr>
        <w:tc>
          <w:tcPr>
            <w:tcW w:type="dxa" w:w="12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
 реализации</w:t>
            </w:r>
          </w:p>
        </w:tc>
        <w:tc>
          <w:tcPr>
            <w:tcW w:type="dxa" w:w="16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Gt - среднее содержание золота в тонне (СМТ) руды</w:t>
            </w:r>
          </w:p>
        </w:tc>
        <w:tc>
          <w:tcPr>
            <w:tcW w:type="dxa" w:w="8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Вес, тонн (СМТ)</w:t>
            </w:r>
          </w:p>
        </w:tc>
        <w:tc>
          <w:tcPr>
            <w:tcW w:type="dxa" w:w="16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Официальный курс сома к доллару США</w:t>
            </w:r>
          </w:p>
        </w:tc>
        <w:tc>
          <w:tcPr>
            <w:tcW w:type="dxa" w:w="14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Цена золота за одну тройскую унцию в долларах США/31,1</w:t>
            </w:r>
          </w:p>
        </w:tc>
        <w:tc>
          <w:tcPr>
            <w:tcW w:type="dxa" w:w="145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золота в золотосо-
 держащей руде (сом.)</w:t>
            </w:r>
          </w:p>
        </w:tc>
        <w:tc>
          <w:tcPr>
            <w:tcW w:type="dxa" w:w="9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Ставка налога (%)</w:t>
            </w:r>
          </w:p>
        </w:tc>
        <w:tc>
          <w:tcPr>
            <w:tcW w:type="dxa" w:w="9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 налога (сом.)</w:t>
            </w:r>
          </w:p>
        </w:tc>
      </w:tr>
      <w:tr>
        <w:tc>
          <w:tcPr>
            <w:tcW w:type="dxa" w:w="12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12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
 реализации</w:t>
            </w:r>
          </w:p>
        </w:tc>
        <w:tc>
          <w:tcPr>
            <w:tcW w:type="dxa" w:w="1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Gt - среднее содержание золота в тонне (СМТ) концентрата</w:t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Вес, тонн (СМТ)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Официальный курс сома к доллару США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Цена золота за одну тройскую унцию в долларах США/31,1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золота в золотосо-
 держащем концентрате (сом.)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Ставка налога (%)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 налога (сом.)</w:t>
            </w:r>
          </w:p>
        </w:tc>
      </w:tr>
      <w:tr>
        <w:tc>
          <w:tcPr>
            <w:tcW w:type="dxa" w:w="12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12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налогоплательщика</w:t>
            </w:r>
          </w:p>
        </w:tc>
      </w:tr>
      <w:tr>
        <w:tc>
          <w:tcPr>
            <w:tcW w:type="dxa" w:w="5456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ИНН</w:t>
            </w:r>
          </w:p>
        </w:tc>
        <w:tc>
          <w:tcPr>
            <w:tcW w:type="dxa" w:w="472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Подпись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jep4fh7a6hdda-_zwhev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31 июля 2013 года № 439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
 заполнения и представления формы отчета по налогу на доходы горнодобывающих и горноперерабатывающих предприятий (FORM STI-108)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j9_zwuwm94menpdnf15r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мая 2016 года № 272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4v9ho5iacf6u1twklq0e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сентября 2017 года № 570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q4pi_cm-hl1zl6yqmopw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декабря 2018 года № 580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разработан в соответствии с Налоговым кодексом Кыргызской Республики (далее - Налоговый кодекс) и определяет правила заполнения и представления формы отчета по налогу на доходы горнодобывающих и горноперерабатывающих предприятий, осуществляющих деятельность по добыче и реализации золотого сплава, аффинированного золота, золотосодержащей руды и золотосодержащего концентрата.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Отчет по налогу на доходы горнодобывающих и горноперерабатывающих предприятий состоит из: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отчета по налогу на доходы горнодобывающих и горноперерабатывающих предприятий (</w:t>
      </w:r>
      <w:r>
        <w:rPr>
          <w:rFonts w:ascii="Arial" w:cs="Arial" w:eastAsia="Arial" w:hAnsi="Arial"/>
          <w:sz w:val="24"/>
          <w:szCs w:val="24"/>
        </w:rPr>
        <w:t xml:space="preserve">FORM STI-108</w:t>
      </w:r>
      <w:r>
        <w:rPr>
          <w:rFonts w:ascii="Arial" w:cs="Arial" w:eastAsia="Arial" w:hAnsi="Arial"/>
          <w:sz w:val="24"/>
          <w:szCs w:val="24"/>
        </w:rPr>
        <w:t xml:space="preserve">) (далее - Отчет);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приложения 1</w:t>
      </w:r>
      <w:r>
        <w:rPr>
          <w:rFonts w:ascii="Arial" w:cs="Arial" w:eastAsia="Arial" w:hAnsi="Arial"/>
          <w:sz w:val="24"/>
          <w:szCs w:val="24"/>
        </w:rPr>
        <w:t xml:space="preserve"> к Отчету (далее - Приложение 1);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sz w:val="24"/>
          <w:szCs w:val="24"/>
        </w:rPr>
        <w:t xml:space="preserve">приложения 2</w:t>
      </w:r>
      <w:r>
        <w:rPr>
          <w:rFonts w:ascii="Arial" w:cs="Arial" w:eastAsia="Arial" w:hAnsi="Arial"/>
          <w:sz w:val="24"/>
          <w:szCs w:val="24"/>
        </w:rPr>
        <w:t xml:space="preserve"> к Отчету (далее - Приложение 2).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Составление Отчета начинается с заполнения приложений.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 заполняется и представляется при осуществлении деятельности по добыче и реализации золотого сплава и/или аффинированного золота.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 заполняется и представляется при осуществлении деятельности по добыче и реализации золотосодержащей руды и/или золотосодержащего концентрата.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 Отчете указывается сводная информация из приложений о налогообразующих показателях и сумме налога на доходы по добыче и реализации золотого сплава, аффинированного золота, золотосодержащей руды и золотосодержащего концентрата за отчетный период.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 отсутствии показателя, в соответствующих ячейках Отчета указывается значение "0". В приложениях к Отчету, при отсутствии показателей по всем строкам, значение "0" указывается только в графе "Сумма налога" и в строке "Итого".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Отчет подписывается руководителем и заверяется печатью налогоплательщика.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9. (Исключен в соответствии с </w:t>
      </w:r>
      <w:hyperlink w:history="1" r:id="rIdjg6dnd_4ijznbkvt6jcm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23 мая 2016 года № 272)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Порядок заполнения Отчета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При заполнении Отчета необходимо указать знак "X" в ячейке 001 "первоначальный" или "уточненный".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Отчет сдается впервые за налоговый период, необходимо указать знак "X" в ячейке "первоначальный".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внесения изменений или дополнений в ранее представленный за этот же налоговый период Отчет, отметку в виде знака "X" следует указать в ячейке "уточненный".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ячейке "Количество листов приложения к отчету" указывается общее количество листов приложения к отчету. Например: "002".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Построчно в форме Отчета отражается следующая информация: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ячейке 102 указывается ИНН налогоплательщика;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ячейке 103 указывается полное наименование (ФИО) налогоплательщика;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ячейке 104 указываются код и наименование налогового органа по месту учетной (налоговой) регистрации налогоплательщика;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ячейке 107 указывается код ОКПО, присвоенный органом статистики при государственной регистрации налогоплательщика;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ячейке 112 указывается индекс почтового отделения по месту фактического местонахождения налогоплательщика;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ячейке 113 указывается название населенного пункта фактического местонахождения налогоплательщика (область, город, район, село и т.д.);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ячейке 114 указывается адрес фактического местонахождения налогоплательщика (название улицы/микрорайона, номер дома, офиса, квартиры);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ячейке 115 указывается номер телефона налогоплательщика;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ячейке 116 указывается адрес электронной почты налогоплательщика;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ячейке 201 указывается дата начала налогового периода, за который представляется Отчет: день, месяц и год. Например: "01.01.2013";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ячейке 202 указывается дата последнего дня налогового периода, за который представляется Отчет: день, месяц и год. Например: "31.01.2013";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ячейке 901 указывается дата принятия налоговым органом Отчета;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ячейке 902 указывается ИНН сотрудника налогового органа, принявшего Отчет.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ячейку 203 переносится величина строки "Итого" графы 2 "Выручка без учета НДС и налога с продаж, полученная от реализации золотого сплава" </w:t>
      </w:r>
      <w:r>
        <w:rPr>
          <w:rFonts w:ascii="Arial" w:cs="Arial" w:eastAsia="Arial" w:hAnsi="Arial"/>
          <w:sz w:val="24"/>
          <w:szCs w:val="24"/>
        </w:rPr>
        <w:t xml:space="preserve">Приложения 1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ячейку 204 переносится величина строки "Итого" графы 5 "Сумма налога" по реализации золотого сплава </w:t>
      </w:r>
      <w:r>
        <w:rPr>
          <w:rFonts w:ascii="Arial" w:cs="Arial" w:eastAsia="Arial" w:hAnsi="Arial"/>
          <w:sz w:val="24"/>
          <w:szCs w:val="24"/>
        </w:rPr>
        <w:t xml:space="preserve">Приложения 1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ячейку 205 переносится величина строки "Итого" графы 2 "Выручка без учета НДС и налога с продаж, полученная от реализации аффинированного золота" </w:t>
      </w:r>
      <w:r>
        <w:rPr>
          <w:rFonts w:ascii="Arial" w:cs="Arial" w:eastAsia="Arial" w:hAnsi="Arial"/>
          <w:sz w:val="24"/>
          <w:szCs w:val="24"/>
        </w:rPr>
        <w:t xml:space="preserve">Приложения 1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ячейку 206 переносится величина строки "Итого" графы 5 "Сумма налога" по реализации аффинированного золота </w:t>
      </w:r>
      <w:r>
        <w:rPr>
          <w:rFonts w:ascii="Arial" w:cs="Arial" w:eastAsia="Arial" w:hAnsi="Arial"/>
          <w:sz w:val="24"/>
          <w:szCs w:val="24"/>
        </w:rPr>
        <w:t xml:space="preserve">Приложения 1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ячейку 207 переносится величина строки "Итого" графы 6 "Стоимость золота в золотосодержащей руде" </w:t>
      </w:r>
      <w:r>
        <w:rPr>
          <w:rFonts w:ascii="Arial" w:cs="Arial" w:eastAsia="Arial" w:hAnsi="Arial"/>
          <w:sz w:val="24"/>
          <w:szCs w:val="24"/>
        </w:rPr>
        <w:t xml:space="preserve">Приложения 2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ячейку 208 переносится величина строки "Итого" графы 8 "Сумма налога" по реализации золотосодержащей руды </w:t>
      </w:r>
      <w:r>
        <w:rPr>
          <w:rFonts w:ascii="Arial" w:cs="Arial" w:eastAsia="Arial" w:hAnsi="Arial"/>
          <w:sz w:val="24"/>
          <w:szCs w:val="24"/>
        </w:rPr>
        <w:t xml:space="preserve">Приложения 2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ячейку 209 переносится величина строки "Итого" графы 6 "Стоимость золота в золотосодержащем концентрате" </w:t>
      </w:r>
      <w:r>
        <w:rPr>
          <w:rFonts w:ascii="Arial" w:cs="Arial" w:eastAsia="Arial" w:hAnsi="Arial"/>
          <w:sz w:val="24"/>
          <w:szCs w:val="24"/>
        </w:rPr>
        <w:t xml:space="preserve">Приложения 2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ячейку 210 переносится величина строки "Итого" графы 8 "Сумма налога" по реализации золотосодержащего концентрата </w:t>
      </w:r>
      <w:r>
        <w:rPr>
          <w:rFonts w:ascii="Arial" w:cs="Arial" w:eastAsia="Arial" w:hAnsi="Arial"/>
          <w:sz w:val="24"/>
          <w:szCs w:val="24"/>
        </w:rPr>
        <w:t xml:space="preserve">Приложения 2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ячейке 211 указывается общая сумма налога, определенная путем суммирования величин ячеек 204, 206, 208, 210.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Порядок заполнения Приложения 1 к Отчету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В </w:t>
      </w:r>
      <w:r>
        <w:rPr>
          <w:rFonts w:ascii="Arial" w:cs="Arial" w:eastAsia="Arial" w:hAnsi="Arial"/>
          <w:sz w:val="24"/>
          <w:szCs w:val="24"/>
        </w:rPr>
        <w:t xml:space="preserve">Приложении 1</w:t>
      </w:r>
      <w:r>
        <w:rPr>
          <w:rFonts w:ascii="Arial" w:cs="Arial" w:eastAsia="Arial" w:hAnsi="Arial"/>
          <w:sz w:val="24"/>
          <w:szCs w:val="24"/>
        </w:rPr>
        <w:t xml:space="preserve"> следует указывать информацию по каждому факту реализации золотого сплава, а также аффинированного золота, с заполнением граф с 1 по 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В графе 1 указывается дата реализации определенной партии золотого сплава или аффинированного золота. Например: "05.02.2013.".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В графе 2 указывается сумма выручки без учета НДС и налога с продаж, полученная от реализации золотого сплава или аффинированного золота. Например: "3750000".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В графе 3 указывается цена золота за одну тройскую унцию в долларах США. Например: "1750".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В графе 4 указывается ставка налога на доходы, применяемая в соответствии с таблицей, указанной в части 4 статьи 221-1 Налогового кодекса. Например: "11".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В графе 5 указывается сумма налога. Например: "412500" (3750000 х 11%).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Итоговые значения по графам 2 и 5 должны быть выведены отдельно по реализации золотого сплава, а также по реализации аффинированного золота.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Итоговые значения в графах 3 и 4 не указываются.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В нижней части </w:t>
      </w:r>
      <w:r>
        <w:rPr>
          <w:rFonts w:ascii="Arial" w:cs="Arial" w:eastAsia="Arial" w:hAnsi="Arial"/>
          <w:sz w:val="24"/>
          <w:szCs w:val="24"/>
        </w:rPr>
        <w:t xml:space="preserve">приложения 1</w:t>
      </w:r>
      <w:r>
        <w:rPr>
          <w:rFonts w:ascii="Arial" w:cs="Arial" w:eastAsia="Arial" w:hAnsi="Arial"/>
          <w:sz w:val="24"/>
          <w:szCs w:val="24"/>
        </w:rPr>
        <w:t xml:space="preserve"> ставится ИНН и подпись налогоплательщика.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Порядок переноса итоговых значений </w:t>
      </w:r>
      <w:r>
        <w:rPr>
          <w:rFonts w:ascii="Arial" w:cs="Arial" w:eastAsia="Arial" w:hAnsi="Arial"/>
          <w:sz w:val="24"/>
          <w:szCs w:val="24"/>
        </w:rPr>
        <w:t xml:space="preserve">Приложения 1</w:t>
      </w:r>
      <w:r>
        <w:rPr>
          <w:rFonts w:ascii="Arial" w:cs="Arial" w:eastAsia="Arial" w:hAnsi="Arial"/>
          <w:sz w:val="24"/>
          <w:szCs w:val="24"/>
        </w:rPr>
        <w:t xml:space="preserve"> в форму Отчета приведен в пунктах 13-16 Порядка заполнения Отчета.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Пример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Компания "А", осуществляющая деятельность по разработке золотого месторождения, после переработки получила и реализовала в феврале 2013 года следующую продукцию: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- 5 февраля 2013 года - золотой сплав, где сумма выручки составила 3750000 сом. (без учета НДС и налога с продаж);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- 10 февраля 2013 года - золотой сплав, где сумма выручки составила 2600500 сом. (без учета НДС и налога с продаж);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- 20 февраля 2013 года - аффинированное золото, где сумма выручки составила 3860000 сом. (без учета НДС и налога с продаж);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- 27 февраля 2013 года - аффинированное золото, где сумма выручки составила 2840000 сом. (без учета НДС и налога с продаж).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этом, цена золота за одну тройскую унцию составила 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- 5 февраля 2013 года - 1750 долл.США;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- 10 февраля 2013 года - 1730 долл.США;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- 20 февраля 2013 года - 1820 долл.США;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- 27 февраля 2013 года - 1870 долл.США.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этом случае, Компанией "А" заполняется </w:t>
      </w: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 следующим образом: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66"/>
        <w:gridCol w:w="3788"/>
        <w:gridCol w:w="2439"/>
        <w:gridCol w:w="1087"/>
        <w:gridCol w:w="1598"/>
      </w:tblGrid>
      <w:tr>
        <w:tc>
          <w:tcPr>
            <w:tcW w:type="dxa" w:w="12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реализации</w:t>
            </w:r>
          </w:p>
        </w:tc>
        <w:tc>
          <w:tcPr>
            <w:tcW w:type="dxa" w:w="37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Выручка без учета НДС и налога с продаж, полученная от реализации золотого сплава (сом.)</w:t>
            </w:r>
          </w:p>
        </w:tc>
        <w:tc>
          <w:tcPr>
            <w:tcW w:type="dxa" w:w="24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Цена золота за одну тройскую унцию в долларах США</w:t>
            </w:r>
          </w:p>
        </w:tc>
        <w:tc>
          <w:tcPr>
            <w:tcW w:type="dxa" w:w="108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Ставка налога (%)</w:t>
            </w:r>
          </w:p>
        </w:tc>
        <w:tc>
          <w:tcPr>
            <w:tcW w:type="dxa" w:w="15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 налога (сом.) (гр. 2 х гр. 4)</w:t>
            </w:r>
          </w:p>
        </w:tc>
      </w:tr>
      <w:tr>
        <w:tc>
          <w:tcPr>
            <w:tcW w:type="dxa" w:w="12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05.02.2013</w:t>
            </w:r>
          </w:p>
        </w:tc>
        <w:tc>
          <w:tcPr>
            <w:tcW w:type="dxa" w:w="37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3750000</w:t>
            </w:r>
          </w:p>
        </w:tc>
        <w:tc>
          <w:tcPr>
            <w:tcW w:type="dxa" w:w="2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1750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412500</w:t>
            </w:r>
          </w:p>
        </w:tc>
      </w:tr>
      <w:tr>
        <w:tc>
          <w:tcPr>
            <w:tcW w:type="dxa" w:w="12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10.02.2013</w:t>
            </w:r>
          </w:p>
        </w:tc>
        <w:tc>
          <w:tcPr>
            <w:tcW w:type="dxa" w:w="37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2600500</w:t>
            </w:r>
          </w:p>
        </w:tc>
        <w:tc>
          <w:tcPr>
            <w:tcW w:type="dxa" w:w="2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1730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286055</w:t>
            </w:r>
          </w:p>
        </w:tc>
      </w:tr>
      <w:tr>
        <w:tc>
          <w:tcPr>
            <w:tcW w:type="dxa" w:w="12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37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6350500</w:t>
            </w:r>
          </w:p>
        </w:tc>
        <w:tc>
          <w:tcPr>
            <w:tcW w:type="dxa" w:w="2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698555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46"/>
        <w:gridCol w:w="4110"/>
        <w:gridCol w:w="2276"/>
        <w:gridCol w:w="1046"/>
        <w:gridCol w:w="1500"/>
      </w:tblGrid>
      <w:tr>
        <w:tc>
          <w:tcPr>
            <w:tcW w:type="dxa" w:w="124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реализации</w:t>
            </w:r>
          </w:p>
        </w:tc>
        <w:tc>
          <w:tcPr>
            <w:tcW w:type="dxa" w:w="41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Выручка без учета НДС и налога с продаж, полученная от реализации аффинированного золота (сом.)</w:t>
            </w:r>
          </w:p>
        </w:tc>
        <w:tc>
          <w:tcPr>
            <w:tcW w:type="dxa" w:w="22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Цена золота за одну тройскую унцию в долларах США</w:t>
            </w:r>
          </w:p>
        </w:tc>
        <w:tc>
          <w:tcPr>
            <w:tcW w:type="dxa" w:w="104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Ставка налога (%)</w:t>
            </w:r>
          </w:p>
        </w:tc>
        <w:tc>
          <w:tcPr>
            <w:tcW w:type="dxa" w:w="15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 налога (сом.) (гр. 2 х гр. 4)</w:t>
            </w:r>
          </w:p>
        </w:tc>
      </w:tr>
      <w:tr>
        <w:tc>
          <w:tcPr>
            <w:tcW w:type="dxa" w:w="12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20.02.2013</w:t>
            </w:r>
          </w:p>
        </w:tc>
        <w:tc>
          <w:tcPr>
            <w:tcW w:type="dxa" w:w="41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3860000</w:t>
            </w:r>
          </w:p>
        </w:tc>
        <w:tc>
          <w:tcPr>
            <w:tcW w:type="dxa" w:w="2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1820</w:t>
            </w:r>
          </w:p>
        </w:tc>
        <w:tc>
          <w:tcPr>
            <w:tcW w:type="dxa" w:w="1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501800</w:t>
            </w:r>
          </w:p>
        </w:tc>
      </w:tr>
      <w:tr>
        <w:tc>
          <w:tcPr>
            <w:tcW w:type="dxa" w:w="12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27.02.2013</w:t>
            </w:r>
          </w:p>
        </w:tc>
        <w:tc>
          <w:tcPr>
            <w:tcW w:type="dxa" w:w="41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2840000</w:t>
            </w:r>
          </w:p>
        </w:tc>
        <w:tc>
          <w:tcPr>
            <w:tcW w:type="dxa" w:w="2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1870</w:t>
            </w:r>
          </w:p>
        </w:tc>
        <w:tc>
          <w:tcPr>
            <w:tcW w:type="dxa" w:w="1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369200</w:t>
            </w:r>
          </w:p>
        </w:tc>
      </w:tr>
      <w:tr>
        <w:tc>
          <w:tcPr>
            <w:tcW w:type="dxa" w:w="12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41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6700000</w:t>
            </w:r>
          </w:p>
        </w:tc>
        <w:tc>
          <w:tcPr>
            <w:tcW w:type="dxa" w:w="2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1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871000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Порядок заполнения Приложения 2 к Отчету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В </w:t>
      </w:r>
      <w:r>
        <w:rPr>
          <w:rFonts w:ascii="Arial" w:cs="Arial" w:eastAsia="Arial" w:hAnsi="Arial"/>
          <w:sz w:val="24"/>
          <w:szCs w:val="24"/>
        </w:rPr>
        <w:t xml:space="preserve">Приложении 2</w:t>
      </w:r>
      <w:r>
        <w:rPr>
          <w:rFonts w:ascii="Arial" w:cs="Arial" w:eastAsia="Arial" w:hAnsi="Arial"/>
          <w:sz w:val="24"/>
          <w:szCs w:val="24"/>
        </w:rPr>
        <w:t xml:space="preserve"> следует указывать информацию по каждому факту реализации золотосодержащей руды, а также золотосодержащего концентрата с заполнением граф с 1 по 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Стоимость золота в золотосодержащей руде и золотосодержащем концентрате определяется в соответствии с порядком, определяемым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В графе 1 указывается дата реализации определенной партии золотосодержащей руды или золотосодержащего концентрата. Например: "03.04.2013.".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34-1. В графе 2 указывается среднее содержание золота в сухой метрической тонне руды или концентрате согласно данным заключения уполномоченного государственного органа по недропользованию, в соответствии с законодательством Кыргызской Республики о порядке проведения учетного контроля. Например: "3,5".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34-2. В графе 3 указывается вес руды или концентрата в сухих метрических тоннах. Например: "1000".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34-3. В графе 4 указывается среднее значение официального курса доллара за весь налоговый период, рассчитываемый на основании данных Национального банка Кыргызской Республики. Например: "68,54".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34-4. В графе 5 указывается значение средней стоимости золота на Лондонской бирже в долларах США за весь налоговый период разделенное на 31,1. Например: "40,43".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В графе 6 указывается стоимость золота в золотосодержащей руде или золотосодержащем концентрате, которая формируется посредством умножения данных граф 2, 3, 4 и 5. Например: "9698752,7" (3,5 х 1000 х 68,54 х 40,43).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36. (Утратил силу в соответствии с </w:t>
      </w:r>
      <w:hyperlink w:history="1" r:id="rIdmvn9dbetrdt-hg4n7jpk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14 сентября 2017 года № 570)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В графе 7 указывается ставка налога на доходы, применяемая в соответствии с таблицей, указанной в части 4 статьи 221-1 </w:t>
      </w:r>
      <w:hyperlink w:history="1" r:id="rIdd0coecipafml3hrvoeyf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Налогового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. Например: "11".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В графе 8 указывается сумма налога. Например: "96987,52" (9698752,7 х 1%).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Итоговые значения по графам 6 и 8 должны быть выведены отдельно по реализации золотосодержащей руды, а также по золотосодержащему концентрату.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Итоговые значения в графах 2, 3, 4, 5 и 7 не указываются.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В нижней части </w:t>
      </w:r>
      <w:r>
        <w:rPr>
          <w:rFonts w:ascii="Arial" w:cs="Arial" w:eastAsia="Arial" w:hAnsi="Arial"/>
          <w:sz w:val="24"/>
          <w:szCs w:val="24"/>
        </w:rPr>
        <w:t xml:space="preserve">приложения 2</w:t>
      </w:r>
      <w:r>
        <w:rPr>
          <w:rFonts w:ascii="Arial" w:cs="Arial" w:eastAsia="Arial" w:hAnsi="Arial"/>
          <w:sz w:val="24"/>
          <w:szCs w:val="24"/>
        </w:rPr>
        <w:t xml:space="preserve"> ставится ИНН и подпись налогоплательщика.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Порядок переноса итоговых значений Приложения 2 в форму Отчета приведен в пунктах 17-20 Порядка заполнения Отчета.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Пример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Компания "В", занимающаяся добычей и реализацией золотосодержащей руды, реализовала в апреле 2017 года следующую продукцию: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- 5 апреля 2017 года - золотосодержащую руду объемом 1000 сухих метрических тонн со средним содержанием золота 3,5 г на сухую метрическую тонну согласно заключению уполномоченного государственного органа по недропользованию, где стоимость золота составила 302245650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- 11 апреля 2017 года - золотосодержащую руду, объемом 1000 сухих метрических тонн со средним содержанием золота 2,7 г на сухую метрическую тонну согласно заключению уполномоченного государственного органа по недропользованию, где стоимость золота составила 233160930 сомов.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средняя цена золота за месяц составила 1257 долларов США, а средний курс сома к доллару США составил 68,7 сома. В этом случае компанией "В" заполняется Приложение 2 следующим образом: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97"/>
        <w:gridCol w:w="1561"/>
        <w:gridCol w:w="820"/>
        <w:gridCol w:w="1681"/>
        <w:gridCol w:w="1411"/>
        <w:gridCol w:w="1313"/>
        <w:gridCol w:w="910"/>
        <w:gridCol w:w="1185"/>
      </w:tblGrid>
      <w:tr>
        <w:tc>
          <w:tcPr>
            <w:tcW w:type="dxa" w:w="129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реализации</w:t>
            </w:r>
          </w:p>
        </w:tc>
        <w:tc>
          <w:tcPr>
            <w:tcW w:type="dxa" w:w="15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Gt-среднее содержание золота в тонне (СМТ) руды</w:t>
            </w:r>
          </w:p>
        </w:tc>
        <w:tc>
          <w:tcPr>
            <w:tcW w:type="dxa" w:w="8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Вес, тонн (СМТ)</w:t>
            </w:r>
          </w:p>
        </w:tc>
        <w:tc>
          <w:tcPr>
            <w:tcW w:type="dxa" w:w="168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Официальный курс сома к доллару США</w:t>
            </w:r>
          </w:p>
        </w:tc>
        <w:tc>
          <w:tcPr>
            <w:tcW w:type="dxa" w:w="14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Цена золота за одну тройскую унцию в долларах США/31,1</w:t>
            </w:r>
          </w:p>
        </w:tc>
        <w:tc>
          <w:tcPr>
            <w:tcW w:type="dxa" w:w="13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золота в золотосо-
 держащей руде (сом.)</w:t>
            </w:r>
          </w:p>
        </w:tc>
        <w:tc>
          <w:tcPr>
            <w:tcW w:type="dxa" w:w="9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Ставка налога (%)</w:t>
            </w:r>
          </w:p>
        </w:tc>
        <w:tc>
          <w:tcPr>
            <w:tcW w:type="dxa" w:w="11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 налога (сом.)</w:t>
            </w:r>
          </w:p>
        </w:tc>
      </w:tr>
      <w:tr>
        <w:tc>
          <w:tcPr>
            <w:tcW w:type="dxa" w:w="12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12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05.04.2017</w:t>
            </w:r>
          </w:p>
        </w:tc>
        <w:tc>
          <w:tcPr>
            <w:tcW w:type="dxa" w:w="1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</w:t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68,7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1257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302245650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3022456,5</w:t>
            </w:r>
          </w:p>
        </w:tc>
      </w:tr>
      <w:tr>
        <w:tc>
          <w:tcPr>
            <w:tcW w:type="dxa" w:w="12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11.04.2017</w:t>
            </w:r>
          </w:p>
        </w:tc>
        <w:tc>
          <w:tcPr>
            <w:tcW w:type="dxa" w:w="1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</w:t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68,7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1257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233160930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2331609,3</w:t>
            </w:r>
          </w:p>
        </w:tc>
      </w:tr>
      <w:tr>
        <w:tc>
          <w:tcPr>
            <w:tcW w:type="dxa" w:w="12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535406580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5354065,8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Порядок представления Отчета по налогу на доходы горнодобывающих и горноперерабатывающих предприятий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Отчет может быть представлен в явочном порядке в виде документа на бумажном носителе, отправлен по почте заказным письмом с уведомлением о вручении, а также представлен в виде электронного документа.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При представлении Отчета в явочном порядке Отчет заполняется в двух экземплярах: первый экземпляр остается в налоговом органе; второй экземпляр с отметкой налогового органа возвращается налогоплательщику.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При представлении Отчета по почте Отчет заполняется в двух экземплярах: первый экземпляр остается у налогоплательщика, второй экземпляр направляется в налоговый орган заказным письмом с уведомлением. Датой представления Отчета по почте заказным письмом является дата отправления по почте заказным письмом с обратным уведомлением. При предоставлении Отчета по почте заказным письмом с уведомлением о вручении сотрудник налогового органа, принявший Отчет, на втором экземпляре заполняет ячейки 901 и 902 Отчета и ставит штамп налогового органа. В первом экземпляре Отчета, который остается у налогоплательщика, ячейки 901 и 902 не заполняются.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Отчет в виде электронного документа представляется в порядке, определяемом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-trbrplecjbv-11nc7j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dalil.kg/document/94631</w:t>
      </w:r>
    </w:hyperlink>
  </w:p>
  <w:p>
    <w:pPr>
      <w:spacing w:after="0" w:before="40"/>
      <w:jc w:val="center"/>
    </w:pPr>
    <w:hyperlink w:history="1" r:id="rIdyswv_qoijwkwo4iggm-o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f3rgmxbdr9oiilmjy1dl" Type="http://schemas.openxmlformats.org/officeDocument/2006/relationships/hyperlink" Target="https://dalil.kg/document/158988" TargetMode="External"/><Relationship Id="rIdmuayetd-ynv7hmgadgiku" Type="http://schemas.openxmlformats.org/officeDocument/2006/relationships/hyperlink" Target="https://dalil.kg/document/99460" TargetMode="External"/><Relationship Id="rIdqjxllida8edg-l6-24vn4" Type="http://schemas.openxmlformats.org/officeDocument/2006/relationships/hyperlink" Target="https://dalil.kg/document/98935" TargetMode="External"/><Relationship Id="rIdzpvkuqjtj-ntunzpjskwe" Type="http://schemas.openxmlformats.org/officeDocument/2006/relationships/hyperlink" Target="https://dalil.kg/document/12799" TargetMode="External"/><Relationship Id="rIdq-rjxkjero2ozjspqt9fh" Type="http://schemas.openxmlformats.org/officeDocument/2006/relationships/hyperlink" Target="https://dalil.kg/document/202445" TargetMode="External"/><Relationship Id="rId1k043ibrfwtijpoya64z8" Type="http://schemas.openxmlformats.org/officeDocument/2006/relationships/hyperlink" Target="https://dalil.kg/document/94631#&#1088;1" TargetMode="External"/><Relationship Id="rIdi1vrsv_lo7epouqpxneas" Type="http://schemas.openxmlformats.org/officeDocument/2006/relationships/hyperlink" Target="https://dalil.kg/document/94632" TargetMode="External"/><Relationship Id="rIdujeh_ezucgtf-rabo-mpc" Type="http://schemas.openxmlformats.org/officeDocument/2006/relationships/hyperlink" Target="https://dalil.kg/document/94631" TargetMode="External"/><Relationship Id="rIdktidd1rtp2uhsdonyezjp" Type="http://schemas.openxmlformats.org/officeDocument/2006/relationships/hyperlink" Target="https://dalil.kg/document/98935" TargetMode="External"/><Relationship Id="rIdjep4fh7a6hdda-_zwhevi" Type="http://schemas.openxmlformats.org/officeDocument/2006/relationships/hyperlink" Target="https://dalil.kg/document/94631" TargetMode="External"/><Relationship Id="rIdj9_zwuwm94menpdnf15ru" Type="http://schemas.openxmlformats.org/officeDocument/2006/relationships/hyperlink" Target="https://dalil.kg/document/99460" TargetMode="External"/><Relationship Id="rId4v9ho5iacf6u1twklq0es" Type="http://schemas.openxmlformats.org/officeDocument/2006/relationships/hyperlink" Target="https://dalil.kg/document/98935" TargetMode="External"/><Relationship Id="rIdq4pi_cm-hl1zl6yqmopwo" Type="http://schemas.openxmlformats.org/officeDocument/2006/relationships/hyperlink" Target="https://dalil.kg/document/12799" TargetMode="External"/><Relationship Id="rIdjg6dnd_4ijznbkvt6jcmb" Type="http://schemas.openxmlformats.org/officeDocument/2006/relationships/hyperlink" Target="https://dalil.kg/document/99460" TargetMode="External"/><Relationship Id="rIdmvn9dbetrdt-hg4n7jpkz" Type="http://schemas.openxmlformats.org/officeDocument/2006/relationships/hyperlink" Target="https://dalil.kg/document/98935" TargetMode="External"/><Relationship Id="rIdd0coecipafml3hrvoeyfs" Type="http://schemas.openxmlformats.org/officeDocument/2006/relationships/hyperlink" Target="https://dalil.kg/document/202445" TargetMode="External"/><Relationship Id="rId8" Type="http://schemas.openxmlformats.org/officeDocument/2006/relationships/image" Target="media/8de64316e95979c063c17bcd5380dc052a2594e9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-trbrplecjbv-11nc7jv" Type="http://schemas.openxmlformats.org/officeDocument/2006/relationships/hyperlink" Target="https://dalil.kg/document/94631" TargetMode="External"/><Relationship Id="rIdyswv_qoijwkwo4iggm-o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2026-09-24T10:30:03.395Z</dcterms:created>
  <dcterms:modified xsi:type="dcterms:W3CDTF">2026-09-24T10:30:03.395Z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