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cduc0smrbqi-hy9w1f-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от 11 ноября 2013 года № 614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syoybrsz4yet3yciz-91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dv96mwdy9mib9hx78jusv">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Налоговый </w:t>
      </w:r>
      <w:hyperlink w:history="1" r:id="rIdbnfqx0t6a4xbo1y8rhx3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Текебаевым О.Ч.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dflemj44bqvw_uvddou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2013 года № 614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yhrnahl0687wrfaioisb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рассмотрев проект Закона Кыргызской Республики "О внесении дополнений в Налоговый </w:t>
      </w:r>
      <w:hyperlink w:history="1" r:id="rIduud1nbp4a6hmzquq7qjg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Текебаевым О.Ч.,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Действующий Налоговый </w:t>
      </w:r>
      <w:hyperlink w:history="1" r:id="rIdkro6dhyo2hi0qr1kvsnp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НК КР) уже предусматривает налоговые льготы для религиозных организаций.</w:t>
      </w:r>
    </w:p>
    <w:p>
      <w:pPr>
        <w:spacing w:after="120"/>
        <w:jc w:val="both"/>
      </w:pPr>
      <w:r>
        <w:rPr>
          <w:rFonts w:ascii="Arial" w:cs="Arial" w:eastAsia="Arial" w:hAnsi="Arial"/>
          <w:sz w:val="24"/>
          <w:szCs w:val="24"/>
        </w:rPr>
        <w:t xml:space="preserve">Так, объекты религиозных культов входят в Перечень объектов имущества, не являющихся объектами налогообложения, утвержденный Правительством Кыргызской Республики по согласованию с профильным комитетом Жогорку Кенеша Кыргызской Республики, в соответствии с частью 3 статьи 324 НК КР.</w:t>
      </w:r>
    </w:p>
    <w:p>
      <w:pPr>
        <w:spacing w:after="120"/>
        <w:jc w:val="both"/>
      </w:pPr>
      <w:r>
        <w:rPr>
          <w:rFonts w:ascii="Arial" w:cs="Arial" w:eastAsia="Arial" w:hAnsi="Arial"/>
          <w:sz w:val="24"/>
          <w:szCs w:val="24"/>
        </w:rPr>
        <w:t xml:space="preserve">Наряду с этим, согласно пункту 9 статьи 343 НК КР, земли богослужебных объектов религиозных организаций, зарегистрированных в порядке, установленном законодательством Кыргызской Республики, освобождены от уплаты земельного налога.</w:t>
      </w:r>
    </w:p>
    <w:p>
      <w:pPr>
        <w:spacing w:after="120"/>
        <w:jc w:val="both"/>
      </w:pPr>
      <w:r>
        <w:rPr>
          <w:rFonts w:ascii="Arial" w:cs="Arial" w:eastAsia="Arial" w:hAnsi="Arial"/>
          <w:sz w:val="24"/>
          <w:szCs w:val="24"/>
        </w:rPr>
        <w:t xml:space="preserve">Кроме того, согласно статьи 189 НК КР, религиозные организации, как некоммерческие организации, не включают в состав совокупного годового дохода необлагаемые доходы в виде целевых поступлений: членские и вступительные взносы; гуманитарную помощь и гранты, стоимость безвозмездно полученных активов при условии их использования в уставных целях.</w:t>
      </w:r>
    </w:p>
    <w:p>
      <w:pPr>
        <w:spacing w:after="120"/>
        <w:jc w:val="both"/>
      </w:pPr>
      <w:r>
        <w:rPr>
          <w:rFonts w:ascii="Arial" w:cs="Arial" w:eastAsia="Arial" w:hAnsi="Arial"/>
          <w:sz w:val="24"/>
          <w:szCs w:val="24"/>
        </w:rPr>
        <w:t xml:space="preserve">Обращаем внимание на то, что проектом Закона пункт 3 статьи 189 НК КР дополняется нормой, предусматривающей, что имущество, добровольно пожертвованное (завещанное) религиозной организации, доходы религиозных организаций от религиозной деятельности не облагаются налогом на прибыль.</w:t>
      </w:r>
    </w:p>
    <w:p>
      <w:pPr>
        <w:spacing w:after="120"/>
        <w:jc w:val="both"/>
      </w:pPr>
      <w:r>
        <w:rPr>
          <w:rFonts w:ascii="Arial" w:cs="Arial" w:eastAsia="Arial" w:hAnsi="Arial"/>
          <w:sz w:val="24"/>
          <w:szCs w:val="24"/>
        </w:rPr>
        <w:t xml:space="preserve">При этом отмечаем, что норма, вносимая в качестве дополнения в пункт 3 статьи 189 НК КР, будет распространять свое действие в отношении имущества добровольно пожертвованного религиозной организации только на основании завещаний.</w:t>
      </w:r>
    </w:p>
    <w:p>
      <w:pPr>
        <w:spacing w:after="120"/>
        <w:jc w:val="both"/>
      </w:pPr>
      <w:r>
        <w:rPr>
          <w:rFonts w:ascii="Arial" w:cs="Arial" w:eastAsia="Arial" w:hAnsi="Arial"/>
          <w:sz w:val="24"/>
          <w:szCs w:val="24"/>
        </w:rPr>
        <w:t xml:space="preserve">Кроме этого, в соответствии со статьей 3 Закона Кыргызской Республики "О свободе вероисповедания и религиозных организациях в Кыргызской Республике" "религиозная деятельность - деятельность, направленная на удовлетворение религиозных потребностей верующих, распространение религий, религиозное воспитание, проведение богослужений, молитвенных собраний, чтение проповедей, обучение духовных специалистов, священнослужителей, миссионерство".</w:t>
      </w:r>
    </w:p>
    <w:p>
      <w:pPr>
        <w:spacing w:after="120"/>
        <w:jc w:val="both"/>
      </w:pPr>
      <w:r>
        <w:rPr>
          <w:rFonts w:ascii="Arial" w:cs="Arial" w:eastAsia="Arial" w:hAnsi="Arial"/>
          <w:sz w:val="24"/>
          <w:szCs w:val="24"/>
        </w:rPr>
        <w:t xml:space="preserve">Частью 4 статьи 21 Закона Кыргызской Республики "О свободе вероисповедания и религиозных организациях в Кыргызской Республике" религиозные организации не вправе проводить принудительные денежные сборы и обложения верующих.</w:t>
      </w:r>
    </w:p>
    <w:p>
      <w:pPr>
        <w:spacing w:after="120"/>
        <w:jc w:val="both"/>
      </w:pPr>
      <w:r>
        <w:rPr>
          <w:rFonts w:ascii="Arial" w:cs="Arial" w:eastAsia="Arial" w:hAnsi="Arial"/>
          <w:sz w:val="24"/>
          <w:szCs w:val="24"/>
        </w:rPr>
        <w:t xml:space="preserve">При этом, согласно части 2 статьи 17 вышеуказанного Закона религиозные организации имеют право заниматься хозяйственной, в том числе производственной деятельностью для достижения своих уставных целей.</w:t>
      </w:r>
    </w:p>
    <w:p>
      <w:pPr>
        <w:spacing w:after="120"/>
        <w:jc w:val="both"/>
      </w:pPr>
      <w:r>
        <w:rPr>
          <w:rFonts w:ascii="Arial" w:cs="Arial" w:eastAsia="Arial" w:hAnsi="Arial"/>
          <w:sz w:val="24"/>
          <w:szCs w:val="24"/>
        </w:rPr>
        <w:t xml:space="preserve">В связи с этим, принимая во внимание, что религиозная деятельность является некоммерческой деятельностью (на осуществление которой не может быть установлена плата), перечень доходов, не облагаемых налогом на прибыль, следовало бы дополнить доходами религиозных организаций от производственной, а не религиозной деятельности.</w:t>
      </w:r>
    </w:p>
    <w:p>
      <w:pPr>
        <w:spacing w:after="120"/>
        <w:jc w:val="both"/>
      </w:pPr>
      <w:r>
        <w:rPr>
          <w:rFonts w:ascii="Arial" w:cs="Arial" w:eastAsia="Arial" w:hAnsi="Arial"/>
          <w:sz w:val="24"/>
          <w:szCs w:val="24"/>
        </w:rPr>
        <w:t xml:space="preserve">Следует заметить, что проектом Закона в перечень имущества, балансовая стоимость которого принимается равной нулю при определении стоимости основных средств, нематериальных активов и товарно-материальных запасов, которые учитываются в определении налогооблагаемой базы налога на прибыль, включается стоимость имущества, добровольно пожертвованного (завещанного) религиозной организации.</w:t>
      </w:r>
    </w:p>
    <w:p>
      <w:pPr>
        <w:spacing w:after="120"/>
        <w:jc w:val="both"/>
      </w:pPr>
      <w:r>
        <w:rPr>
          <w:rFonts w:ascii="Arial" w:cs="Arial" w:eastAsia="Arial" w:hAnsi="Arial"/>
          <w:sz w:val="24"/>
          <w:szCs w:val="24"/>
        </w:rPr>
        <w:t xml:space="preserve">При этом отмечаем, что указанная редакция дополняемого пункта будет распространять свое действие только в отношении имущества, завещанного религиозной организации. Однако данная редакция подлежит доработке, так как данная норма должна быть распространена на имущество, добровольно пожертвованного религиозной организации, независимо от оснований его возникновения.</w:t>
      </w:r>
    </w:p>
    <w:p>
      <w:pPr>
        <w:spacing w:after="120"/>
        <w:jc w:val="both"/>
      </w:pPr>
      <w:r>
        <w:rPr>
          <w:rFonts w:ascii="Arial" w:cs="Arial" w:eastAsia="Arial" w:hAnsi="Arial"/>
          <w:sz w:val="24"/>
          <w:szCs w:val="24"/>
        </w:rPr>
        <w:t xml:space="preserve">В связи с вышеизложенным Правительство Кыргызской Республики в целом согласно с проектом Закона Кыргызской Республики "О внесении дополнений в Налоговый </w:t>
      </w:r>
      <w:hyperlink w:history="1" r:id="rId-b_t9z-0cgt9j_e7sedc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инициированным депутатом Жогорку Кенеша Кыргызской Республики Текебаевым О.Ч., с учетом его доработки, в целях исключения вышеуказанных пробелов и несоответствий.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y4on8me4wjtjrzol5qt">
      <w:r>
        <w:rPr>
          <w:rFonts w:ascii="Arial" w:cs="Arial" w:eastAsia="Arial" w:hAnsi="Arial"/>
          <w:color w:val="132D3F"/>
          <w:sz w:val="16"/>
          <w:szCs w:val="16"/>
          <w:u w:val="single"/>
        </w:rPr>
        <w:t xml:space="preserve">dalil.kg/document/94811</w:t>
      </w:r>
    </w:hyperlink>
  </w:p>
  <w:p>
    <w:pPr>
      <w:spacing w:after="0" w:before="40"/>
      <w:jc w:val="center"/>
    </w:pPr>
    <w:hyperlink w:history="1" r:id="rIdwe3bjnhl9uvas7mog7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duc0smrbqi-hy9w1f-x" Type="http://schemas.openxmlformats.org/officeDocument/2006/relationships/hyperlink" Target="https://dalil.kg/document/159126" TargetMode="External"/><Relationship Id="rIdsyoybrsz4yet3yciz-911" Type="http://schemas.openxmlformats.org/officeDocument/2006/relationships/hyperlink" Target="https://dalil.kg/document/203685" TargetMode="External"/><Relationship Id="rIddv96mwdy9mib9hx78jusv" Type="http://schemas.openxmlformats.org/officeDocument/2006/relationships/hyperlink" Target="https://dalil.kg/document/94811#&#1088;1" TargetMode="External"/><Relationship Id="rIdbnfqx0t6a4xbo1y8rhx3i" Type="http://schemas.openxmlformats.org/officeDocument/2006/relationships/hyperlink" Target="https://dalil.kg/document/202445" TargetMode="External"/><Relationship Id="rIddflemj44bqvw_uvddoulp" Type="http://schemas.openxmlformats.org/officeDocument/2006/relationships/hyperlink" Target="https://dalil.kg/document/94811" TargetMode="External"/><Relationship Id="rIdyhrnahl0687wrfaioisb0" Type="http://schemas.openxmlformats.org/officeDocument/2006/relationships/hyperlink" Target="https://dalil.kg/document/202913" TargetMode="External"/><Relationship Id="rIduud1nbp4a6hmzquq7qjgp" Type="http://schemas.openxmlformats.org/officeDocument/2006/relationships/hyperlink" Target="https://dalil.kg/document/202445" TargetMode="External"/><Relationship Id="rIdkro6dhyo2hi0qr1kvsnph" Type="http://schemas.openxmlformats.org/officeDocument/2006/relationships/hyperlink" Target="https://dalil.kg/document/202445" TargetMode="External"/><Relationship Id="rId-b_t9z-0cgt9j_e7sedcd"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y4on8me4wjtjrzol5qt" Type="http://schemas.openxmlformats.org/officeDocument/2006/relationships/hyperlink" Target="https://dalil.kg/document/94811" TargetMode="External"/><Relationship Id="rIdwe3bjnhl9uvas7mog7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2026-09-23T17:28:42.802Z</dcterms:created>
  <dcterms:modified xsi:type="dcterms:W3CDTF">2026-09-23T17:28:42.802Z</dcterms:modified>
</cp:coreProperties>
</file>

<file path=docProps/custom.xml><?xml version="1.0" encoding="utf-8"?>
<Properties xmlns="http://schemas.openxmlformats.org/officeDocument/2006/custom-properties" xmlns:vt="http://schemas.openxmlformats.org/officeDocument/2006/docPropsVTypes"/>
</file>